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69CE" w:rsidRPr="00947B2F" w:rsidRDefault="006069CE" w:rsidP="006069CE">
      <w:pPr>
        <w:jc w:val="center"/>
        <w:rPr>
          <w:b/>
          <w:sz w:val="24"/>
          <w:szCs w:val="24"/>
          <w:u w:val="single"/>
        </w:rPr>
      </w:pPr>
      <w:r w:rsidRPr="00947B2F">
        <w:rPr>
          <w:b/>
          <w:noProof/>
          <w:sz w:val="24"/>
          <w:szCs w:val="24"/>
          <w:u w:val="single"/>
          <w:lang w:eastAsia="en-GB"/>
        </w:rPr>
        <w:drawing>
          <wp:anchor distT="0" distB="0" distL="114300" distR="114300" simplePos="0" relativeHeight="251658240" behindDoc="1" locked="0" layoutInCell="1" allowOverlap="1" wp14:anchorId="3B53986B" wp14:editId="110B22F5">
            <wp:simplePos x="0" y="0"/>
            <wp:positionH relativeFrom="column">
              <wp:posOffset>8582025</wp:posOffset>
            </wp:positionH>
            <wp:positionV relativeFrom="paragraph">
              <wp:posOffset>-397510</wp:posOffset>
            </wp:positionV>
            <wp:extent cx="1143000" cy="1084580"/>
            <wp:effectExtent l="0" t="0" r="0" b="1270"/>
            <wp:wrapNone/>
            <wp:docPr id="1" name="Picture 1" descr="WG_positive_4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G_positive_40m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43000" cy="1084580"/>
                    </a:xfrm>
                    <a:prstGeom prst="rect">
                      <a:avLst/>
                    </a:prstGeom>
                    <a:noFill/>
                  </pic:spPr>
                </pic:pic>
              </a:graphicData>
            </a:graphic>
            <wp14:sizeRelH relativeFrom="page">
              <wp14:pctWidth>0</wp14:pctWidth>
            </wp14:sizeRelH>
            <wp14:sizeRelV relativeFrom="page">
              <wp14:pctHeight>0</wp14:pctHeight>
            </wp14:sizeRelV>
          </wp:anchor>
        </w:drawing>
      </w:r>
    </w:p>
    <w:p w:rsidR="006069CE" w:rsidRPr="00947B2F" w:rsidRDefault="006069CE" w:rsidP="006069CE">
      <w:pPr>
        <w:jc w:val="center"/>
        <w:rPr>
          <w:b/>
          <w:sz w:val="24"/>
          <w:szCs w:val="24"/>
          <w:u w:val="single"/>
        </w:rPr>
      </w:pPr>
    </w:p>
    <w:p w:rsidR="006069CE" w:rsidRPr="00947B2F" w:rsidRDefault="0047110A" w:rsidP="006069CE">
      <w:pPr>
        <w:jc w:val="center"/>
        <w:rPr>
          <w:rFonts w:cs="Arial"/>
          <w:sz w:val="24"/>
          <w:szCs w:val="24"/>
        </w:rPr>
      </w:pPr>
      <w:r>
        <w:rPr>
          <w:rFonts w:cs="Arial"/>
          <w:b/>
          <w:sz w:val="24"/>
          <w:szCs w:val="24"/>
        </w:rPr>
        <w:t>Quarter 2</w:t>
      </w:r>
      <w:r w:rsidR="006069CE" w:rsidRPr="00947B2F">
        <w:rPr>
          <w:rFonts w:cs="Arial"/>
          <w:b/>
          <w:sz w:val="24"/>
          <w:szCs w:val="24"/>
        </w:rPr>
        <w:t xml:space="preserve"> - Reporting </w:t>
      </w:r>
      <w:proofErr w:type="spellStart"/>
      <w:r w:rsidR="006069CE" w:rsidRPr="00947B2F">
        <w:rPr>
          <w:rFonts w:cs="Arial"/>
          <w:b/>
          <w:sz w:val="24"/>
          <w:szCs w:val="24"/>
        </w:rPr>
        <w:t>Proforma</w:t>
      </w:r>
      <w:proofErr w:type="spellEnd"/>
      <w:r w:rsidR="006069CE" w:rsidRPr="00947B2F">
        <w:rPr>
          <w:rFonts w:cs="Arial"/>
          <w:b/>
          <w:sz w:val="24"/>
          <w:szCs w:val="24"/>
        </w:rPr>
        <w:t xml:space="preserve"> for NHS Planning 2019-20</w:t>
      </w:r>
    </w:p>
    <w:tbl>
      <w:tblPr>
        <w:tblW w:w="0" w:type="auto"/>
        <w:tblInd w:w="3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5707"/>
      </w:tblGrid>
      <w:tr w:rsidR="006069CE" w:rsidRPr="00947B2F" w:rsidTr="00947B2F">
        <w:tc>
          <w:tcPr>
            <w:tcW w:w="3190" w:type="dxa"/>
            <w:shd w:val="clear" w:color="auto" w:fill="auto"/>
          </w:tcPr>
          <w:p w:rsidR="006069CE" w:rsidRPr="00947B2F" w:rsidRDefault="006069CE" w:rsidP="00947B2F">
            <w:pPr>
              <w:jc w:val="center"/>
              <w:rPr>
                <w:rFonts w:cs="Arial"/>
                <w:sz w:val="24"/>
                <w:szCs w:val="24"/>
              </w:rPr>
            </w:pPr>
            <w:r w:rsidRPr="00947B2F">
              <w:rPr>
                <w:rFonts w:cs="Arial"/>
                <w:sz w:val="24"/>
                <w:szCs w:val="24"/>
              </w:rPr>
              <w:t>Name of Organisation</w:t>
            </w:r>
          </w:p>
        </w:tc>
        <w:tc>
          <w:tcPr>
            <w:tcW w:w="5707" w:type="dxa"/>
            <w:shd w:val="clear" w:color="auto" w:fill="auto"/>
          </w:tcPr>
          <w:p w:rsidR="006069CE" w:rsidRPr="00947B2F" w:rsidRDefault="001B60A7" w:rsidP="001B60A7">
            <w:pPr>
              <w:jc w:val="center"/>
              <w:rPr>
                <w:rFonts w:cs="Arial"/>
                <w:b/>
                <w:sz w:val="24"/>
                <w:szCs w:val="24"/>
              </w:rPr>
            </w:pPr>
            <w:r>
              <w:rPr>
                <w:rFonts w:cs="Arial"/>
                <w:b/>
                <w:sz w:val="24"/>
                <w:szCs w:val="24"/>
              </w:rPr>
              <w:t xml:space="preserve">Cwm Taf Morgannwg </w:t>
            </w:r>
            <w:r w:rsidR="00947B2F" w:rsidRPr="00947B2F">
              <w:rPr>
                <w:rFonts w:cs="Arial"/>
                <w:b/>
                <w:sz w:val="24"/>
                <w:szCs w:val="24"/>
              </w:rPr>
              <w:t>University Health Board</w:t>
            </w:r>
          </w:p>
        </w:tc>
      </w:tr>
      <w:tr w:rsidR="006069CE" w:rsidRPr="00947B2F" w:rsidTr="00947B2F">
        <w:tc>
          <w:tcPr>
            <w:tcW w:w="3190" w:type="dxa"/>
            <w:shd w:val="clear" w:color="auto" w:fill="auto"/>
          </w:tcPr>
          <w:p w:rsidR="006069CE" w:rsidRPr="00947B2F" w:rsidRDefault="006069CE" w:rsidP="00947B2F">
            <w:pPr>
              <w:jc w:val="center"/>
              <w:rPr>
                <w:rFonts w:cs="Arial"/>
                <w:sz w:val="24"/>
                <w:szCs w:val="24"/>
              </w:rPr>
            </w:pPr>
            <w:r w:rsidRPr="00947B2F">
              <w:rPr>
                <w:rFonts w:cs="Arial"/>
                <w:sz w:val="24"/>
                <w:szCs w:val="24"/>
              </w:rPr>
              <w:t>Director of Planning</w:t>
            </w:r>
          </w:p>
        </w:tc>
        <w:tc>
          <w:tcPr>
            <w:tcW w:w="5707" w:type="dxa"/>
            <w:shd w:val="clear" w:color="auto" w:fill="auto"/>
          </w:tcPr>
          <w:p w:rsidR="006069CE" w:rsidRPr="00947B2F" w:rsidRDefault="008E25DC" w:rsidP="00947B2F">
            <w:pPr>
              <w:tabs>
                <w:tab w:val="left" w:pos="930"/>
              </w:tabs>
              <w:jc w:val="center"/>
              <w:rPr>
                <w:rFonts w:cs="Arial"/>
                <w:sz w:val="24"/>
                <w:szCs w:val="24"/>
              </w:rPr>
            </w:pPr>
            <w:r>
              <w:rPr>
                <w:rFonts w:cs="Arial"/>
                <w:sz w:val="24"/>
                <w:szCs w:val="24"/>
              </w:rPr>
              <w:t>Ruth Treharne</w:t>
            </w:r>
          </w:p>
        </w:tc>
      </w:tr>
      <w:tr w:rsidR="006069CE" w:rsidRPr="00947B2F" w:rsidTr="006069CE">
        <w:trPr>
          <w:trHeight w:val="190"/>
        </w:trPr>
        <w:tc>
          <w:tcPr>
            <w:tcW w:w="3190" w:type="dxa"/>
            <w:shd w:val="clear" w:color="auto" w:fill="auto"/>
          </w:tcPr>
          <w:p w:rsidR="006069CE" w:rsidRPr="00947B2F" w:rsidRDefault="006069CE" w:rsidP="00947B2F">
            <w:pPr>
              <w:jc w:val="center"/>
              <w:rPr>
                <w:rFonts w:cs="Arial"/>
                <w:sz w:val="24"/>
                <w:szCs w:val="24"/>
              </w:rPr>
            </w:pPr>
            <w:r w:rsidRPr="00947B2F">
              <w:rPr>
                <w:rFonts w:cs="Arial"/>
                <w:sz w:val="24"/>
                <w:szCs w:val="24"/>
              </w:rPr>
              <w:t>Submission date:</w:t>
            </w:r>
          </w:p>
        </w:tc>
        <w:tc>
          <w:tcPr>
            <w:tcW w:w="5707" w:type="dxa"/>
            <w:shd w:val="clear" w:color="auto" w:fill="auto"/>
          </w:tcPr>
          <w:p w:rsidR="006069CE" w:rsidRPr="00947B2F" w:rsidRDefault="008E25DC" w:rsidP="00947B2F">
            <w:pPr>
              <w:jc w:val="center"/>
              <w:rPr>
                <w:rFonts w:cs="Arial"/>
                <w:sz w:val="24"/>
                <w:szCs w:val="24"/>
              </w:rPr>
            </w:pPr>
            <w:r>
              <w:rPr>
                <w:rFonts w:cs="Arial"/>
                <w:sz w:val="24"/>
                <w:szCs w:val="24"/>
              </w:rPr>
              <w:t>11 October 2019</w:t>
            </w:r>
          </w:p>
        </w:tc>
      </w:tr>
    </w:tbl>
    <w:p w:rsidR="00947B2F" w:rsidRPr="00947B2F" w:rsidRDefault="00947B2F" w:rsidP="00947B2F">
      <w:pPr>
        <w:jc w:val="center"/>
        <w:rPr>
          <w:rFonts w:cs="Arial"/>
          <w:i/>
          <w:sz w:val="24"/>
          <w:szCs w:val="24"/>
        </w:rPr>
      </w:pPr>
      <w:r w:rsidRPr="00947B2F">
        <w:rPr>
          <w:rFonts w:cs="Arial"/>
          <w:i/>
          <w:sz w:val="24"/>
          <w:szCs w:val="24"/>
        </w:rPr>
        <w:br/>
      </w:r>
      <w:r w:rsidR="006069CE" w:rsidRPr="00947B2F">
        <w:rPr>
          <w:rFonts w:cs="Arial"/>
          <w:i/>
          <w:sz w:val="24"/>
          <w:szCs w:val="24"/>
        </w:rPr>
        <w:t>Include RAG Status in quarter just completed and the next quarter ahead</w:t>
      </w:r>
      <w:r w:rsidRPr="00947B2F">
        <w:rPr>
          <w:rFonts w:cs="Arial"/>
          <w:i/>
          <w:sz w:val="24"/>
          <w:szCs w:val="24"/>
        </w:rPr>
        <w:br/>
      </w:r>
    </w:p>
    <w:tbl>
      <w:tblPr>
        <w:tblW w:w="0" w:type="auto"/>
        <w:tblInd w:w="3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513"/>
      </w:tblGrid>
      <w:tr w:rsidR="006069CE" w:rsidRPr="00947B2F" w:rsidTr="00947B2F">
        <w:tc>
          <w:tcPr>
            <w:tcW w:w="1384" w:type="dxa"/>
            <w:shd w:val="clear" w:color="auto" w:fill="FF0000"/>
          </w:tcPr>
          <w:p w:rsidR="006069CE" w:rsidRPr="00947B2F" w:rsidRDefault="006069CE" w:rsidP="00947B2F">
            <w:pPr>
              <w:jc w:val="center"/>
              <w:rPr>
                <w:rFonts w:cs="Arial"/>
                <w:sz w:val="24"/>
                <w:szCs w:val="24"/>
              </w:rPr>
            </w:pPr>
            <w:r w:rsidRPr="00947B2F">
              <w:rPr>
                <w:rFonts w:cs="Arial"/>
                <w:sz w:val="24"/>
                <w:szCs w:val="24"/>
              </w:rPr>
              <w:t>R</w:t>
            </w:r>
          </w:p>
        </w:tc>
        <w:tc>
          <w:tcPr>
            <w:tcW w:w="7513" w:type="dxa"/>
            <w:shd w:val="clear" w:color="auto" w:fill="auto"/>
          </w:tcPr>
          <w:p w:rsidR="006069CE" w:rsidRPr="00947B2F" w:rsidRDefault="006069CE" w:rsidP="00947B2F">
            <w:pPr>
              <w:jc w:val="center"/>
              <w:rPr>
                <w:rFonts w:cs="Arial"/>
                <w:sz w:val="24"/>
                <w:szCs w:val="24"/>
              </w:rPr>
            </w:pPr>
            <w:r w:rsidRPr="00947B2F">
              <w:rPr>
                <w:rFonts w:cs="Arial"/>
                <w:sz w:val="24"/>
                <w:szCs w:val="24"/>
              </w:rPr>
              <w:t>Milestones not achieved or off profile to achieve in the period: corrective action required or new milestones to be agreed</w:t>
            </w:r>
          </w:p>
        </w:tc>
      </w:tr>
      <w:tr w:rsidR="006069CE" w:rsidRPr="00947B2F" w:rsidTr="00947B2F">
        <w:tc>
          <w:tcPr>
            <w:tcW w:w="1384" w:type="dxa"/>
            <w:shd w:val="clear" w:color="auto" w:fill="FFC000"/>
          </w:tcPr>
          <w:p w:rsidR="006069CE" w:rsidRPr="00947B2F" w:rsidRDefault="006069CE" w:rsidP="00947B2F">
            <w:pPr>
              <w:jc w:val="center"/>
              <w:rPr>
                <w:rFonts w:cs="Arial"/>
                <w:sz w:val="24"/>
                <w:szCs w:val="24"/>
              </w:rPr>
            </w:pPr>
            <w:r w:rsidRPr="00947B2F">
              <w:rPr>
                <w:rFonts w:cs="Arial"/>
                <w:sz w:val="24"/>
                <w:szCs w:val="24"/>
              </w:rPr>
              <w:t>A</w:t>
            </w:r>
          </w:p>
        </w:tc>
        <w:tc>
          <w:tcPr>
            <w:tcW w:w="7513" w:type="dxa"/>
            <w:shd w:val="clear" w:color="auto" w:fill="auto"/>
          </w:tcPr>
          <w:p w:rsidR="006069CE" w:rsidRPr="00947B2F" w:rsidRDefault="006069CE" w:rsidP="00947B2F">
            <w:pPr>
              <w:jc w:val="center"/>
              <w:rPr>
                <w:rFonts w:cs="Arial"/>
                <w:sz w:val="24"/>
                <w:szCs w:val="24"/>
              </w:rPr>
            </w:pPr>
            <w:r w:rsidRPr="00947B2F">
              <w:rPr>
                <w:rFonts w:cs="Arial"/>
                <w:sz w:val="24"/>
                <w:szCs w:val="24"/>
              </w:rPr>
              <w:t>Milestones off profile to achieve in the period: corrective action can be taken to achieve within the agree timeline.</w:t>
            </w:r>
          </w:p>
        </w:tc>
      </w:tr>
      <w:tr w:rsidR="006069CE" w:rsidRPr="00947B2F" w:rsidTr="00947B2F">
        <w:tc>
          <w:tcPr>
            <w:tcW w:w="1384" w:type="dxa"/>
            <w:shd w:val="clear" w:color="auto" w:fill="92D050"/>
          </w:tcPr>
          <w:p w:rsidR="006069CE" w:rsidRPr="00947B2F" w:rsidRDefault="006069CE" w:rsidP="00947B2F">
            <w:pPr>
              <w:jc w:val="center"/>
              <w:rPr>
                <w:rFonts w:cs="Arial"/>
                <w:sz w:val="24"/>
                <w:szCs w:val="24"/>
              </w:rPr>
            </w:pPr>
            <w:r w:rsidRPr="00947B2F">
              <w:rPr>
                <w:rFonts w:cs="Arial"/>
                <w:sz w:val="24"/>
                <w:szCs w:val="24"/>
              </w:rPr>
              <w:t>G</w:t>
            </w:r>
          </w:p>
          <w:p w:rsidR="006069CE" w:rsidRPr="00947B2F" w:rsidRDefault="006069CE" w:rsidP="00947B2F">
            <w:pPr>
              <w:jc w:val="center"/>
              <w:rPr>
                <w:rFonts w:cs="Arial"/>
                <w:sz w:val="24"/>
                <w:szCs w:val="24"/>
              </w:rPr>
            </w:pPr>
          </w:p>
        </w:tc>
        <w:tc>
          <w:tcPr>
            <w:tcW w:w="7513" w:type="dxa"/>
            <w:shd w:val="clear" w:color="auto" w:fill="auto"/>
          </w:tcPr>
          <w:p w:rsidR="006069CE" w:rsidRPr="00947B2F" w:rsidRDefault="006069CE" w:rsidP="00947B2F">
            <w:pPr>
              <w:jc w:val="center"/>
              <w:rPr>
                <w:rFonts w:cs="Arial"/>
                <w:sz w:val="24"/>
                <w:szCs w:val="24"/>
              </w:rPr>
            </w:pPr>
            <w:r w:rsidRPr="00947B2F">
              <w:rPr>
                <w:rFonts w:cs="Arial"/>
                <w:sz w:val="24"/>
                <w:szCs w:val="24"/>
              </w:rPr>
              <w:t>Milestones achieved or on profile to achieve in the period: maintain trajectory</w:t>
            </w:r>
          </w:p>
        </w:tc>
      </w:tr>
    </w:tbl>
    <w:p w:rsidR="006069CE" w:rsidRPr="00947B2F" w:rsidRDefault="006069CE" w:rsidP="006069CE">
      <w:pPr>
        <w:jc w:val="center"/>
        <w:rPr>
          <w:rFonts w:cs="Arial"/>
          <w:sz w:val="24"/>
          <w:szCs w:val="24"/>
        </w:rPr>
      </w:pPr>
    </w:p>
    <w:p w:rsidR="006069CE" w:rsidRPr="00947B2F" w:rsidRDefault="006069CE" w:rsidP="006069CE">
      <w:pPr>
        <w:rPr>
          <w:rFonts w:cs="Arial"/>
          <w:sz w:val="24"/>
          <w:szCs w:val="24"/>
        </w:rPr>
      </w:pPr>
      <w:r w:rsidRPr="00947B2F">
        <w:rPr>
          <w:rFonts w:cs="Arial"/>
          <w:sz w:val="24"/>
          <w:szCs w:val="24"/>
        </w:rPr>
        <w:t xml:space="preserve">Please evidence below how your organisation is delivering its specific accountability conditions and raise any other matters by </w:t>
      </w:r>
      <w:proofErr w:type="gramStart"/>
      <w:r w:rsidRPr="00947B2F">
        <w:rPr>
          <w:rFonts w:cs="Arial"/>
          <w:sz w:val="24"/>
          <w:szCs w:val="24"/>
        </w:rPr>
        <w:t>exception</w:t>
      </w:r>
      <w:proofErr w:type="gramEnd"/>
      <w:r w:rsidRPr="00947B2F">
        <w:rPr>
          <w:rFonts w:cs="Arial"/>
          <w:sz w:val="24"/>
          <w:szCs w:val="24"/>
        </w:rPr>
        <w:t>.</w:t>
      </w:r>
    </w:p>
    <w:p w:rsidR="006069CE" w:rsidRPr="00947B2F" w:rsidRDefault="006069CE" w:rsidP="006069CE">
      <w:pPr>
        <w:rPr>
          <w:rFonts w:cs="Arial"/>
          <w:sz w:val="24"/>
          <w:szCs w:val="24"/>
        </w:rPr>
      </w:pPr>
      <w:r w:rsidRPr="00947B2F">
        <w:rPr>
          <w:rFonts w:cs="Arial"/>
          <w:sz w:val="24"/>
          <w:szCs w:val="24"/>
        </w:rPr>
        <w:t xml:space="preserve">This template must be submitted to </w:t>
      </w:r>
      <w:hyperlink r:id="rId8" w:history="1">
        <w:r w:rsidRPr="00947B2F">
          <w:rPr>
            <w:rStyle w:val="Hyperlink"/>
            <w:rFonts w:cs="Arial"/>
            <w:sz w:val="24"/>
            <w:szCs w:val="24"/>
          </w:rPr>
          <w:t>HSS-PlanningTeam@gov.wales</w:t>
        </w:r>
      </w:hyperlink>
      <w:r w:rsidRPr="00947B2F">
        <w:rPr>
          <w:rFonts w:cs="Arial"/>
          <w:sz w:val="24"/>
          <w:szCs w:val="24"/>
        </w:rPr>
        <w:t xml:space="preserve"> quarterly. The deadline date for </w:t>
      </w:r>
      <w:r w:rsidR="00947B2F">
        <w:rPr>
          <w:rFonts w:cs="Arial"/>
          <w:sz w:val="24"/>
          <w:szCs w:val="24"/>
        </w:rPr>
        <w:t xml:space="preserve">quarter </w:t>
      </w:r>
      <w:r w:rsidR="00BB7449">
        <w:rPr>
          <w:rFonts w:cs="Arial"/>
          <w:sz w:val="24"/>
          <w:szCs w:val="24"/>
        </w:rPr>
        <w:t>2</w:t>
      </w:r>
      <w:r w:rsidRPr="00947B2F">
        <w:rPr>
          <w:rFonts w:cs="Arial"/>
          <w:sz w:val="24"/>
          <w:szCs w:val="24"/>
        </w:rPr>
        <w:t xml:space="preserve"> is below:</w:t>
      </w:r>
    </w:p>
    <w:p w:rsidR="0063446E" w:rsidRPr="00947B2F" w:rsidRDefault="00316AD7" w:rsidP="00B54EEF">
      <w:pPr>
        <w:rPr>
          <w:rFonts w:cs="Arial"/>
          <w:sz w:val="24"/>
          <w:szCs w:val="24"/>
        </w:rPr>
      </w:pPr>
      <w:r>
        <w:rPr>
          <w:rFonts w:cs="Arial"/>
          <w:sz w:val="24"/>
          <w:szCs w:val="24"/>
        </w:rPr>
        <w:t xml:space="preserve">Quarter 1 – </w:t>
      </w:r>
      <w:r w:rsidR="0047110A">
        <w:rPr>
          <w:rFonts w:cs="Arial"/>
          <w:b/>
          <w:sz w:val="24"/>
          <w:szCs w:val="24"/>
        </w:rPr>
        <w:t>11 October</w:t>
      </w:r>
      <w:r w:rsidRPr="00153E6C">
        <w:rPr>
          <w:rFonts w:cs="Arial"/>
          <w:b/>
          <w:sz w:val="24"/>
          <w:szCs w:val="24"/>
        </w:rPr>
        <w:t xml:space="preserve"> </w:t>
      </w:r>
      <w:r w:rsidR="006069CE" w:rsidRPr="00153E6C">
        <w:rPr>
          <w:rFonts w:cs="Arial"/>
          <w:b/>
          <w:sz w:val="24"/>
          <w:szCs w:val="24"/>
        </w:rPr>
        <w:t>2019</w:t>
      </w:r>
    </w:p>
    <w:p w:rsidR="00922B76" w:rsidRPr="006069CE" w:rsidRDefault="00922B76" w:rsidP="00B54EEF">
      <w:pPr>
        <w:rPr>
          <w:rFonts w:ascii="Arial" w:hAnsi="Arial" w:cs="Arial"/>
          <w:sz w:val="24"/>
          <w:szCs w:val="24"/>
        </w:rPr>
      </w:pPr>
    </w:p>
    <w:tbl>
      <w:tblPr>
        <w:tblStyle w:val="LightShading-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10290"/>
      </w:tblGrid>
      <w:tr w:rsidR="00ED2163" w:rsidTr="006069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88" w:type="dxa"/>
            <w:gridSpan w:val="2"/>
            <w:tcBorders>
              <w:top w:val="single" w:sz="4" w:space="0" w:color="auto"/>
              <w:left w:val="single" w:sz="4" w:space="0" w:color="auto"/>
              <w:bottom w:val="single" w:sz="4" w:space="0" w:color="auto"/>
              <w:right w:val="single" w:sz="4" w:space="0" w:color="auto"/>
            </w:tcBorders>
          </w:tcPr>
          <w:p w:rsidR="00ED2163" w:rsidRPr="00ED2163" w:rsidRDefault="00ED2163" w:rsidP="00ED2163">
            <w:pPr>
              <w:jc w:val="center"/>
              <w:rPr>
                <w:bCs w:val="0"/>
                <w:color w:val="auto"/>
                <w:sz w:val="24"/>
                <w:szCs w:val="24"/>
                <w:u w:val="single"/>
              </w:rPr>
            </w:pPr>
            <w:r w:rsidRPr="00ED2163">
              <w:rPr>
                <w:bCs w:val="0"/>
                <w:color w:val="auto"/>
                <w:sz w:val="24"/>
                <w:szCs w:val="24"/>
                <w:u w:val="single"/>
              </w:rPr>
              <w:t xml:space="preserve">Accountability Conditions </w:t>
            </w:r>
          </w:p>
        </w:tc>
      </w:tr>
      <w:tr w:rsidR="00ED2163" w:rsidTr="006069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8" w:type="dxa"/>
            <w:tcBorders>
              <w:left w:val="single" w:sz="4" w:space="0" w:color="auto"/>
              <w:right w:val="single" w:sz="4" w:space="0" w:color="auto"/>
            </w:tcBorders>
          </w:tcPr>
          <w:p w:rsidR="00ED2163" w:rsidRPr="00ED2163" w:rsidRDefault="00ED2163" w:rsidP="00AB52F3">
            <w:pPr>
              <w:jc w:val="center"/>
              <w:rPr>
                <w:bCs w:val="0"/>
                <w:color w:val="auto"/>
                <w:sz w:val="24"/>
                <w:szCs w:val="24"/>
              </w:rPr>
            </w:pPr>
            <w:r w:rsidRPr="00ED2163">
              <w:rPr>
                <w:bCs w:val="0"/>
                <w:color w:val="auto"/>
                <w:sz w:val="24"/>
                <w:szCs w:val="24"/>
              </w:rPr>
              <w:t xml:space="preserve">Specific </w:t>
            </w:r>
            <w:r w:rsidR="00AB52F3">
              <w:rPr>
                <w:bCs w:val="0"/>
                <w:color w:val="auto"/>
                <w:sz w:val="24"/>
                <w:szCs w:val="24"/>
              </w:rPr>
              <w:t>conditions</w:t>
            </w:r>
          </w:p>
        </w:tc>
        <w:tc>
          <w:tcPr>
            <w:tcW w:w="10290" w:type="dxa"/>
            <w:tcBorders>
              <w:left w:val="single" w:sz="4" w:space="0" w:color="auto"/>
              <w:right w:val="single" w:sz="4" w:space="0" w:color="auto"/>
            </w:tcBorders>
          </w:tcPr>
          <w:p w:rsidR="00ED2163" w:rsidRPr="00ED2163" w:rsidRDefault="00ED2163" w:rsidP="008765EA">
            <w:pPr>
              <w:jc w:val="center"/>
              <w:cnfStyle w:val="000000100000" w:firstRow="0" w:lastRow="0" w:firstColumn="0" w:lastColumn="0" w:oddVBand="0" w:evenVBand="0" w:oddHBand="1" w:evenHBand="0" w:firstRowFirstColumn="0" w:firstRowLastColumn="0" w:lastRowFirstColumn="0" w:lastRowLastColumn="0"/>
              <w:rPr>
                <w:b/>
                <w:color w:val="auto"/>
                <w:sz w:val="24"/>
                <w:szCs w:val="24"/>
              </w:rPr>
            </w:pPr>
            <w:r w:rsidRPr="00ED2163">
              <w:rPr>
                <w:b/>
                <w:color w:val="auto"/>
                <w:sz w:val="24"/>
                <w:szCs w:val="24"/>
              </w:rPr>
              <w:t>Evidence</w:t>
            </w:r>
          </w:p>
        </w:tc>
      </w:tr>
      <w:tr w:rsidR="00B54EEF" w:rsidTr="00606941">
        <w:tc>
          <w:tcPr>
            <w:cnfStyle w:val="001000000000" w:firstRow="0" w:lastRow="0" w:firstColumn="1" w:lastColumn="0" w:oddVBand="0" w:evenVBand="0" w:oddHBand="0" w:evenHBand="0" w:firstRowFirstColumn="0" w:firstRowLastColumn="0" w:lastRowFirstColumn="0" w:lastRowLastColumn="0"/>
            <w:tcW w:w="5098" w:type="dxa"/>
          </w:tcPr>
          <w:p w:rsidR="001B60A7" w:rsidRPr="001B60A7" w:rsidRDefault="001B60A7" w:rsidP="001B60A7">
            <w:pPr>
              <w:pStyle w:val="Default"/>
              <w:numPr>
                <w:ilvl w:val="0"/>
                <w:numId w:val="2"/>
              </w:numPr>
              <w:rPr>
                <w:rFonts w:asciiTheme="minorHAnsi" w:hAnsiTheme="minorHAnsi"/>
                <w:b w:val="0"/>
                <w:color w:val="000000" w:themeColor="text1"/>
              </w:rPr>
            </w:pPr>
            <w:proofErr w:type="gramStart"/>
            <w:r w:rsidRPr="001B60A7">
              <w:rPr>
                <w:rFonts w:asciiTheme="minorHAnsi" w:hAnsiTheme="minorHAnsi"/>
                <w:b w:val="0"/>
                <w:color w:val="000000" w:themeColor="text1"/>
              </w:rPr>
              <w:t>the</w:t>
            </w:r>
            <w:proofErr w:type="gramEnd"/>
            <w:r w:rsidRPr="001B60A7">
              <w:rPr>
                <w:rFonts w:asciiTheme="minorHAnsi" w:hAnsiTheme="minorHAnsi"/>
                <w:b w:val="0"/>
                <w:color w:val="000000" w:themeColor="text1"/>
              </w:rPr>
              <w:t xml:space="preserve"> Board  must accelerate and  strengthen governance and  quality  throughout the organisation.  This must include having a robust improvement plan in place with clear milestones and outcomes to ensure rapid progress is made against key areas (including developing the organisational capacity and capability for improvement and an associated  QI hub, maternity services (including achievement of the milestones set by the Independent Oversight Panel), serious incident and concerns management,  Board leadership, organisational development and governance) and providing evidence of this through monthly reporting arrangements.</w:t>
            </w:r>
          </w:p>
          <w:p w:rsidR="00B54EEF" w:rsidRPr="001B60A7" w:rsidRDefault="00B54EEF" w:rsidP="001B60A7">
            <w:pPr>
              <w:pStyle w:val="Default"/>
              <w:rPr>
                <w:rFonts w:asciiTheme="minorHAnsi" w:hAnsiTheme="minorHAnsi"/>
                <w:b w:val="0"/>
                <w:color w:val="000000" w:themeColor="text1"/>
              </w:rPr>
            </w:pPr>
          </w:p>
        </w:tc>
        <w:tc>
          <w:tcPr>
            <w:tcW w:w="10290" w:type="dxa"/>
            <w:tcBorders>
              <w:right w:val="single" w:sz="4" w:space="0" w:color="auto"/>
            </w:tcBorders>
          </w:tcPr>
          <w:p w:rsidR="009F7DB8" w:rsidRPr="009F7DB8" w:rsidRDefault="009F7DB8" w:rsidP="005E2B58">
            <w:pPr>
              <w:pStyle w:val="ListParagraph"/>
              <w:numPr>
                <w:ilvl w:val="0"/>
                <w:numId w:val="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Verdana" w:hAnsi="Verdana" w:cs="Arial"/>
                <w:color w:val="auto"/>
                <w:lang w:bidi="he-IL"/>
              </w:rPr>
            </w:pPr>
            <w:r>
              <w:rPr>
                <w:rFonts w:ascii="Verdana" w:hAnsi="Verdana" w:cs="Arial"/>
                <w:bCs/>
                <w:color w:val="auto"/>
              </w:rPr>
              <w:t xml:space="preserve">DU, HIW/WAO, HIW and other reviews/reports being considered through governance arrangements and reporting to QSR Committee throughout Oct/Nov 2019 with associated management responses/action plans. </w:t>
            </w:r>
          </w:p>
          <w:p w:rsidR="007669E8" w:rsidRDefault="007669E8" w:rsidP="006E52E4">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Verdana" w:hAnsi="Verdana"/>
                <w:bCs/>
                <w:color w:val="auto"/>
              </w:rPr>
            </w:pPr>
            <w:r w:rsidRPr="007669E8">
              <w:rPr>
                <w:rFonts w:ascii="Verdana" w:hAnsi="Verdana"/>
                <w:bCs/>
                <w:color w:val="auto"/>
              </w:rPr>
              <w:t xml:space="preserve">Quality &amp; Patient Safety </w:t>
            </w:r>
            <w:r w:rsidR="005E2B58" w:rsidRPr="007669E8">
              <w:rPr>
                <w:rFonts w:ascii="Verdana" w:hAnsi="Verdana"/>
                <w:bCs/>
                <w:color w:val="auto"/>
              </w:rPr>
              <w:t xml:space="preserve">Programme Director leading implementation of the Quality and Patient Safety Governance Framework </w:t>
            </w:r>
            <w:r w:rsidRPr="007669E8">
              <w:rPr>
                <w:rFonts w:ascii="Verdana" w:hAnsi="Verdana"/>
                <w:bCs/>
                <w:color w:val="auto"/>
              </w:rPr>
              <w:t xml:space="preserve">which is on target. </w:t>
            </w:r>
            <w:r w:rsidR="005E2B58" w:rsidRPr="007669E8">
              <w:rPr>
                <w:rFonts w:ascii="Verdana" w:hAnsi="Verdana"/>
                <w:bCs/>
                <w:color w:val="auto"/>
              </w:rPr>
              <w:t xml:space="preserve"> </w:t>
            </w:r>
          </w:p>
          <w:p w:rsidR="005E2B58" w:rsidRPr="007669E8" w:rsidRDefault="005E2B58" w:rsidP="006E52E4">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Verdana" w:hAnsi="Verdana"/>
                <w:bCs/>
                <w:color w:val="auto"/>
              </w:rPr>
            </w:pPr>
            <w:r w:rsidRPr="007669E8">
              <w:rPr>
                <w:rFonts w:ascii="Verdana" w:hAnsi="Verdana"/>
                <w:bCs/>
                <w:color w:val="auto"/>
              </w:rPr>
              <w:t xml:space="preserve">Weekly oversight of serious incident and concerns management, some improvement in performance  in terms of 30 and 60 day response times. </w:t>
            </w:r>
          </w:p>
          <w:p w:rsidR="005E2B58" w:rsidRDefault="005E2B58" w:rsidP="005E2B58">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Verdana" w:hAnsi="Verdana"/>
                <w:bCs/>
                <w:color w:val="auto"/>
              </w:rPr>
            </w:pPr>
            <w:r w:rsidRPr="005E2B58">
              <w:rPr>
                <w:rFonts w:ascii="Verdana" w:hAnsi="Verdana"/>
                <w:color w:val="auto"/>
              </w:rPr>
              <w:t xml:space="preserve">Following IMSOP and Welsh Government workshop in August 2019, a performance and assurance framework has been agreed, aligning performance management to the HIW domains of Safe and Effective </w:t>
            </w:r>
            <w:r w:rsidRPr="005E2B58">
              <w:rPr>
                <w:rFonts w:ascii="Verdana" w:hAnsi="Verdana"/>
                <w:bCs/>
                <w:color w:val="auto"/>
              </w:rPr>
              <w:t>Care, Quality of Management and Leadership and Quality of Patient Experience.</w:t>
            </w:r>
          </w:p>
          <w:p w:rsidR="007669E8" w:rsidRPr="007669E8" w:rsidRDefault="007669E8" w:rsidP="007669E8">
            <w:pPr>
              <w:pStyle w:val="ListParagraph"/>
              <w:numPr>
                <w:ilvl w:val="0"/>
                <w:numId w:val="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Verdana" w:hAnsi="Verdana"/>
                <w:bCs/>
                <w:color w:val="auto"/>
              </w:rPr>
            </w:pPr>
            <w:r w:rsidRPr="005E2B58">
              <w:rPr>
                <w:rFonts w:ascii="Verdana" w:hAnsi="Verdana"/>
                <w:bCs/>
                <w:color w:val="auto"/>
              </w:rPr>
              <w:t>Offer of support interventions by delivery unit welcomed, currently being scoped.</w:t>
            </w:r>
          </w:p>
          <w:p w:rsidR="005E2B58" w:rsidRPr="005E2B58" w:rsidRDefault="005E2B58" w:rsidP="005E2B58">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Cs/>
                <w:color w:val="auto"/>
                <w:sz w:val="24"/>
                <w:szCs w:val="24"/>
                <w:lang w:eastAsia="en-GB"/>
              </w:rPr>
            </w:pPr>
            <w:r w:rsidRPr="005E2B58">
              <w:rPr>
                <w:rFonts w:ascii="Verdana" w:eastAsia="Times New Roman" w:hAnsi="Verdana" w:cs="Times New Roman"/>
                <w:bCs/>
                <w:color w:val="auto"/>
                <w:sz w:val="24"/>
                <w:szCs w:val="24"/>
                <w:lang w:eastAsia="en-GB"/>
              </w:rPr>
              <w:t>RAG: Green</w:t>
            </w:r>
          </w:p>
          <w:p w:rsidR="007669E8" w:rsidRPr="007669E8" w:rsidRDefault="007669E8" w:rsidP="007669E8">
            <w:pPr>
              <w:pStyle w:val="ListParagraph"/>
              <w:numPr>
                <w:ilvl w:val="0"/>
                <w:numId w:val="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Verdana" w:hAnsi="Verdana" w:cs="Arial"/>
                <w:color w:val="auto"/>
                <w:lang w:bidi="he-IL"/>
              </w:rPr>
            </w:pPr>
            <w:r>
              <w:rPr>
                <w:rFonts w:ascii="Verdana" w:hAnsi="Verdana" w:cs="Arial"/>
                <w:color w:val="auto"/>
                <w:lang w:bidi="he-IL"/>
              </w:rPr>
              <w:t>Programme Management arrangements being put in place to address issues falling under Targeted Intervention and Special Measures (</w:t>
            </w:r>
            <w:r w:rsidR="00606941" w:rsidRPr="00D6431C">
              <w:rPr>
                <w:rFonts w:ascii="Verdana" w:hAnsi="Verdana" w:cs="Arial"/>
                <w:color w:val="auto"/>
                <w:lang w:bidi="he-IL"/>
              </w:rPr>
              <w:t>Appendix 1</w:t>
            </w:r>
            <w:r>
              <w:rPr>
                <w:rFonts w:ascii="Verdana" w:hAnsi="Verdana" w:cs="Arial"/>
                <w:color w:val="auto"/>
                <w:lang w:bidi="he-IL"/>
              </w:rPr>
              <w:t xml:space="preserve"> - presented to Board Sept 2019). </w:t>
            </w:r>
          </w:p>
          <w:p w:rsidR="005E2B58" w:rsidRPr="005E2B58" w:rsidRDefault="005E2B58" w:rsidP="005E2B58">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Verdana" w:hAnsi="Verdana"/>
                <w:bCs/>
                <w:color w:val="auto"/>
              </w:rPr>
            </w:pPr>
            <w:r w:rsidRPr="005E2B58">
              <w:rPr>
                <w:rFonts w:ascii="Verdana" w:hAnsi="Verdana"/>
                <w:bCs/>
                <w:color w:val="auto"/>
              </w:rPr>
              <w:t>Plans for realignment of the organisational resource related to quality in development as part of the organisation’s structures work</w:t>
            </w:r>
            <w:r w:rsidR="007669E8">
              <w:rPr>
                <w:rFonts w:ascii="Verdana" w:hAnsi="Verdana"/>
                <w:bCs/>
                <w:color w:val="auto"/>
              </w:rPr>
              <w:t>.</w:t>
            </w:r>
          </w:p>
          <w:p w:rsidR="005E2B58" w:rsidRPr="005E2B58" w:rsidRDefault="005E2B58" w:rsidP="007669E8">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Cs/>
                <w:color w:val="auto"/>
                <w:sz w:val="24"/>
                <w:szCs w:val="24"/>
                <w:lang w:eastAsia="en-GB"/>
              </w:rPr>
            </w:pPr>
            <w:r w:rsidRPr="005E2B58">
              <w:rPr>
                <w:rFonts w:ascii="Verdana" w:eastAsia="Times New Roman" w:hAnsi="Verdana" w:cs="Times New Roman"/>
                <w:bCs/>
                <w:color w:val="auto"/>
                <w:sz w:val="24"/>
                <w:szCs w:val="24"/>
                <w:lang w:eastAsia="en-GB"/>
              </w:rPr>
              <w:t xml:space="preserve">RAG: Amber </w:t>
            </w:r>
          </w:p>
          <w:p w:rsidR="00B54EEF" w:rsidRPr="00ED2163" w:rsidRDefault="00B54EEF">
            <w:pPr>
              <w:cnfStyle w:val="000000000000" w:firstRow="0" w:lastRow="0" w:firstColumn="0" w:lastColumn="0" w:oddVBand="0" w:evenVBand="0" w:oddHBand="0" w:evenHBand="0" w:firstRowFirstColumn="0" w:firstRowLastColumn="0" w:lastRowFirstColumn="0" w:lastRowLastColumn="0"/>
              <w:rPr>
                <w:bCs/>
                <w:color w:val="auto"/>
                <w:sz w:val="24"/>
                <w:szCs w:val="24"/>
              </w:rPr>
            </w:pPr>
          </w:p>
        </w:tc>
      </w:tr>
      <w:tr w:rsidR="00B54EEF" w:rsidTr="006069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8" w:type="dxa"/>
            <w:tcBorders>
              <w:left w:val="none" w:sz="0" w:space="0" w:color="auto"/>
              <w:right w:val="none" w:sz="0" w:space="0" w:color="auto"/>
            </w:tcBorders>
          </w:tcPr>
          <w:p w:rsidR="001B60A7" w:rsidRPr="001B60A7" w:rsidRDefault="001B60A7" w:rsidP="001B60A7">
            <w:pPr>
              <w:pStyle w:val="Default"/>
              <w:numPr>
                <w:ilvl w:val="0"/>
                <w:numId w:val="2"/>
              </w:numPr>
              <w:rPr>
                <w:rFonts w:asciiTheme="minorHAnsi" w:hAnsiTheme="minorHAnsi"/>
                <w:b w:val="0"/>
                <w:color w:val="000000" w:themeColor="text1"/>
              </w:rPr>
            </w:pPr>
            <w:r w:rsidRPr="001B60A7">
              <w:rPr>
                <w:rFonts w:asciiTheme="minorHAnsi" w:hAnsiTheme="minorHAnsi"/>
                <w:b w:val="0"/>
                <w:color w:val="000000" w:themeColor="text1"/>
              </w:rPr>
              <w:t>Ongoing assurance in relation to the transitional arrangements for the Bridgend boundary change, including organisational development arrangements required and financial implications;</w:t>
            </w:r>
          </w:p>
          <w:p w:rsidR="00B54EEF" w:rsidRPr="001B60A7" w:rsidRDefault="00B54EEF" w:rsidP="001B60A7">
            <w:pPr>
              <w:pStyle w:val="Default"/>
              <w:ind w:left="360"/>
              <w:rPr>
                <w:rFonts w:asciiTheme="minorHAnsi" w:hAnsiTheme="minorHAnsi"/>
                <w:b w:val="0"/>
                <w:color w:val="000000" w:themeColor="text1"/>
              </w:rPr>
            </w:pPr>
          </w:p>
        </w:tc>
        <w:tc>
          <w:tcPr>
            <w:tcW w:w="10290" w:type="dxa"/>
            <w:tcBorders>
              <w:left w:val="none" w:sz="0" w:space="0" w:color="auto"/>
              <w:right w:val="none" w:sz="0" w:space="0" w:color="auto"/>
            </w:tcBorders>
          </w:tcPr>
          <w:p w:rsidR="00B54EEF" w:rsidRDefault="005E2B58" w:rsidP="00606941">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Verdana" w:hAnsi="Verdana" w:cs="Verdana"/>
                <w:color w:val="auto"/>
              </w:rPr>
            </w:pPr>
            <w:r w:rsidRPr="005E2B58">
              <w:rPr>
                <w:rFonts w:ascii="Verdana" w:hAnsi="Verdana" w:cs="Verdana"/>
                <w:color w:val="auto"/>
              </w:rPr>
              <w:t>Update on the Legacy Statement from the Bridgend Boundary Quality and Patient Safety Work Stream presented to the Quality Safety &amp; Risk Committee 5 September 2019</w:t>
            </w:r>
          </w:p>
          <w:p w:rsidR="00606941" w:rsidRPr="00606941" w:rsidRDefault="00606941" w:rsidP="00606941">
            <w:pPr>
              <w:pStyle w:val="BodyText"/>
              <w:numPr>
                <w:ilvl w:val="0"/>
                <w:numId w:val="4"/>
              </w:numPr>
              <w:jc w:val="both"/>
              <w:cnfStyle w:val="000000100000" w:firstRow="0" w:lastRow="0" w:firstColumn="0" w:lastColumn="0" w:oddVBand="0" w:evenVBand="0" w:oddHBand="1" w:evenHBand="0" w:firstRowFirstColumn="0" w:firstRowLastColumn="0" w:lastRowFirstColumn="0" w:lastRowLastColumn="0"/>
              <w:rPr>
                <w:rFonts w:ascii="Verdana" w:hAnsi="Verdana"/>
                <w:bCs/>
                <w:color w:val="000000" w:themeColor="text1"/>
              </w:rPr>
            </w:pPr>
            <w:r>
              <w:rPr>
                <w:rFonts w:ascii="Verdana" w:hAnsi="Verdana"/>
                <w:bCs/>
                <w:color w:val="auto"/>
              </w:rPr>
              <w:t>The</w:t>
            </w:r>
            <w:r w:rsidRPr="000F5071">
              <w:rPr>
                <w:rFonts w:ascii="Verdana" w:hAnsi="Verdana"/>
                <w:bCs/>
                <w:color w:val="auto"/>
              </w:rPr>
              <w:t xml:space="preserve"> Joint </w:t>
            </w:r>
            <w:r>
              <w:rPr>
                <w:rFonts w:ascii="Verdana" w:hAnsi="Verdana"/>
                <w:bCs/>
                <w:color w:val="auto"/>
              </w:rPr>
              <w:t xml:space="preserve">Swansea Bay /CTM UHB </w:t>
            </w:r>
            <w:r w:rsidRPr="000F5071">
              <w:rPr>
                <w:rFonts w:ascii="Verdana" w:hAnsi="Verdana"/>
                <w:bCs/>
                <w:color w:val="auto"/>
              </w:rPr>
              <w:t xml:space="preserve">Executive Group </w:t>
            </w:r>
            <w:r>
              <w:rPr>
                <w:rFonts w:ascii="Verdana" w:hAnsi="Verdana"/>
                <w:bCs/>
                <w:color w:val="auto"/>
              </w:rPr>
              <w:t>is meeting regularly to oversee the delivery of the ongoing joint w</w:t>
            </w:r>
            <w:r w:rsidRPr="000F5071">
              <w:rPr>
                <w:rFonts w:ascii="Verdana" w:hAnsi="Verdana"/>
                <w:color w:val="auto"/>
              </w:rPr>
              <w:t>ork relating to the Bridgend Boundary Change.</w:t>
            </w:r>
          </w:p>
          <w:p w:rsidR="00606941" w:rsidRPr="00EC4504" w:rsidRDefault="00606941" w:rsidP="00606941">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bCs/>
                <w:color w:val="auto"/>
              </w:rPr>
            </w:pPr>
            <w:r>
              <w:rPr>
                <w:rFonts w:asciiTheme="minorHAnsi" w:hAnsiTheme="minorHAnsi"/>
                <w:bCs/>
                <w:color w:val="000000" w:themeColor="text1"/>
              </w:rPr>
              <w:t xml:space="preserve">Following the analysis the consultation on CTM UHB organisational structures in July, an engagement exercise is underway to develop </w:t>
            </w:r>
            <w:proofErr w:type="gramStart"/>
            <w:r>
              <w:rPr>
                <w:rFonts w:asciiTheme="minorHAnsi" w:hAnsiTheme="minorHAnsi"/>
                <w:bCs/>
                <w:color w:val="000000" w:themeColor="text1"/>
              </w:rPr>
              <w:t>an</w:t>
            </w:r>
            <w:proofErr w:type="gramEnd"/>
            <w:r>
              <w:rPr>
                <w:rFonts w:asciiTheme="minorHAnsi" w:hAnsiTheme="minorHAnsi"/>
                <w:bCs/>
                <w:color w:val="000000" w:themeColor="text1"/>
              </w:rPr>
              <w:t xml:space="preserve"> new operational model and subsequent organisational structure</w:t>
            </w:r>
            <w:r w:rsidRPr="00EC4504">
              <w:rPr>
                <w:rFonts w:asciiTheme="minorHAnsi" w:hAnsiTheme="minorHAnsi"/>
                <w:bCs/>
                <w:color w:val="auto"/>
              </w:rPr>
              <w:t>.</w:t>
            </w:r>
          </w:p>
          <w:p w:rsidR="005E2B58" w:rsidRDefault="005E2B58" w:rsidP="005E2B58">
            <w:pPr>
              <w:cnfStyle w:val="000000100000" w:firstRow="0" w:lastRow="0" w:firstColumn="0" w:lastColumn="0" w:oddVBand="0" w:evenVBand="0" w:oddHBand="1" w:evenHBand="0" w:firstRowFirstColumn="0" w:firstRowLastColumn="0" w:lastRowFirstColumn="0" w:lastRowLastColumn="0"/>
              <w:rPr>
                <w:rFonts w:ascii="Verdana" w:eastAsia="Times New Roman" w:hAnsi="Verdana" w:cs="Verdana"/>
                <w:color w:val="auto"/>
                <w:sz w:val="24"/>
                <w:szCs w:val="24"/>
                <w:lang w:eastAsia="en-GB"/>
              </w:rPr>
            </w:pPr>
            <w:r w:rsidRPr="005E2B58">
              <w:rPr>
                <w:rFonts w:ascii="Verdana" w:eastAsia="Times New Roman" w:hAnsi="Verdana" w:cs="Verdana"/>
                <w:color w:val="auto"/>
                <w:sz w:val="24"/>
                <w:szCs w:val="24"/>
                <w:lang w:eastAsia="en-GB"/>
              </w:rPr>
              <w:t>RAG: Green</w:t>
            </w:r>
          </w:p>
          <w:p w:rsidR="00606941" w:rsidRPr="005E2B58" w:rsidRDefault="00606941" w:rsidP="005E2B58">
            <w:pPr>
              <w:cnfStyle w:val="000000100000" w:firstRow="0" w:lastRow="0" w:firstColumn="0" w:lastColumn="0" w:oddVBand="0" w:evenVBand="0" w:oddHBand="1" w:evenHBand="0" w:firstRowFirstColumn="0" w:firstRowLastColumn="0" w:lastRowFirstColumn="0" w:lastRowLastColumn="0"/>
              <w:rPr>
                <w:bCs/>
              </w:rPr>
            </w:pPr>
            <w:r>
              <w:rPr>
                <w:rFonts w:ascii="Verdana" w:eastAsia="Times New Roman" w:hAnsi="Verdana" w:cs="Verdana"/>
                <w:color w:val="auto"/>
                <w:sz w:val="24"/>
                <w:szCs w:val="24"/>
                <w:lang w:eastAsia="en-GB"/>
              </w:rPr>
              <w:t xml:space="preserve">The outcome of arbitration is covered with the Finance section </w:t>
            </w:r>
          </w:p>
        </w:tc>
      </w:tr>
      <w:tr w:rsidR="00B54EEF" w:rsidTr="00606941">
        <w:tc>
          <w:tcPr>
            <w:cnfStyle w:val="001000000000" w:firstRow="0" w:lastRow="0" w:firstColumn="1" w:lastColumn="0" w:oddVBand="0" w:evenVBand="0" w:oddHBand="0" w:evenHBand="0" w:firstRowFirstColumn="0" w:firstRowLastColumn="0" w:lastRowFirstColumn="0" w:lastRowLastColumn="0"/>
            <w:tcW w:w="5098" w:type="dxa"/>
          </w:tcPr>
          <w:p w:rsidR="001B60A7" w:rsidRPr="001B60A7" w:rsidRDefault="001B60A7" w:rsidP="001B60A7">
            <w:pPr>
              <w:pStyle w:val="Default"/>
              <w:numPr>
                <w:ilvl w:val="0"/>
                <w:numId w:val="2"/>
              </w:numPr>
              <w:rPr>
                <w:rFonts w:asciiTheme="minorHAnsi" w:hAnsiTheme="minorHAnsi"/>
                <w:b w:val="0"/>
                <w:color w:val="000000" w:themeColor="text1"/>
              </w:rPr>
            </w:pPr>
            <w:r w:rsidRPr="001B60A7">
              <w:rPr>
                <w:rFonts w:asciiTheme="minorHAnsi" w:hAnsiTheme="minorHAnsi"/>
                <w:b w:val="0"/>
                <w:color w:val="000000" w:themeColor="text1"/>
              </w:rPr>
              <w:t>Ongoing assurance and sustained improvement in the health board’s role as a provider of specialist CAMHS services to your population and for those services you provide on behalf of other health boards;</w:t>
            </w:r>
          </w:p>
          <w:p w:rsidR="00B54EEF" w:rsidRPr="001B60A7" w:rsidRDefault="00B54EEF" w:rsidP="001B60A7">
            <w:pPr>
              <w:pStyle w:val="Default"/>
              <w:rPr>
                <w:rFonts w:asciiTheme="minorHAnsi" w:hAnsiTheme="minorHAnsi"/>
                <w:b w:val="0"/>
                <w:color w:val="000000" w:themeColor="text1"/>
              </w:rPr>
            </w:pPr>
          </w:p>
        </w:tc>
        <w:tc>
          <w:tcPr>
            <w:tcW w:w="10290" w:type="dxa"/>
          </w:tcPr>
          <w:p w:rsidR="00170F9B" w:rsidRDefault="00170F9B" w:rsidP="00170F9B">
            <w:pPr>
              <w:cnfStyle w:val="000000000000" w:firstRow="0" w:lastRow="0" w:firstColumn="0" w:lastColumn="0" w:oddVBand="0" w:evenVBand="0" w:oddHBand="0" w:evenHBand="0" w:firstRowFirstColumn="0" w:firstRowLastColumn="0" w:lastRowFirstColumn="0" w:lastRowLastColumn="0"/>
              <w:rPr>
                <w:b/>
                <w:bCs/>
                <w:color w:val="auto"/>
                <w:sz w:val="24"/>
                <w:szCs w:val="24"/>
              </w:rPr>
            </w:pPr>
            <w:r w:rsidRPr="00472E70">
              <w:rPr>
                <w:b/>
                <w:bCs/>
                <w:color w:val="auto"/>
                <w:sz w:val="24"/>
                <w:szCs w:val="24"/>
              </w:rPr>
              <w:t xml:space="preserve">Ty </w:t>
            </w:r>
            <w:proofErr w:type="spellStart"/>
            <w:r w:rsidRPr="00472E70">
              <w:rPr>
                <w:b/>
                <w:bCs/>
                <w:color w:val="auto"/>
                <w:sz w:val="24"/>
                <w:szCs w:val="24"/>
              </w:rPr>
              <w:t>Llidiard</w:t>
            </w:r>
            <w:proofErr w:type="spellEnd"/>
            <w:r>
              <w:rPr>
                <w:b/>
                <w:bCs/>
                <w:color w:val="auto"/>
                <w:sz w:val="24"/>
                <w:szCs w:val="24"/>
              </w:rPr>
              <w:t xml:space="preserve"> Tier 4 CAMHS Inpatient Unit.</w:t>
            </w:r>
          </w:p>
          <w:p w:rsidR="00170F9B" w:rsidRDefault="00170F9B" w:rsidP="00170F9B">
            <w:pPr>
              <w:cnfStyle w:val="000000000000" w:firstRow="0" w:lastRow="0" w:firstColumn="0" w:lastColumn="0" w:oddVBand="0" w:evenVBand="0" w:oddHBand="0" w:evenHBand="0" w:firstRowFirstColumn="0" w:firstRowLastColumn="0" w:lastRowFirstColumn="0" w:lastRowLastColumn="0"/>
              <w:rPr>
                <w:b/>
                <w:bCs/>
                <w:color w:val="auto"/>
                <w:sz w:val="24"/>
                <w:szCs w:val="24"/>
              </w:rPr>
            </w:pPr>
          </w:p>
          <w:p w:rsidR="00170F9B" w:rsidRPr="00B7375D"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Verdana" w:hAnsi="Verdana"/>
                <w:color w:val="auto"/>
              </w:rPr>
            </w:pPr>
            <w:r w:rsidRPr="00B7375D">
              <w:rPr>
                <w:rFonts w:ascii="Verdana" w:hAnsi="Verdana"/>
                <w:color w:val="auto"/>
              </w:rPr>
              <w:t>Following the approval of funding during 2018/19, the works to enhance the security and reduce ligature risks on the Unit have been largely completed, with a small number of outstanding works now being finished off.  The Unit is therefore now in a possible to review the interim admission agreed with WHSSC, with a view to returning to previous criteria. This will tie in with the discussions arising from the current WHSSC consultation regarding the updated service specification for CAMHS tier 4 inpatient units, due to close on the 18</w:t>
            </w:r>
            <w:r w:rsidRPr="00B7375D">
              <w:rPr>
                <w:rFonts w:ascii="Verdana" w:hAnsi="Verdana"/>
                <w:color w:val="auto"/>
                <w:vertAlign w:val="superscript"/>
              </w:rPr>
              <w:t>th</w:t>
            </w:r>
            <w:r w:rsidRPr="00B7375D">
              <w:rPr>
                <w:rFonts w:ascii="Verdana" w:hAnsi="Verdana"/>
                <w:color w:val="auto"/>
              </w:rPr>
              <w:t xml:space="preserve"> October.</w:t>
            </w:r>
          </w:p>
          <w:p w:rsidR="00170F9B" w:rsidRPr="00B7375D"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Verdana" w:hAnsi="Verdana"/>
                <w:color w:val="auto"/>
              </w:rPr>
            </w:pPr>
          </w:p>
          <w:p w:rsidR="00170F9B" w:rsidRPr="00B7375D"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Verdana" w:hAnsi="Verdana"/>
                <w:color w:val="auto"/>
              </w:rPr>
            </w:pPr>
            <w:r w:rsidRPr="00B7375D">
              <w:rPr>
                <w:rFonts w:ascii="Verdana" w:hAnsi="Verdana"/>
                <w:color w:val="auto"/>
              </w:rPr>
              <w:t>The Unit continues to face challenge in terms of being requested to admit patients outside the admission criteria and difficulty in discharging certain patient groups, particularly where there are social care requirements. It is understood that there is work ongoing within Welsh Government to review the provision of services within health and social care and this focus on alignment between services and planning is welcomed by the service.</w:t>
            </w:r>
          </w:p>
          <w:p w:rsidR="00170F9B"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p>
          <w:p w:rsidR="00170F9B"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b/>
                <w:color w:val="auto"/>
              </w:rPr>
            </w:pPr>
            <w:r w:rsidRPr="00472E70">
              <w:rPr>
                <w:rFonts w:asciiTheme="majorHAnsi" w:hAnsiTheme="majorHAnsi" w:cs="Times New Roman"/>
                <w:b/>
                <w:color w:val="auto"/>
              </w:rPr>
              <w:t>Specialist CAMHS</w:t>
            </w:r>
          </w:p>
          <w:p w:rsidR="00170F9B" w:rsidRPr="00166AAA"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p>
          <w:p w:rsidR="00170F9B"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r>
              <w:rPr>
                <w:rFonts w:asciiTheme="majorHAnsi" w:hAnsiTheme="majorHAnsi" w:cs="Times New Roman"/>
                <w:color w:val="auto"/>
              </w:rPr>
              <w:t>As</w:t>
            </w:r>
            <w:r w:rsidRPr="00166AAA">
              <w:rPr>
                <w:rFonts w:asciiTheme="majorHAnsi" w:hAnsiTheme="majorHAnsi" w:cs="Times New Roman"/>
                <w:color w:val="auto"/>
              </w:rPr>
              <w:t xml:space="preserve"> at </w:t>
            </w:r>
            <w:r>
              <w:rPr>
                <w:rFonts w:asciiTheme="majorHAnsi" w:hAnsiTheme="majorHAnsi" w:cs="Times New Roman"/>
                <w:color w:val="auto"/>
              </w:rPr>
              <w:t>1</w:t>
            </w:r>
            <w:r w:rsidRPr="00F73BC0">
              <w:rPr>
                <w:rFonts w:asciiTheme="majorHAnsi" w:hAnsiTheme="majorHAnsi" w:cs="Times New Roman"/>
                <w:color w:val="auto"/>
                <w:vertAlign w:val="superscript"/>
              </w:rPr>
              <w:t>st</w:t>
            </w:r>
            <w:r>
              <w:rPr>
                <w:rFonts w:asciiTheme="majorHAnsi" w:hAnsiTheme="majorHAnsi" w:cs="Times New Roman"/>
                <w:color w:val="auto"/>
              </w:rPr>
              <w:t xml:space="preserve"> October 2019,</w:t>
            </w:r>
            <w:r w:rsidRPr="00166AAA">
              <w:rPr>
                <w:rFonts w:asciiTheme="majorHAnsi" w:hAnsiTheme="majorHAnsi" w:cs="Times New Roman"/>
                <w:color w:val="auto"/>
              </w:rPr>
              <w:t xml:space="preserve"> the </w:t>
            </w:r>
            <w:r>
              <w:rPr>
                <w:rFonts w:asciiTheme="majorHAnsi" w:hAnsiTheme="majorHAnsi" w:cs="Times New Roman"/>
                <w:color w:val="auto"/>
              </w:rPr>
              <w:t xml:space="preserve">unverified </w:t>
            </w:r>
            <w:r w:rsidRPr="00166AAA">
              <w:rPr>
                <w:rFonts w:asciiTheme="majorHAnsi" w:hAnsiTheme="majorHAnsi" w:cs="Times New Roman"/>
                <w:color w:val="auto"/>
              </w:rPr>
              <w:t>position</w:t>
            </w:r>
            <w:r>
              <w:rPr>
                <w:rFonts w:asciiTheme="majorHAnsi" w:hAnsiTheme="majorHAnsi" w:cs="Times New Roman"/>
                <w:color w:val="auto"/>
              </w:rPr>
              <w:t>,</w:t>
            </w:r>
            <w:r w:rsidRPr="00166AAA">
              <w:rPr>
                <w:rFonts w:asciiTheme="majorHAnsi" w:hAnsiTheme="majorHAnsi" w:cs="Times New Roman"/>
                <w:color w:val="auto"/>
              </w:rPr>
              <w:t xml:space="preserve"> in CTM </w:t>
            </w:r>
            <w:r>
              <w:rPr>
                <w:rFonts w:asciiTheme="majorHAnsi" w:hAnsiTheme="majorHAnsi" w:cs="Times New Roman"/>
                <w:color w:val="auto"/>
              </w:rPr>
              <w:t xml:space="preserve">UHB </w:t>
            </w:r>
            <w:r w:rsidRPr="00166AAA">
              <w:rPr>
                <w:rFonts w:asciiTheme="majorHAnsi" w:hAnsiTheme="majorHAnsi" w:cs="Times New Roman"/>
                <w:color w:val="auto"/>
              </w:rPr>
              <w:t xml:space="preserve">was </w:t>
            </w:r>
            <w:r>
              <w:rPr>
                <w:rFonts w:asciiTheme="majorHAnsi" w:hAnsiTheme="majorHAnsi" w:cs="Times New Roman"/>
                <w:color w:val="auto"/>
              </w:rPr>
              <w:t xml:space="preserve">85.3% </w:t>
            </w:r>
            <w:r w:rsidRPr="00166AAA">
              <w:rPr>
                <w:rFonts w:asciiTheme="majorHAnsi" w:hAnsiTheme="majorHAnsi" w:cs="Times New Roman"/>
                <w:color w:val="auto"/>
              </w:rPr>
              <w:t xml:space="preserve">and in Swansea Bay </w:t>
            </w:r>
            <w:r>
              <w:rPr>
                <w:rFonts w:asciiTheme="majorHAnsi" w:hAnsiTheme="majorHAnsi" w:cs="Times New Roman"/>
                <w:color w:val="auto"/>
              </w:rPr>
              <w:t xml:space="preserve">UHB 96.7%. Therefore the 80% target is currently being met across the two Health Boards. </w:t>
            </w:r>
          </w:p>
          <w:p w:rsidR="00170F9B"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p>
          <w:p w:rsidR="00170F9B" w:rsidRPr="00166AAA" w:rsidRDefault="00170F9B" w:rsidP="00170F9B">
            <w:pPr>
              <w:pStyle w:val="Default"/>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r>
              <w:rPr>
                <w:rFonts w:asciiTheme="majorHAnsi" w:hAnsiTheme="majorHAnsi" w:cs="Times New Roman"/>
                <w:color w:val="auto"/>
              </w:rPr>
              <w:t xml:space="preserve">Waiting list initiatives are ongoing to maintain this position whilst substantive staff are being recruited from the funding received from Welsh Government. </w:t>
            </w:r>
          </w:p>
          <w:p w:rsidR="00170F9B" w:rsidRPr="00166AAA" w:rsidRDefault="00170F9B" w:rsidP="00170F9B">
            <w:pPr>
              <w:pStyle w:val="Default"/>
              <w:ind w:firstLine="720"/>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p>
          <w:p w:rsidR="00B54EEF" w:rsidRDefault="00170F9B" w:rsidP="00170F9B">
            <w:pPr>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r>
              <w:rPr>
                <w:rFonts w:asciiTheme="majorHAnsi" w:hAnsiTheme="majorHAnsi" w:cs="Times New Roman"/>
                <w:color w:val="auto"/>
              </w:rPr>
              <w:t>As reported previously in Swansea Bay there is a capital project ongoing to move all Swansea CAMHS staff to Neath Port Talbot Hospital so that all staff will work from one base and to support the implementation of a single point of access.</w:t>
            </w:r>
          </w:p>
          <w:p w:rsidR="00170F9B" w:rsidRDefault="00170F9B" w:rsidP="00170F9B">
            <w:pPr>
              <w:cnfStyle w:val="000000000000" w:firstRow="0" w:lastRow="0" w:firstColumn="0" w:lastColumn="0" w:oddVBand="0" w:evenVBand="0" w:oddHBand="0" w:evenHBand="0" w:firstRowFirstColumn="0" w:firstRowLastColumn="0" w:lastRowFirstColumn="0" w:lastRowLastColumn="0"/>
              <w:rPr>
                <w:rFonts w:asciiTheme="majorHAnsi" w:hAnsiTheme="majorHAnsi" w:cs="Times New Roman"/>
                <w:color w:val="auto"/>
              </w:rPr>
            </w:pPr>
          </w:p>
          <w:p w:rsidR="00170F9B" w:rsidRPr="00ED2163" w:rsidRDefault="00170F9B" w:rsidP="00170F9B">
            <w:pPr>
              <w:cnfStyle w:val="000000000000" w:firstRow="0" w:lastRow="0" w:firstColumn="0" w:lastColumn="0" w:oddVBand="0" w:evenVBand="0" w:oddHBand="0" w:evenHBand="0" w:firstRowFirstColumn="0" w:firstRowLastColumn="0" w:lastRowFirstColumn="0" w:lastRowLastColumn="0"/>
              <w:rPr>
                <w:bCs/>
                <w:color w:val="auto"/>
                <w:sz w:val="24"/>
                <w:szCs w:val="24"/>
              </w:rPr>
            </w:pPr>
            <w:r w:rsidRPr="005E2B58">
              <w:rPr>
                <w:rFonts w:ascii="Verdana" w:eastAsia="Times New Roman" w:hAnsi="Verdana" w:cs="Verdana"/>
                <w:color w:val="auto"/>
                <w:sz w:val="24"/>
                <w:szCs w:val="24"/>
                <w:lang w:eastAsia="en-GB"/>
              </w:rPr>
              <w:t>RAG: Green</w:t>
            </w:r>
          </w:p>
        </w:tc>
      </w:tr>
      <w:tr w:rsidR="00B54EEF" w:rsidTr="00606941">
        <w:trPr>
          <w:cnfStyle w:val="000000100000" w:firstRow="0" w:lastRow="0" w:firstColumn="0" w:lastColumn="0" w:oddVBand="0" w:evenVBand="0" w:oddHBand="1" w:evenHBand="0" w:firstRowFirstColumn="0" w:firstRowLastColumn="0" w:lastRowFirstColumn="0" w:lastRowLastColumn="0"/>
          <w:trHeight w:val="1015"/>
        </w:trPr>
        <w:tc>
          <w:tcPr>
            <w:cnfStyle w:val="001000000000" w:firstRow="0" w:lastRow="0" w:firstColumn="1" w:lastColumn="0" w:oddVBand="0" w:evenVBand="0" w:oddHBand="0" w:evenHBand="0" w:firstRowFirstColumn="0" w:firstRowLastColumn="0" w:lastRowFirstColumn="0" w:lastRowLastColumn="0"/>
            <w:tcW w:w="5098" w:type="dxa"/>
            <w:tcBorders>
              <w:left w:val="none" w:sz="0" w:space="0" w:color="auto"/>
              <w:right w:val="none" w:sz="0" w:space="0" w:color="auto"/>
            </w:tcBorders>
          </w:tcPr>
          <w:p w:rsidR="00B54EEF" w:rsidRPr="001B60A7" w:rsidRDefault="001B60A7" w:rsidP="001B60A7">
            <w:pPr>
              <w:pStyle w:val="Default"/>
              <w:numPr>
                <w:ilvl w:val="0"/>
                <w:numId w:val="2"/>
              </w:numPr>
              <w:rPr>
                <w:rFonts w:asciiTheme="minorHAnsi" w:hAnsiTheme="minorHAnsi"/>
                <w:b w:val="0"/>
                <w:color w:val="000000" w:themeColor="text1"/>
              </w:rPr>
            </w:pPr>
            <w:r w:rsidRPr="001B60A7">
              <w:rPr>
                <w:rFonts w:asciiTheme="minorHAnsi" w:hAnsiTheme="minorHAnsi"/>
                <w:b w:val="0"/>
                <w:color w:val="000000" w:themeColor="text1"/>
              </w:rPr>
              <w:t>Increased clarity on actions, deliverables and milestones for all aspects of the plan must be in place and scrutinised by the Board; and</w:t>
            </w:r>
          </w:p>
        </w:tc>
        <w:tc>
          <w:tcPr>
            <w:tcW w:w="10290" w:type="dxa"/>
            <w:tcBorders>
              <w:left w:val="none" w:sz="0" w:space="0" w:color="auto"/>
              <w:right w:val="none" w:sz="0" w:space="0" w:color="auto"/>
            </w:tcBorders>
          </w:tcPr>
          <w:p w:rsidR="009C5A33" w:rsidRDefault="009C5A33" w:rsidP="009C5A33">
            <w:pPr>
              <w:cnfStyle w:val="000000100000" w:firstRow="0" w:lastRow="0" w:firstColumn="0" w:lastColumn="0" w:oddVBand="0" w:evenVBand="0" w:oddHBand="1" w:evenHBand="0" w:firstRowFirstColumn="0" w:firstRowLastColumn="0" w:lastRowFirstColumn="0" w:lastRowLastColumn="0"/>
              <w:rPr>
                <w:bCs/>
                <w:color w:val="auto"/>
                <w:sz w:val="24"/>
                <w:szCs w:val="24"/>
              </w:rPr>
            </w:pPr>
            <w:r>
              <w:rPr>
                <w:bCs/>
                <w:color w:val="auto"/>
                <w:sz w:val="24"/>
                <w:szCs w:val="24"/>
              </w:rPr>
              <w:t xml:space="preserve">Regular reporting on achievement of key deliverables and milestones is achieved via the Integrated Performance Report, Quality Governance Framework and finance report. </w:t>
            </w:r>
          </w:p>
          <w:p w:rsidR="009C5A33" w:rsidRPr="00ED2163" w:rsidRDefault="009C5A33" w:rsidP="009C5A33">
            <w:pPr>
              <w:cnfStyle w:val="000000100000" w:firstRow="0" w:lastRow="0" w:firstColumn="0" w:lastColumn="0" w:oddVBand="0" w:evenVBand="0" w:oddHBand="1" w:evenHBand="0" w:firstRowFirstColumn="0" w:firstRowLastColumn="0" w:lastRowFirstColumn="0" w:lastRowLastColumn="0"/>
              <w:rPr>
                <w:bCs/>
                <w:color w:val="auto"/>
                <w:sz w:val="24"/>
                <w:szCs w:val="24"/>
              </w:rPr>
            </w:pPr>
            <w:r>
              <w:rPr>
                <w:bCs/>
                <w:color w:val="auto"/>
                <w:sz w:val="24"/>
                <w:szCs w:val="24"/>
              </w:rPr>
              <w:t>Over recent months the Board scrutiny has focussed on issues relating to Targeted Intervention and Special Measures as core, featuring as standard agenda items on Board meetings and QSR Committee meetings.</w:t>
            </w:r>
          </w:p>
        </w:tc>
      </w:tr>
      <w:tr w:rsidR="001B60A7" w:rsidTr="00606941">
        <w:trPr>
          <w:trHeight w:val="1015"/>
        </w:trPr>
        <w:tc>
          <w:tcPr>
            <w:cnfStyle w:val="001000000000" w:firstRow="0" w:lastRow="0" w:firstColumn="1" w:lastColumn="0" w:oddVBand="0" w:evenVBand="0" w:oddHBand="0" w:evenHBand="0" w:firstRowFirstColumn="0" w:firstRowLastColumn="0" w:lastRowFirstColumn="0" w:lastRowLastColumn="0"/>
            <w:tcW w:w="5098" w:type="dxa"/>
          </w:tcPr>
          <w:p w:rsidR="001B60A7" w:rsidRPr="006F3E06" w:rsidRDefault="001B60A7" w:rsidP="001B60A7">
            <w:pPr>
              <w:pStyle w:val="ListParagraph"/>
              <w:numPr>
                <w:ilvl w:val="0"/>
                <w:numId w:val="2"/>
              </w:numPr>
              <w:autoSpaceDE w:val="0"/>
              <w:autoSpaceDN w:val="0"/>
              <w:adjustRightInd w:val="0"/>
              <w:spacing w:after="23"/>
              <w:rPr>
                <w:rFonts w:asciiTheme="minorHAnsi" w:hAnsiTheme="minorHAnsi" w:cs="Arial"/>
                <w:b w:val="0"/>
                <w:color w:val="auto"/>
              </w:rPr>
            </w:pPr>
            <w:r w:rsidRPr="006F3E06">
              <w:rPr>
                <w:rFonts w:asciiTheme="minorHAnsi" w:hAnsiTheme="minorHAnsi" w:cs="Arial"/>
                <w:b w:val="0"/>
                <w:color w:val="auto"/>
              </w:rPr>
              <w:t>Regional planning commitments and milestones must be transparent and accelerated.</w:t>
            </w:r>
          </w:p>
        </w:tc>
        <w:tc>
          <w:tcPr>
            <w:tcW w:w="10290" w:type="dxa"/>
          </w:tcPr>
          <w:p w:rsidR="006F3E06" w:rsidRPr="006F3E06" w:rsidRDefault="006F3E06" w:rsidP="006F3E06">
            <w:pPr>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sz w:val="24"/>
                <w:szCs w:val="24"/>
              </w:rPr>
            </w:pPr>
            <w:r w:rsidRPr="006F3E06">
              <w:rPr>
                <w:rFonts w:asciiTheme="majorHAnsi" w:hAnsiTheme="majorHAnsi"/>
                <w:bCs/>
                <w:color w:val="auto"/>
                <w:sz w:val="24"/>
                <w:szCs w:val="24"/>
              </w:rPr>
              <w:t>The South Central and East Wales Regional Planning and Delivery Forum is in the process of implementing the following regional service changes:</w:t>
            </w:r>
          </w:p>
          <w:p w:rsidR="006F3E06" w:rsidRPr="006F3E06" w:rsidRDefault="006F3E06" w:rsidP="006F3E06">
            <w:pPr>
              <w:pStyle w:val="ListParagraph"/>
              <w:numPr>
                <w:ilvl w:val="0"/>
                <w:numId w:val="4"/>
              </w:numPr>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rPr>
            </w:pPr>
            <w:r w:rsidRPr="006F3E06">
              <w:rPr>
                <w:rFonts w:asciiTheme="majorHAnsi" w:hAnsiTheme="majorHAnsi"/>
                <w:bCs/>
                <w:color w:val="auto"/>
              </w:rPr>
              <w:t>Paediatrics, Obstetrics &amp; Neonatology Services:</w:t>
            </w:r>
          </w:p>
          <w:p w:rsidR="006F3E06" w:rsidRPr="006F3E06" w:rsidRDefault="006F3E06" w:rsidP="006F3E06">
            <w:pPr>
              <w:pStyle w:val="ListParagraph"/>
              <w:numPr>
                <w:ilvl w:val="0"/>
                <w:numId w:val="5"/>
              </w:numPr>
              <w:ind w:left="357" w:hanging="357"/>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rPr>
            </w:pPr>
            <w:r w:rsidRPr="006F3E06">
              <w:rPr>
                <w:rFonts w:asciiTheme="majorHAnsi" w:hAnsiTheme="majorHAnsi"/>
                <w:bCs/>
                <w:color w:val="auto"/>
              </w:rPr>
              <w:t>Ear, Nose and Throat Services;</w:t>
            </w:r>
          </w:p>
          <w:p w:rsidR="006F3E06" w:rsidRPr="006F3E06" w:rsidRDefault="006F3E06" w:rsidP="006F3E06">
            <w:pPr>
              <w:pStyle w:val="ListParagraph"/>
              <w:numPr>
                <w:ilvl w:val="0"/>
                <w:numId w:val="5"/>
              </w:numPr>
              <w:ind w:left="357" w:hanging="357"/>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rPr>
            </w:pPr>
            <w:r w:rsidRPr="006F3E06">
              <w:rPr>
                <w:rFonts w:asciiTheme="majorHAnsi" w:hAnsiTheme="majorHAnsi"/>
                <w:bCs/>
                <w:color w:val="auto"/>
              </w:rPr>
              <w:t>Vascular Centralisation;</w:t>
            </w:r>
          </w:p>
          <w:p w:rsidR="006F3E06" w:rsidRPr="006F3E06" w:rsidRDefault="006F3E06" w:rsidP="006F3E06">
            <w:pPr>
              <w:pStyle w:val="ListParagraph"/>
              <w:numPr>
                <w:ilvl w:val="0"/>
                <w:numId w:val="5"/>
              </w:numPr>
              <w:ind w:left="357" w:hanging="357"/>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rPr>
            </w:pPr>
            <w:r w:rsidRPr="006F3E06">
              <w:rPr>
                <w:rFonts w:asciiTheme="majorHAnsi" w:hAnsiTheme="majorHAnsi"/>
                <w:bCs/>
                <w:color w:val="auto"/>
              </w:rPr>
              <w:t>Diagnostics; and</w:t>
            </w:r>
          </w:p>
          <w:p w:rsidR="006F3E06" w:rsidRPr="006F3E06" w:rsidRDefault="006F3E06" w:rsidP="006F3E06">
            <w:pPr>
              <w:pStyle w:val="ListParagraph"/>
              <w:numPr>
                <w:ilvl w:val="0"/>
                <w:numId w:val="5"/>
              </w:numPr>
              <w:ind w:left="357" w:hanging="357"/>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rPr>
            </w:pPr>
            <w:r w:rsidRPr="006F3E06">
              <w:rPr>
                <w:rFonts w:asciiTheme="majorHAnsi" w:hAnsiTheme="majorHAnsi"/>
                <w:bCs/>
                <w:color w:val="auto"/>
              </w:rPr>
              <w:t>Ophthalmology.</w:t>
            </w:r>
          </w:p>
          <w:p w:rsidR="006F3E06" w:rsidRPr="006F3E06" w:rsidRDefault="006F3E06" w:rsidP="006F3E06">
            <w:pPr>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sz w:val="24"/>
                <w:szCs w:val="24"/>
              </w:rPr>
            </w:pPr>
            <w:r w:rsidRPr="006F3E06">
              <w:rPr>
                <w:rFonts w:asciiTheme="majorHAnsi" w:hAnsiTheme="majorHAnsi"/>
                <w:bCs/>
                <w:color w:val="auto"/>
                <w:sz w:val="24"/>
                <w:szCs w:val="24"/>
              </w:rPr>
              <w:t>The detail of the change is contained within most recent Fo</w:t>
            </w:r>
            <w:r w:rsidR="00D6431C">
              <w:rPr>
                <w:rFonts w:asciiTheme="majorHAnsi" w:hAnsiTheme="majorHAnsi"/>
                <w:bCs/>
                <w:color w:val="auto"/>
                <w:sz w:val="24"/>
                <w:szCs w:val="24"/>
              </w:rPr>
              <w:t>rum paper attached at Appendix 2</w:t>
            </w:r>
          </w:p>
          <w:p w:rsidR="006F3E06" w:rsidRPr="006F3E06" w:rsidRDefault="006F3E06" w:rsidP="006F3E06">
            <w:pPr>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sz w:val="24"/>
                <w:szCs w:val="24"/>
              </w:rPr>
            </w:pPr>
          </w:p>
          <w:p w:rsidR="001B60A7" w:rsidRPr="006F3E06" w:rsidRDefault="006F3E06">
            <w:pPr>
              <w:cnfStyle w:val="000000000000" w:firstRow="0" w:lastRow="0" w:firstColumn="0" w:lastColumn="0" w:oddVBand="0" w:evenVBand="0" w:oddHBand="0" w:evenHBand="0" w:firstRowFirstColumn="0" w:firstRowLastColumn="0" w:lastRowFirstColumn="0" w:lastRowLastColumn="0"/>
              <w:rPr>
                <w:rFonts w:asciiTheme="majorHAnsi" w:hAnsiTheme="majorHAnsi"/>
                <w:bCs/>
                <w:color w:val="auto"/>
                <w:sz w:val="24"/>
                <w:szCs w:val="24"/>
              </w:rPr>
            </w:pPr>
            <w:r w:rsidRPr="006F3E06">
              <w:rPr>
                <w:rFonts w:asciiTheme="majorHAnsi" w:hAnsiTheme="majorHAnsi"/>
                <w:bCs/>
                <w:color w:val="auto"/>
                <w:sz w:val="24"/>
                <w:szCs w:val="24"/>
              </w:rPr>
              <w:t>RAG: A</w:t>
            </w:r>
            <w:r>
              <w:rPr>
                <w:rFonts w:asciiTheme="majorHAnsi" w:hAnsiTheme="majorHAnsi"/>
                <w:bCs/>
                <w:color w:val="auto"/>
                <w:sz w:val="24"/>
                <w:szCs w:val="24"/>
              </w:rPr>
              <w:t>mber</w:t>
            </w:r>
          </w:p>
        </w:tc>
      </w:tr>
      <w:tr w:rsidR="00316AD7" w:rsidTr="006069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88" w:type="dxa"/>
            <w:gridSpan w:val="2"/>
          </w:tcPr>
          <w:p w:rsidR="00606941" w:rsidRDefault="00606941" w:rsidP="00316AD7">
            <w:pPr>
              <w:rPr>
                <w:b w:val="0"/>
                <w:bCs w:val="0"/>
                <w:color w:val="auto"/>
              </w:rPr>
            </w:pPr>
            <w:r>
              <w:rPr>
                <w:b w:val="0"/>
                <w:bCs w:val="0"/>
                <w:color w:val="auto"/>
              </w:rPr>
              <w:br w:type="page"/>
            </w:r>
          </w:p>
          <w:p w:rsidR="00606941" w:rsidRDefault="00606941" w:rsidP="00316AD7">
            <w:pPr>
              <w:rPr>
                <w:b w:val="0"/>
                <w:bCs w:val="0"/>
                <w:color w:val="auto"/>
              </w:rPr>
            </w:pPr>
          </w:p>
          <w:p w:rsidR="00606941" w:rsidRDefault="00606941" w:rsidP="00316AD7">
            <w:pPr>
              <w:rPr>
                <w:b w:val="0"/>
                <w:bCs w:val="0"/>
                <w:color w:val="auto"/>
              </w:rPr>
            </w:pPr>
          </w:p>
          <w:p w:rsidR="00606941" w:rsidRDefault="00606941" w:rsidP="00316AD7">
            <w:pPr>
              <w:rPr>
                <w:b w:val="0"/>
                <w:bCs w:val="0"/>
                <w:color w:val="auto"/>
              </w:rPr>
            </w:pPr>
          </w:p>
          <w:p w:rsidR="00606941" w:rsidRDefault="00606941" w:rsidP="00316AD7">
            <w:pPr>
              <w:rPr>
                <w:b w:val="0"/>
                <w:bCs w:val="0"/>
                <w:color w:val="auto"/>
              </w:rPr>
            </w:pPr>
          </w:p>
          <w:p w:rsidR="00316AD7" w:rsidRPr="00ED2163" w:rsidRDefault="00B53E46" w:rsidP="00316AD7">
            <w:pPr>
              <w:rPr>
                <w:sz w:val="24"/>
                <w:szCs w:val="24"/>
              </w:rPr>
            </w:pPr>
            <w:r w:rsidRPr="00B53E46">
              <w:rPr>
                <w:color w:val="auto"/>
                <w:sz w:val="24"/>
                <w:szCs w:val="24"/>
              </w:rPr>
              <w:t>The headings below encompass generic conditions set out in your accountability letter. These can be completed at your liberty. Issues defined by your organisation as ‘by exception’ should be included.</w:t>
            </w:r>
          </w:p>
        </w:tc>
      </w:tr>
      <w:tr w:rsidR="005315F8" w:rsidTr="00606941">
        <w:tc>
          <w:tcPr>
            <w:cnfStyle w:val="001000000000" w:firstRow="0" w:lastRow="0" w:firstColumn="1" w:lastColumn="0" w:oddVBand="0" w:evenVBand="0" w:oddHBand="0" w:evenHBand="0" w:firstRowFirstColumn="0" w:firstRowLastColumn="0" w:lastRowFirstColumn="0" w:lastRowLastColumn="0"/>
            <w:tcW w:w="15388" w:type="dxa"/>
            <w:gridSpan w:val="2"/>
          </w:tcPr>
          <w:p w:rsidR="005315F8" w:rsidRPr="00ED2163" w:rsidRDefault="00824F30" w:rsidP="005315F8">
            <w:pPr>
              <w:jc w:val="center"/>
              <w:rPr>
                <w:b w:val="0"/>
                <w:bCs w:val="0"/>
                <w:color w:val="auto"/>
                <w:sz w:val="24"/>
                <w:szCs w:val="24"/>
              </w:rPr>
            </w:pPr>
            <w:r w:rsidRPr="00ED2163">
              <w:rPr>
                <w:bCs w:val="0"/>
                <w:color w:val="auto"/>
                <w:sz w:val="24"/>
                <w:szCs w:val="24"/>
              </w:rPr>
              <w:t xml:space="preserve">Quality </w:t>
            </w:r>
            <w:r w:rsidRPr="00ED2163">
              <w:rPr>
                <w:b w:val="0"/>
                <w:bCs w:val="0"/>
                <w:color w:val="auto"/>
                <w:sz w:val="24"/>
                <w:szCs w:val="24"/>
              </w:rPr>
              <w:t>-  by exception</w:t>
            </w:r>
          </w:p>
        </w:tc>
      </w:tr>
      <w:tr w:rsidR="005315F8" w:rsidTr="00606941">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15388" w:type="dxa"/>
            <w:gridSpan w:val="2"/>
          </w:tcPr>
          <w:p w:rsidR="00824F30" w:rsidRPr="006F3E06" w:rsidRDefault="006F3E06" w:rsidP="00D6431C">
            <w:pPr>
              <w:rPr>
                <w:rFonts w:ascii="Verdana" w:hAnsi="Verdana" w:cs="Tahoma"/>
                <w:b w:val="0"/>
                <w:color w:val="auto"/>
                <w:sz w:val="24"/>
                <w:szCs w:val="24"/>
              </w:rPr>
            </w:pPr>
            <w:r w:rsidRPr="006F3E06">
              <w:rPr>
                <w:rFonts w:ascii="Verdana" w:hAnsi="Verdana" w:cs="Tahoma"/>
                <w:b w:val="0"/>
                <w:color w:val="auto"/>
                <w:sz w:val="24"/>
                <w:szCs w:val="24"/>
              </w:rPr>
              <w:t xml:space="preserve">Quality issues are described in </w:t>
            </w:r>
            <w:r>
              <w:rPr>
                <w:rFonts w:ascii="Verdana" w:hAnsi="Verdana" w:cs="Tahoma"/>
                <w:b w:val="0"/>
                <w:color w:val="auto"/>
                <w:sz w:val="24"/>
                <w:szCs w:val="24"/>
              </w:rPr>
              <w:t xml:space="preserve">within </w:t>
            </w:r>
            <w:r w:rsidR="00D6431C">
              <w:rPr>
                <w:rFonts w:ascii="Verdana" w:hAnsi="Verdana" w:cs="Tahoma"/>
                <w:b w:val="0"/>
                <w:color w:val="auto"/>
                <w:sz w:val="24"/>
                <w:szCs w:val="24"/>
              </w:rPr>
              <w:t>section</w:t>
            </w:r>
            <w:r>
              <w:rPr>
                <w:rFonts w:ascii="Verdana" w:hAnsi="Verdana" w:cs="Tahoma"/>
                <w:b w:val="0"/>
                <w:color w:val="auto"/>
                <w:sz w:val="24"/>
                <w:szCs w:val="24"/>
              </w:rPr>
              <w:t xml:space="preserve"> 1 above</w:t>
            </w:r>
            <w:r w:rsidRPr="006F3E06">
              <w:rPr>
                <w:rFonts w:ascii="Verdana" w:hAnsi="Verdana" w:cs="Tahoma"/>
                <w:b w:val="0"/>
                <w:color w:val="auto"/>
                <w:sz w:val="24"/>
                <w:szCs w:val="24"/>
              </w:rPr>
              <w:t>.</w:t>
            </w:r>
          </w:p>
        </w:tc>
      </w:tr>
      <w:tr w:rsidR="005315F8" w:rsidTr="00606941">
        <w:tc>
          <w:tcPr>
            <w:cnfStyle w:val="001000000000" w:firstRow="0" w:lastRow="0" w:firstColumn="1" w:lastColumn="0" w:oddVBand="0" w:evenVBand="0" w:oddHBand="0" w:evenHBand="0" w:firstRowFirstColumn="0" w:firstRowLastColumn="0" w:lastRowFirstColumn="0" w:lastRowLastColumn="0"/>
            <w:tcW w:w="15388" w:type="dxa"/>
            <w:gridSpan w:val="2"/>
          </w:tcPr>
          <w:p w:rsidR="005315F8" w:rsidRPr="00ED2163" w:rsidRDefault="00316AD7" w:rsidP="005315F8">
            <w:pPr>
              <w:jc w:val="center"/>
              <w:rPr>
                <w:b w:val="0"/>
                <w:bCs w:val="0"/>
                <w:color w:val="auto"/>
                <w:sz w:val="24"/>
                <w:szCs w:val="24"/>
              </w:rPr>
            </w:pPr>
            <w:r>
              <w:rPr>
                <w:color w:val="auto"/>
                <w:sz w:val="24"/>
                <w:szCs w:val="24"/>
              </w:rPr>
              <w:t>C</w:t>
            </w:r>
            <w:r w:rsidR="00824F30" w:rsidRPr="00ED2163">
              <w:rPr>
                <w:color w:val="auto"/>
                <w:sz w:val="24"/>
                <w:szCs w:val="24"/>
              </w:rPr>
              <w:t>ollaboration</w:t>
            </w:r>
            <w:r w:rsidR="00824F30" w:rsidRPr="00ED2163">
              <w:rPr>
                <w:b w:val="0"/>
                <w:color w:val="auto"/>
                <w:sz w:val="24"/>
                <w:szCs w:val="24"/>
              </w:rPr>
              <w:t xml:space="preserve"> </w:t>
            </w:r>
            <w:r w:rsidRPr="00316AD7">
              <w:rPr>
                <w:color w:val="auto"/>
                <w:sz w:val="24"/>
                <w:szCs w:val="24"/>
              </w:rPr>
              <w:t>(including RPB priorities)</w:t>
            </w:r>
            <w:r>
              <w:rPr>
                <w:b w:val="0"/>
                <w:color w:val="auto"/>
                <w:sz w:val="24"/>
                <w:szCs w:val="24"/>
              </w:rPr>
              <w:t xml:space="preserve"> </w:t>
            </w:r>
            <w:r w:rsidR="00824F30" w:rsidRPr="00ED2163">
              <w:rPr>
                <w:b w:val="0"/>
                <w:color w:val="auto"/>
                <w:sz w:val="24"/>
                <w:szCs w:val="24"/>
              </w:rPr>
              <w:t xml:space="preserve">- </w:t>
            </w:r>
            <w:r w:rsidR="005315F8" w:rsidRPr="00ED2163">
              <w:rPr>
                <w:b w:val="0"/>
                <w:color w:val="auto"/>
                <w:sz w:val="24"/>
                <w:szCs w:val="24"/>
              </w:rPr>
              <w:t>by exception</w:t>
            </w:r>
          </w:p>
        </w:tc>
      </w:tr>
      <w:tr w:rsidR="008765EA" w:rsidTr="00606941">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5388" w:type="dxa"/>
            <w:gridSpan w:val="2"/>
          </w:tcPr>
          <w:p w:rsidR="005315F8" w:rsidRPr="00DE1F19" w:rsidRDefault="00DE1F19" w:rsidP="005315F8">
            <w:pPr>
              <w:rPr>
                <w:rFonts w:ascii="Verdana" w:hAnsi="Verdana" w:cs="Tahoma"/>
                <w:b w:val="0"/>
                <w:color w:val="auto"/>
                <w:sz w:val="24"/>
                <w:szCs w:val="24"/>
              </w:rPr>
            </w:pPr>
            <w:r w:rsidRPr="00DE1F19">
              <w:rPr>
                <w:rFonts w:ascii="Verdana" w:hAnsi="Verdana" w:cs="Tahoma"/>
                <w:b w:val="0"/>
                <w:color w:val="auto"/>
                <w:sz w:val="24"/>
                <w:szCs w:val="24"/>
              </w:rPr>
              <w:t xml:space="preserve">The Cwm Taf Morgannwg Regional Partnership Board transformation funding was announced on 10 June 2019.  Implementation of the former ‘Cwm Taf Stay Well in Your Community’ programme and Bridgend locality ‘Accelerating the Pace of Integrated Services’ programme.  </w:t>
            </w:r>
            <w:r>
              <w:rPr>
                <w:rFonts w:ascii="Verdana" w:hAnsi="Verdana" w:cs="Tahoma"/>
                <w:b w:val="0"/>
                <w:color w:val="auto"/>
                <w:sz w:val="24"/>
                <w:szCs w:val="24"/>
              </w:rPr>
              <w:t>The programmes are now well underway and a revised Area Plan for the new Region is under development.</w:t>
            </w:r>
          </w:p>
          <w:p w:rsidR="00DE1F19" w:rsidRPr="00ED2163" w:rsidRDefault="00DE1F19" w:rsidP="005315F8">
            <w:pPr>
              <w:rPr>
                <w:bCs w:val="0"/>
                <w:color w:val="auto"/>
                <w:sz w:val="24"/>
                <w:szCs w:val="24"/>
              </w:rPr>
            </w:pPr>
          </w:p>
          <w:p w:rsidR="005315F8" w:rsidRPr="00DE1F19" w:rsidRDefault="00DE1F19" w:rsidP="005315F8">
            <w:pPr>
              <w:rPr>
                <w:b w:val="0"/>
                <w:bCs w:val="0"/>
                <w:color w:val="auto"/>
                <w:sz w:val="24"/>
                <w:szCs w:val="24"/>
              </w:rPr>
            </w:pPr>
            <w:r w:rsidRPr="00DE1F19">
              <w:rPr>
                <w:b w:val="0"/>
                <w:bCs w:val="0"/>
                <w:color w:val="auto"/>
                <w:sz w:val="24"/>
                <w:szCs w:val="24"/>
              </w:rPr>
              <w:t>RAG: Green</w:t>
            </w:r>
          </w:p>
        </w:tc>
      </w:tr>
      <w:tr w:rsidR="005315F8" w:rsidTr="00606941">
        <w:tc>
          <w:tcPr>
            <w:cnfStyle w:val="001000000000" w:firstRow="0" w:lastRow="0" w:firstColumn="1" w:lastColumn="0" w:oddVBand="0" w:evenVBand="0" w:oddHBand="0" w:evenHBand="0" w:firstRowFirstColumn="0" w:firstRowLastColumn="0" w:lastRowFirstColumn="0" w:lastRowLastColumn="0"/>
            <w:tcW w:w="15388" w:type="dxa"/>
            <w:gridSpan w:val="2"/>
          </w:tcPr>
          <w:p w:rsidR="005315F8" w:rsidRPr="00ED2163" w:rsidRDefault="00824F30" w:rsidP="005315F8">
            <w:pPr>
              <w:jc w:val="center"/>
              <w:rPr>
                <w:b w:val="0"/>
                <w:bCs w:val="0"/>
                <w:color w:val="auto"/>
                <w:sz w:val="24"/>
                <w:szCs w:val="24"/>
              </w:rPr>
            </w:pPr>
            <w:r w:rsidRPr="00ED2163">
              <w:rPr>
                <w:bCs w:val="0"/>
                <w:color w:val="auto"/>
                <w:sz w:val="24"/>
                <w:szCs w:val="24"/>
              </w:rPr>
              <w:t>Performance</w:t>
            </w:r>
            <w:r w:rsidRPr="00ED2163">
              <w:rPr>
                <w:b w:val="0"/>
                <w:bCs w:val="0"/>
                <w:color w:val="auto"/>
                <w:sz w:val="24"/>
                <w:szCs w:val="24"/>
              </w:rPr>
              <w:t xml:space="preserve"> - by exception</w:t>
            </w:r>
          </w:p>
        </w:tc>
      </w:tr>
      <w:tr w:rsidR="008765EA" w:rsidTr="00606941">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5388" w:type="dxa"/>
            <w:gridSpan w:val="2"/>
          </w:tcPr>
          <w:p w:rsidR="005315F8" w:rsidRPr="008E25DC" w:rsidRDefault="008E25DC" w:rsidP="005315F8">
            <w:pPr>
              <w:rPr>
                <w:rFonts w:ascii="Verdana" w:hAnsi="Verdana" w:cs="Tahoma"/>
                <w:b w:val="0"/>
                <w:color w:val="auto"/>
                <w:sz w:val="24"/>
                <w:szCs w:val="24"/>
              </w:rPr>
            </w:pPr>
            <w:bookmarkStart w:id="0" w:name="_GoBack"/>
            <w:r w:rsidRPr="00D6431C">
              <w:rPr>
                <w:rFonts w:ascii="Verdana" w:hAnsi="Verdana" w:cs="Tahoma"/>
                <w:b w:val="0"/>
                <w:color w:val="auto"/>
                <w:sz w:val="24"/>
                <w:szCs w:val="24"/>
              </w:rPr>
              <w:t xml:space="preserve">Appendix </w:t>
            </w:r>
            <w:r w:rsidR="00D6431C" w:rsidRPr="00D6431C">
              <w:rPr>
                <w:rFonts w:ascii="Verdana" w:hAnsi="Verdana" w:cs="Tahoma"/>
                <w:b w:val="0"/>
                <w:color w:val="auto"/>
                <w:sz w:val="24"/>
                <w:szCs w:val="24"/>
              </w:rPr>
              <w:t>3</w:t>
            </w:r>
            <w:r w:rsidRPr="008E25DC">
              <w:rPr>
                <w:rFonts w:ascii="Verdana" w:hAnsi="Verdana" w:cs="Tahoma"/>
                <w:b w:val="0"/>
                <w:color w:val="auto"/>
                <w:sz w:val="24"/>
                <w:szCs w:val="24"/>
              </w:rPr>
              <w:t xml:space="preserve"> </w:t>
            </w:r>
            <w:bookmarkEnd w:id="0"/>
            <w:r w:rsidRPr="008E25DC">
              <w:rPr>
                <w:rFonts w:ascii="Verdana" w:hAnsi="Verdana" w:cs="Tahoma"/>
                <w:b w:val="0"/>
                <w:color w:val="auto"/>
                <w:sz w:val="24"/>
                <w:szCs w:val="24"/>
              </w:rPr>
              <w:t xml:space="preserve">is the Performance </w:t>
            </w:r>
            <w:r>
              <w:rPr>
                <w:rFonts w:ascii="Verdana" w:hAnsi="Verdana" w:cs="Tahoma"/>
                <w:b w:val="0"/>
                <w:color w:val="auto"/>
                <w:sz w:val="24"/>
                <w:szCs w:val="24"/>
              </w:rPr>
              <w:t xml:space="preserve">Summary </w:t>
            </w:r>
            <w:r w:rsidRPr="008E25DC">
              <w:rPr>
                <w:rFonts w:ascii="Verdana" w:hAnsi="Verdana" w:cs="Tahoma"/>
                <w:b w:val="0"/>
                <w:color w:val="auto"/>
                <w:sz w:val="24"/>
                <w:szCs w:val="24"/>
              </w:rPr>
              <w:t xml:space="preserve">Report from Board </w:t>
            </w:r>
            <w:r>
              <w:rPr>
                <w:rFonts w:ascii="Verdana" w:hAnsi="Verdana" w:cs="Tahoma"/>
                <w:b w:val="0"/>
                <w:color w:val="auto"/>
                <w:sz w:val="24"/>
                <w:szCs w:val="24"/>
              </w:rPr>
              <w:t>26</w:t>
            </w:r>
            <w:r w:rsidRPr="008E25DC">
              <w:rPr>
                <w:rFonts w:ascii="Verdana" w:hAnsi="Verdana" w:cs="Tahoma"/>
                <w:b w:val="0"/>
                <w:color w:val="auto"/>
                <w:sz w:val="24"/>
                <w:szCs w:val="24"/>
              </w:rPr>
              <w:t xml:space="preserve"> </w:t>
            </w:r>
            <w:r>
              <w:rPr>
                <w:rFonts w:ascii="Verdana" w:hAnsi="Verdana" w:cs="Tahoma"/>
                <w:b w:val="0"/>
                <w:color w:val="auto"/>
                <w:sz w:val="24"/>
                <w:szCs w:val="24"/>
              </w:rPr>
              <w:t>September</w:t>
            </w:r>
            <w:r w:rsidRPr="008E25DC">
              <w:rPr>
                <w:rFonts w:ascii="Verdana" w:hAnsi="Verdana" w:cs="Tahoma"/>
                <w:b w:val="0"/>
                <w:color w:val="auto"/>
                <w:sz w:val="24"/>
                <w:szCs w:val="24"/>
              </w:rPr>
              <w:t xml:space="preserve"> 2019</w:t>
            </w:r>
          </w:p>
          <w:p w:rsidR="00824F30" w:rsidRDefault="00824F30" w:rsidP="005315F8">
            <w:pPr>
              <w:rPr>
                <w:bCs w:val="0"/>
                <w:color w:val="auto"/>
                <w:sz w:val="24"/>
                <w:szCs w:val="24"/>
              </w:rPr>
            </w:pPr>
          </w:p>
          <w:p w:rsidR="00606941" w:rsidRPr="00606941" w:rsidRDefault="00DE1F19" w:rsidP="00DE1F19">
            <w:pPr>
              <w:rPr>
                <w:rFonts w:ascii="Verdana" w:hAnsi="Verdana" w:cs="Tahoma"/>
                <w:b w:val="0"/>
                <w:color w:val="auto"/>
                <w:sz w:val="24"/>
                <w:szCs w:val="24"/>
              </w:rPr>
            </w:pPr>
            <w:r w:rsidRPr="00DE1F19">
              <w:rPr>
                <w:rFonts w:ascii="Verdana" w:hAnsi="Verdana" w:cs="Tahoma"/>
                <w:b w:val="0"/>
                <w:color w:val="auto"/>
                <w:sz w:val="24"/>
                <w:szCs w:val="24"/>
              </w:rPr>
              <w:t>RAG: Amber</w:t>
            </w:r>
          </w:p>
        </w:tc>
      </w:tr>
      <w:tr w:rsidR="008765EA" w:rsidTr="00606941">
        <w:tc>
          <w:tcPr>
            <w:cnfStyle w:val="001000000000" w:firstRow="0" w:lastRow="0" w:firstColumn="1" w:lastColumn="0" w:oddVBand="0" w:evenVBand="0" w:oddHBand="0" w:evenHBand="0" w:firstRowFirstColumn="0" w:firstRowLastColumn="0" w:lastRowFirstColumn="0" w:lastRowLastColumn="0"/>
            <w:tcW w:w="15388" w:type="dxa"/>
            <w:gridSpan w:val="2"/>
          </w:tcPr>
          <w:p w:rsidR="008765EA" w:rsidRPr="00ED2163" w:rsidRDefault="00824F30" w:rsidP="005315F8">
            <w:pPr>
              <w:jc w:val="center"/>
              <w:rPr>
                <w:b w:val="0"/>
                <w:bCs w:val="0"/>
                <w:color w:val="auto"/>
                <w:sz w:val="24"/>
                <w:szCs w:val="24"/>
              </w:rPr>
            </w:pPr>
            <w:r w:rsidRPr="00ED2163">
              <w:rPr>
                <w:color w:val="auto"/>
                <w:sz w:val="24"/>
                <w:szCs w:val="24"/>
              </w:rPr>
              <w:t>Finance</w:t>
            </w:r>
            <w:r w:rsidRPr="00ED2163">
              <w:rPr>
                <w:b w:val="0"/>
                <w:color w:val="auto"/>
                <w:sz w:val="24"/>
                <w:szCs w:val="24"/>
              </w:rPr>
              <w:t xml:space="preserve"> -  by exception</w:t>
            </w:r>
          </w:p>
        </w:tc>
      </w:tr>
      <w:tr w:rsidR="008765EA" w:rsidTr="00606941">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5388" w:type="dxa"/>
            <w:gridSpan w:val="2"/>
          </w:tcPr>
          <w:p w:rsidR="008E25DC" w:rsidRPr="00A814C9" w:rsidRDefault="008E25DC" w:rsidP="008E25DC">
            <w:pPr>
              <w:jc w:val="both"/>
              <w:rPr>
                <w:rFonts w:ascii="Verdana" w:hAnsi="Verdana" w:cs="Tahoma"/>
                <w:b w:val="0"/>
                <w:color w:val="auto"/>
                <w:sz w:val="24"/>
                <w:szCs w:val="24"/>
              </w:rPr>
            </w:pPr>
            <w:r w:rsidRPr="00A814C9">
              <w:rPr>
                <w:rFonts w:ascii="Verdana" w:hAnsi="Verdana" w:cs="Tahoma"/>
                <w:b w:val="0"/>
                <w:color w:val="auto"/>
                <w:sz w:val="24"/>
                <w:szCs w:val="24"/>
              </w:rPr>
              <w:t xml:space="preserve">We are currently forecasting a breakeven position for 2019/20. The key risks to this forecast position are noted in Section 7 </w:t>
            </w:r>
            <w:r>
              <w:rPr>
                <w:rFonts w:ascii="Verdana" w:hAnsi="Verdana" w:cs="Tahoma"/>
                <w:b w:val="0"/>
                <w:color w:val="auto"/>
                <w:sz w:val="24"/>
                <w:szCs w:val="24"/>
              </w:rPr>
              <w:t>of our M5 Monitoring Return submission</w:t>
            </w:r>
            <w:r w:rsidRPr="00A814C9">
              <w:rPr>
                <w:rFonts w:ascii="Verdana" w:hAnsi="Verdana" w:cs="Tahoma"/>
                <w:b w:val="0"/>
                <w:color w:val="auto"/>
                <w:sz w:val="24"/>
                <w:szCs w:val="24"/>
              </w:rPr>
              <w:t>. The main risk is around a potential reduction to the £7.1m non-recurring allocation for the Bridgend arbitration. Any reduction to this allocation will represent a serious risk to the break-even forecast.</w:t>
            </w:r>
          </w:p>
          <w:p w:rsidR="008E25DC" w:rsidRPr="00A814C9" w:rsidRDefault="008E25DC" w:rsidP="008E25DC">
            <w:pPr>
              <w:jc w:val="both"/>
              <w:rPr>
                <w:rFonts w:ascii="Verdana" w:hAnsi="Verdana" w:cs="Tahoma"/>
                <w:b w:val="0"/>
                <w:color w:val="auto"/>
                <w:sz w:val="24"/>
                <w:szCs w:val="24"/>
              </w:rPr>
            </w:pPr>
          </w:p>
          <w:p w:rsidR="008E25DC" w:rsidRPr="00A814C9" w:rsidRDefault="008E25DC" w:rsidP="008E25DC">
            <w:pPr>
              <w:jc w:val="both"/>
              <w:rPr>
                <w:rFonts w:ascii="Verdana" w:hAnsi="Verdana" w:cs="Tahoma"/>
                <w:b w:val="0"/>
                <w:color w:val="auto"/>
                <w:sz w:val="24"/>
                <w:szCs w:val="24"/>
              </w:rPr>
            </w:pPr>
            <w:r w:rsidRPr="00A814C9">
              <w:rPr>
                <w:rFonts w:ascii="Verdana" w:hAnsi="Verdana" w:cs="Tahoma"/>
                <w:b w:val="0"/>
                <w:color w:val="auto"/>
                <w:sz w:val="24"/>
                <w:szCs w:val="24"/>
              </w:rPr>
              <w:t>We are currently reporting a £13.2m recurring deficit, which is an increase of £7.4m from the M4 deficit of £5.8m. This increase is attributable to the outcome of the Bridgend arbitration where no recurrent funding has been confirmed against the Bridgend recurrent deficit of £7.4m.</w:t>
            </w:r>
          </w:p>
          <w:p w:rsidR="008E25DC" w:rsidRPr="00A814C9" w:rsidRDefault="008E25DC" w:rsidP="008E25DC">
            <w:pPr>
              <w:jc w:val="both"/>
              <w:rPr>
                <w:rFonts w:ascii="Verdana" w:hAnsi="Verdana" w:cs="Tahoma"/>
                <w:b w:val="0"/>
                <w:color w:val="auto"/>
                <w:sz w:val="24"/>
                <w:szCs w:val="24"/>
              </w:rPr>
            </w:pPr>
          </w:p>
          <w:p w:rsidR="008E25DC" w:rsidRPr="00A814C9" w:rsidRDefault="008E25DC" w:rsidP="008E25DC">
            <w:pPr>
              <w:jc w:val="both"/>
              <w:rPr>
                <w:rFonts w:ascii="Verdana" w:hAnsi="Verdana" w:cs="Tahoma"/>
                <w:b w:val="0"/>
                <w:color w:val="auto"/>
                <w:sz w:val="24"/>
                <w:szCs w:val="24"/>
              </w:rPr>
            </w:pPr>
            <w:r w:rsidRPr="00A814C9">
              <w:rPr>
                <w:rFonts w:ascii="Verdana" w:hAnsi="Verdana" w:cs="Tahoma"/>
                <w:b w:val="0"/>
                <w:color w:val="auto"/>
                <w:sz w:val="24"/>
                <w:szCs w:val="24"/>
              </w:rPr>
              <w:t xml:space="preserve">It is important to note that the revised forecast recurring deficit of £13.2m assumes full delivery of the £11.8m recurring savings target for 2019/20. The latest recurring savings gap is £3.0m (£2.8m at M4) and a key driver for this position is the ‘delay effect’ due to the Bridgend boundary change. Urgent meetings are taking place within the Health Board to regain traction and focus on savings delivery. </w:t>
            </w:r>
          </w:p>
          <w:p w:rsidR="008E25DC" w:rsidRPr="00A814C9" w:rsidRDefault="008E25DC" w:rsidP="008E25DC">
            <w:pPr>
              <w:jc w:val="both"/>
              <w:rPr>
                <w:rFonts w:ascii="Verdana" w:hAnsi="Verdana" w:cs="Tahoma"/>
                <w:b w:val="0"/>
                <w:color w:val="auto"/>
                <w:sz w:val="24"/>
                <w:szCs w:val="24"/>
              </w:rPr>
            </w:pPr>
          </w:p>
          <w:p w:rsidR="008E25DC" w:rsidRPr="00A814C9" w:rsidRDefault="008E25DC" w:rsidP="008E25DC">
            <w:pPr>
              <w:jc w:val="both"/>
              <w:rPr>
                <w:rFonts w:ascii="Verdana" w:hAnsi="Verdana" w:cs="Tahoma"/>
                <w:b w:val="0"/>
                <w:color w:val="auto"/>
                <w:sz w:val="24"/>
                <w:szCs w:val="24"/>
              </w:rPr>
            </w:pPr>
            <w:r w:rsidRPr="00A814C9">
              <w:rPr>
                <w:rFonts w:ascii="Verdana" w:hAnsi="Verdana" w:cs="Tahoma"/>
                <w:b w:val="0"/>
                <w:color w:val="auto"/>
                <w:sz w:val="24"/>
                <w:szCs w:val="24"/>
              </w:rPr>
              <w:t>In light of the seriousness of the BG position, further work is ongoing to separately report the BG financial position</w:t>
            </w:r>
            <w:r>
              <w:rPr>
                <w:rFonts w:ascii="Verdana" w:hAnsi="Verdana" w:cs="Tahoma"/>
                <w:b w:val="0"/>
                <w:color w:val="auto"/>
                <w:sz w:val="24"/>
                <w:szCs w:val="24"/>
              </w:rPr>
              <w:t>.</w:t>
            </w:r>
            <w:r w:rsidRPr="00A814C9">
              <w:rPr>
                <w:rFonts w:ascii="Verdana" w:hAnsi="Verdana" w:cs="Tahoma"/>
                <w:b w:val="0"/>
                <w:color w:val="auto"/>
                <w:sz w:val="24"/>
                <w:szCs w:val="24"/>
              </w:rPr>
              <w:t xml:space="preserve">  </w:t>
            </w:r>
          </w:p>
          <w:p w:rsidR="008E25DC" w:rsidRPr="00A814C9" w:rsidRDefault="008E25DC" w:rsidP="008E25DC">
            <w:pPr>
              <w:jc w:val="both"/>
              <w:rPr>
                <w:rFonts w:ascii="Verdana" w:hAnsi="Verdana" w:cs="Tahoma"/>
                <w:b w:val="0"/>
                <w:color w:val="auto"/>
                <w:sz w:val="24"/>
                <w:szCs w:val="24"/>
              </w:rPr>
            </w:pPr>
          </w:p>
          <w:p w:rsidR="005315F8" w:rsidRPr="00DE1F19" w:rsidRDefault="008E25DC" w:rsidP="005315F8">
            <w:pPr>
              <w:rPr>
                <w:rFonts w:ascii="Verdana" w:hAnsi="Verdana" w:cs="Tahoma"/>
                <w:b w:val="0"/>
                <w:color w:val="auto"/>
                <w:sz w:val="24"/>
                <w:szCs w:val="24"/>
              </w:rPr>
            </w:pPr>
            <w:r w:rsidRPr="00A814C9">
              <w:rPr>
                <w:rFonts w:ascii="Verdana" w:hAnsi="Verdana" w:cs="Tahoma"/>
                <w:b w:val="0"/>
                <w:color w:val="auto"/>
                <w:sz w:val="24"/>
                <w:szCs w:val="24"/>
              </w:rPr>
              <w:t>We would welcome further discussions with WG on the outcome of the BG arbitration on the forecast positions</w:t>
            </w:r>
            <w:r w:rsidRPr="00DE1F19">
              <w:rPr>
                <w:rFonts w:ascii="Verdana" w:hAnsi="Verdana" w:cs="Tahoma"/>
                <w:b w:val="0"/>
                <w:color w:val="auto"/>
                <w:sz w:val="24"/>
                <w:szCs w:val="24"/>
              </w:rPr>
              <w:t>.</w:t>
            </w:r>
          </w:p>
          <w:p w:rsidR="00DE1F19" w:rsidRPr="00DE1F19" w:rsidRDefault="00DE1F19" w:rsidP="005315F8">
            <w:pPr>
              <w:rPr>
                <w:rFonts w:ascii="Verdana" w:hAnsi="Verdana" w:cs="Tahoma"/>
                <w:b w:val="0"/>
                <w:color w:val="auto"/>
                <w:sz w:val="24"/>
                <w:szCs w:val="24"/>
              </w:rPr>
            </w:pPr>
          </w:p>
          <w:p w:rsidR="00DE1F19" w:rsidRPr="00DE1F19" w:rsidRDefault="00DE1F19" w:rsidP="005315F8">
            <w:pPr>
              <w:rPr>
                <w:b w:val="0"/>
                <w:bCs w:val="0"/>
                <w:color w:val="auto"/>
                <w:sz w:val="24"/>
                <w:szCs w:val="24"/>
              </w:rPr>
            </w:pPr>
            <w:r w:rsidRPr="00DE1F19">
              <w:rPr>
                <w:rFonts w:ascii="Verdana" w:hAnsi="Verdana" w:cs="Tahoma"/>
                <w:b w:val="0"/>
                <w:color w:val="auto"/>
                <w:sz w:val="24"/>
                <w:szCs w:val="24"/>
              </w:rPr>
              <w:t>RAG: Amber</w:t>
            </w:r>
          </w:p>
        </w:tc>
      </w:tr>
      <w:tr w:rsidR="00824F30" w:rsidTr="00606941">
        <w:tc>
          <w:tcPr>
            <w:cnfStyle w:val="001000000000" w:firstRow="0" w:lastRow="0" w:firstColumn="1" w:lastColumn="0" w:oddVBand="0" w:evenVBand="0" w:oddHBand="0" w:evenHBand="0" w:firstRowFirstColumn="0" w:firstRowLastColumn="0" w:lastRowFirstColumn="0" w:lastRowLastColumn="0"/>
            <w:tcW w:w="15388" w:type="dxa"/>
            <w:gridSpan w:val="2"/>
            <w:tcBorders>
              <w:bottom w:val="single" w:sz="4" w:space="0" w:color="auto"/>
            </w:tcBorders>
          </w:tcPr>
          <w:p w:rsidR="00824F30" w:rsidRPr="00ED2163" w:rsidRDefault="00824F30" w:rsidP="00824F30">
            <w:pPr>
              <w:jc w:val="center"/>
              <w:rPr>
                <w:bCs w:val="0"/>
                <w:color w:val="auto"/>
                <w:sz w:val="24"/>
                <w:szCs w:val="24"/>
              </w:rPr>
            </w:pPr>
            <w:r w:rsidRPr="00ED2163">
              <w:rPr>
                <w:bCs w:val="0"/>
                <w:color w:val="auto"/>
                <w:sz w:val="24"/>
                <w:szCs w:val="24"/>
              </w:rPr>
              <w:lastRenderedPageBreak/>
              <w:t>Other comments</w:t>
            </w:r>
            <w:r w:rsidR="0038219C" w:rsidRPr="00ED2163">
              <w:rPr>
                <w:bCs w:val="0"/>
                <w:color w:val="auto"/>
                <w:sz w:val="24"/>
                <w:szCs w:val="24"/>
              </w:rPr>
              <w:t>/issues by exception</w:t>
            </w:r>
          </w:p>
        </w:tc>
      </w:tr>
      <w:tr w:rsidR="00824F30" w:rsidTr="00606941">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5388" w:type="dxa"/>
            <w:gridSpan w:val="2"/>
            <w:tcBorders>
              <w:left w:val="single" w:sz="4" w:space="0" w:color="auto"/>
              <w:right w:val="single" w:sz="4" w:space="0" w:color="auto"/>
            </w:tcBorders>
          </w:tcPr>
          <w:p w:rsidR="00824F30" w:rsidRPr="00ED2163" w:rsidRDefault="00824F30" w:rsidP="005315F8">
            <w:pPr>
              <w:rPr>
                <w:bCs w:val="0"/>
                <w:color w:val="auto"/>
                <w:sz w:val="24"/>
                <w:szCs w:val="24"/>
              </w:rPr>
            </w:pPr>
          </w:p>
          <w:p w:rsidR="00824F30" w:rsidRPr="00ED2163" w:rsidRDefault="00824F30" w:rsidP="005315F8">
            <w:pPr>
              <w:rPr>
                <w:bCs w:val="0"/>
                <w:color w:val="auto"/>
                <w:sz w:val="24"/>
                <w:szCs w:val="24"/>
              </w:rPr>
            </w:pPr>
          </w:p>
        </w:tc>
      </w:tr>
    </w:tbl>
    <w:p w:rsidR="00B54EEF" w:rsidRPr="00B54EEF" w:rsidRDefault="00B54EEF" w:rsidP="00824F30">
      <w:pPr>
        <w:rPr>
          <w:u w:val="single"/>
        </w:rPr>
      </w:pPr>
    </w:p>
    <w:sectPr w:rsidR="00B54EEF" w:rsidRPr="00B54EEF" w:rsidSect="00824F30">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C3E80"/>
    <w:multiLevelType w:val="hybridMultilevel"/>
    <w:tmpl w:val="A16089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EED10E4"/>
    <w:multiLevelType w:val="hybridMultilevel"/>
    <w:tmpl w:val="EA96FA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61983FE8"/>
    <w:multiLevelType w:val="hybridMultilevel"/>
    <w:tmpl w:val="51A245C6"/>
    <w:lvl w:ilvl="0" w:tplc="D234C000">
      <w:numFmt w:val="bullet"/>
      <w:lvlText w:val="-"/>
      <w:lvlJc w:val="left"/>
      <w:pPr>
        <w:ind w:left="720" w:hanging="360"/>
      </w:pPr>
      <w:rPr>
        <w:rFonts w:ascii="Courier New" w:eastAsia="Calibri"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6683765C"/>
    <w:multiLevelType w:val="hybridMultilevel"/>
    <w:tmpl w:val="DA966E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4744E6B"/>
    <w:multiLevelType w:val="hybridMultilevel"/>
    <w:tmpl w:val="7D5EF2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1"/>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EEF"/>
    <w:rsid w:val="0004187B"/>
    <w:rsid w:val="00153E6C"/>
    <w:rsid w:val="00170F9B"/>
    <w:rsid w:val="001B60A7"/>
    <w:rsid w:val="001D7EC0"/>
    <w:rsid w:val="00316AD7"/>
    <w:rsid w:val="0038219C"/>
    <w:rsid w:val="0047110A"/>
    <w:rsid w:val="004C77E2"/>
    <w:rsid w:val="004E53AA"/>
    <w:rsid w:val="005315F8"/>
    <w:rsid w:val="005E2B58"/>
    <w:rsid w:val="00606941"/>
    <w:rsid w:val="006069CE"/>
    <w:rsid w:val="0063446E"/>
    <w:rsid w:val="006B3803"/>
    <w:rsid w:val="006F3E06"/>
    <w:rsid w:val="006F5DE6"/>
    <w:rsid w:val="007105EC"/>
    <w:rsid w:val="007669E8"/>
    <w:rsid w:val="00824F30"/>
    <w:rsid w:val="008765EA"/>
    <w:rsid w:val="008E25DC"/>
    <w:rsid w:val="00922B76"/>
    <w:rsid w:val="00947B2F"/>
    <w:rsid w:val="009C5A33"/>
    <w:rsid w:val="009F7DB8"/>
    <w:rsid w:val="00AB52F3"/>
    <w:rsid w:val="00B53E46"/>
    <w:rsid w:val="00B54EEF"/>
    <w:rsid w:val="00BB7449"/>
    <w:rsid w:val="00BF12D2"/>
    <w:rsid w:val="00C56B75"/>
    <w:rsid w:val="00C71DA2"/>
    <w:rsid w:val="00D622FB"/>
    <w:rsid w:val="00D6431C"/>
    <w:rsid w:val="00DC6A9B"/>
    <w:rsid w:val="00DE1F19"/>
    <w:rsid w:val="00E249AA"/>
    <w:rsid w:val="00E24E51"/>
    <w:rsid w:val="00E6266F"/>
    <w:rsid w:val="00ED2163"/>
    <w:rsid w:val="00F5077D"/>
    <w:rsid w:val="00FE20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A2AB76-94DE-459E-B4F4-9B085BB1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54EE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B54E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rsid w:val="00B54EEF"/>
    <w:pPr>
      <w:spacing w:after="0" w:line="240" w:lineRule="auto"/>
    </w:pPr>
    <w:rPr>
      <w:color w:val="EC31AA" w:themeColor="accent5" w:themeShade="BF"/>
    </w:rPr>
    <w:tblPr>
      <w:tblStyleRowBandSize w:val="1"/>
      <w:tblStyleColBandSize w:val="1"/>
      <w:tblBorders>
        <w:top w:val="single" w:sz="8" w:space="0" w:color="F489CF" w:themeColor="accent5"/>
        <w:bottom w:val="single" w:sz="8" w:space="0" w:color="F489CF" w:themeColor="accent5"/>
      </w:tblBorders>
    </w:tblPr>
    <w:tblStylePr w:type="firstRow">
      <w:pPr>
        <w:spacing w:before="0" w:after="0" w:line="240" w:lineRule="auto"/>
      </w:pPr>
      <w:rPr>
        <w:b/>
        <w:bCs/>
      </w:rPr>
      <w:tblPr/>
      <w:tcPr>
        <w:tcBorders>
          <w:top w:val="single" w:sz="8" w:space="0" w:color="F489CF" w:themeColor="accent5"/>
          <w:left w:val="nil"/>
          <w:bottom w:val="single" w:sz="8" w:space="0" w:color="F489CF" w:themeColor="accent5"/>
          <w:right w:val="nil"/>
          <w:insideH w:val="nil"/>
          <w:insideV w:val="nil"/>
        </w:tcBorders>
      </w:tcPr>
    </w:tblStylePr>
    <w:tblStylePr w:type="lastRow">
      <w:pPr>
        <w:spacing w:before="0" w:after="0" w:line="240" w:lineRule="auto"/>
      </w:pPr>
      <w:rPr>
        <w:b/>
        <w:bCs/>
      </w:rPr>
      <w:tblPr/>
      <w:tcPr>
        <w:tcBorders>
          <w:top w:val="single" w:sz="8" w:space="0" w:color="F489CF" w:themeColor="accent5"/>
          <w:left w:val="nil"/>
          <w:bottom w:val="single" w:sz="8" w:space="0" w:color="F489C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E1F3" w:themeFill="accent5" w:themeFillTint="3F"/>
      </w:tcPr>
    </w:tblStylePr>
    <w:tblStylePr w:type="band1Horz">
      <w:tblPr/>
      <w:tcPr>
        <w:tcBorders>
          <w:left w:val="nil"/>
          <w:right w:val="nil"/>
          <w:insideH w:val="nil"/>
          <w:insideV w:val="nil"/>
        </w:tcBorders>
        <w:shd w:val="clear" w:color="auto" w:fill="FCE1F3" w:themeFill="accent5" w:themeFillTint="3F"/>
      </w:tcPr>
    </w:tblStylePr>
  </w:style>
  <w:style w:type="table" w:styleId="LightShading-Accent2">
    <w:name w:val="Light Shading Accent 2"/>
    <w:basedOn w:val="TableNormal"/>
    <w:uiPriority w:val="60"/>
    <w:rsid w:val="00B54EEF"/>
    <w:pPr>
      <w:spacing w:after="0" w:line="240" w:lineRule="auto"/>
    </w:pPr>
    <w:rPr>
      <w:color w:val="48CF40" w:themeColor="accent2" w:themeShade="BF"/>
    </w:rPr>
    <w:tblPr>
      <w:tblStyleRowBandSize w:val="1"/>
      <w:tblStyleColBandSize w:val="1"/>
      <w:tblBorders>
        <w:top w:val="single" w:sz="8" w:space="0" w:color="8FE28A" w:themeColor="accent2"/>
        <w:bottom w:val="single" w:sz="8" w:space="0" w:color="8FE28A" w:themeColor="accent2"/>
      </w:tblBorders>
    </w:tblPr>
    <w:tblStylePr w:type="firstRow">
      <w:pPr>
        <w:spacing w:before="0" w:after="0" w:line="240" w:lineRule="auto"/>
      </w:pPr>
      <w:rPr>
        <w:b/>
        <w:bCs/>
      </w:rPr>
      <w:tblPr/>
      <w:tcPr>
        <w:tcBorders>
          <w:top w:val="single" w:sz="8" w:space="0" w:color="8FE28A" w:themeColor="accent2"/>
          <w:left w:val="nil"/>
          <w:bottom w:val="single" w:sz="8" w:space="0" w:color="8FE28A" w:themeColor="accent2"/>
          <w:right w:val="nil"/>
          <w:insideH w:val="nil"/>
          <w:insideV w:val="nil"/>
        </w:tcBorders>
      </w:tcPr>
    </w:tblStylePr>
    <w:tblStylePr w:type="lastRow">
      <w:pPr>
        <w:spacing w:before="0" w:after="0" w:line="240" w:lineRule="auto"/>
      </w:pPr>
      <w:rPr>
        <w:b/>
        <w:bCs/>
      </w:rPr>
      <w:tblPr/>
      <w:tcPr>
        <w:tcBorders>
          <w:top w:val="single" w:sz="8" w:space="0" w:color="8FE28A" w:themeColor="accent2"/>
          <w:left w:val="nil"/>
          <w:bottom w:val="single" w:sz="8" w:space="0" w:color="8FE28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F7E1" w:themeFill="accent2" w:themeFillTint="3F"/>
      </w:tcPr>
    </w:tblStylePr>
    <w:tblStylePr w:type="band1Horz">
      <w:tblPr/>
      <w:tcPr>
        <w:tcBorders>
          <w:left w:val="nil"/>
          <w:right w:val="nil"/>
          <w:insideH w:val="nil"/>
          <w:insideV w:val="nil"/>
        </w:tcBorders>
        <w:shd w:val="clear" w:color="auto" w:fill="E3F7E1" w:themeFill="accent2" w:themeFillTint="3F"/>
      </w:tcPr>
    </w:tblStylePr>
  </w:style>
  <w:style w:type="character" w:styleId="Hyperlink">
    <w:name w:val="Hyperlink"/>
    <w:basedOn w:val="DefaultParagraphFont"/>
    <w:uiPriority w:val="99"/>
    <w:unhideWhenUsed/>
    <w:rsid w:val="0063446E"/>
    <w:rPr>
      <w:color w:val="408080" w:themeColor="hyperlink"/>
      <w:u w:val="single"/>
    </w:rPr>
  </w:style>
  <w:style w:type="character" w:styleId="CommentReference">
    <w:name w:val="annotation reference"/>
    <w:basedOn w:val="DefaultParagraphFont"/>
    <w:unhideWhenUsed/>
    <w:rsid w:val="006069CE"/>
    <w:rPr>
      <w:sz w:val="16"/>
      <w:szCs w:val="16"/>
    </w:rPr>
  </w:style>
  <w:style w:type="paragraph" w:styleId="CommentText">
    <w:name w:val="annotation text"/>
    <w:basedOn w:val="Normal"/>
    <w:link w:val="CommentTextChar"/>
    <w:unhideWhenUsed/>
    <w:rsid w:val="006069CE"/>
    <w:pPr>
      <w:spacing w:line="240" w:lineRule="auto"/>
    </w:pPr>
    <w:rPr>
      <w:sz w:val="20"/>
      <w:szCs w:val="20"/>
    </w:rPr>
  </w:style>
  <w:style w:type="character" w:customStyle="1" w:styleId="CommentTextChar">
    <w:name w:val="Comment Text Char"/>
    <w:basedOn w:val="DefaultParagraphFont"/>
    <w:link w:val="CommentText"/>
    <w:rsid w:val="006069CE"/>
    <w:rPr>
      <w:sz w:val="20"/>
      <w:szCs w:val="20"/>
    </w:rPr>
  </w:style>
  <w:style w:type="paragraph" w:styleId="CommentSubject">
    <w:name w:val="annotation subject"/>
    <w:basedOn w:val="CommentText"/>
    <w:next w:val="CommentText"/>
    <w:link w:val="CommentSubjectChar"/>
    <w:uiPriority w:val="99"/>
    <w:semiHidden/>
    <w:unhideWhenUsed/>
    <w:rsid w:val="006069CE"/>
    <w:rPr>
      <w:b/>
      <w:bCs/>
    </w:rPr>
  </w:style>
  <w:style w:type="character" w:customStyle="1" w:styleId="CommentSubjectChar">
    <w:name w:val="Comment Subject Char"/>
    <w:basedOn w:val="CommentTextChar"/>
    <w:link w:val="CommentSubject"/>
    <w:uiPriority w:val="99"/>
    <w:semiHidden/>
    <w:rsid w:val="006069CE"/>
    <w:rPr>
      <w:b/>
      <w:bCs/>
      <w:sz w:val="20"/>
      <w:szCs w:val="20"/>
    </w:rPr>
  </w:style>
  <w:style w:type="paragraph" w:styleId="BalloonText">
    <w:name w:val="Balloon Text"/>
    <w:basedOn w:val="Normal"/>
    <w:link w:val="BalloonTextChar"/>
    <w:uiPriority w:val="99"/>
    <w:semiHidden/>
    <w:unhideWhenUsed/>
    <w:rsid w:val="006069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69CE"/>
    <w:rPr>
      <w:rFonts w:ascii="Tahoma" w:hAnsi="Tahoma" w:cs="Tahoma"/>
      <w:sz w:val="16"/>
      <w:szCs w:val="16"/>
    </w:rPr>
  </w:style>
  <w:style w:type="paragraph" w:styleId="ListParagraph">
    <w:name w:val="List Paragraph"/>
    <w:basedOn w:val="Normal"/>
    <w:uiPriority w:val="34"/>
    <w:qFormat/>
    <w:rsid w:val="00ED2163"/>
    <w:pPr>
      <w:spacing w:after="0" w:line="240" w:lineRule="auto"/>
      <w:ind w:left="720"/>
      <w:contextualSpacing/>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1"/>
    <w:qFormat/>
    <w:rsid w:val="00606941"/>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606941"/>
    <w:rPr>
      <w:rFonts w:ascii="Arial" w:eastAsia="Arial" w:hAnsi="Arial" w:cs="Arial"/>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827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3" Type="http://schemas.openxmlformats.org/officeDocument/2006/relationships/numbering" Target="numbering.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Spring">
  <a:themeElements>
    <a:clrScheme name="Spring">
      <a:dk1>
        <a:sysClr val="windowText" lastClr="000000"/>
      </a:dk1>
      <a:lt1>
        <a:sysClr val="window" lastClr="FFFFFF"/>
      </a:lt1>
      <a:dk2>
        <a:srgbClr val="66822D"/>
      </a:dk2>
      <a:lt2>
        <a:srgbClr val="BEEA73"/>
      </a:lt2>
      <a:accent1>
        <a:srgbClr val="C1EC76"/>
      </a:accent1>
      <a:accent2>
        <a:srgbClr val="8FE28A"/>
      </a:accent2>
      <a:accent3>
        <a:srgbClr val="F3BF45"/>
      </a:accent3>
      <a:accent4>
        <a:srgbClr val="F47E5A"/>
      </a:accent4>
      <a:accent5>
        <a:srgbClr val="F489CF"/>
      </a:accent5>
      <a:accent6>
        <a:srgbClr val="B56FF4"/>
      </a:accent6>
      <a:hlink>
        <a:srgbClr val="408080"/>
      </a:hlink>
      <a:folHlink>
        <a:srgbClr val="5EAEAE"/>
      </a:folHlink>
    </a:clrScheme>
    <a:fontScheme name="Spring">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Spring">
      <a:fillStyleLst>
        <a:solidFill>
          <a:schemeClr val="phClr"/>
        </a:solidFill>
        <a:gradFill rotWithShape="1">
          <a:gsLst>
            <a:gs pos="0">
              <a:schemeClr val="phClr">
                <a:tint val="70000"/>
                <a:lumMod val="110000"/>
              </a:schemeClr>
            </a:gs>
            <a:gs pos="100000">
              <a:schemeClr val="phClr">
                <a:tint val="100000"/>
                <a:shade val="85000"/>
                <a:lumMod val="80000"/>
              </a:schemeClr>
            </a:gs>
          </a:gsLst>
          <a:lin ang="5400000" scaled="1"/>
        </a:gradFill>
        <a:gradFill rotWithShape="1">
          <a:gsLst>
            <a:gs pos="0">
              <a:schemeClr val="phClr">
                <a:tint val="97000"/>
                <a:satMod val="100000"/>
                <a:lumMod val="110000"/>
              </a:schemeClr>
            </a:gs>
            <a:gs pos="100000">
              <a:schemeClr val="phClr">
                <a:shade val="85000"/>
                <a:lumMod val="80000"/>
              </a:schemeClr>
            </a:gs>
          </a:gsLst>
          <a:lin ang="5400000" scaled="0"/>
        </a:gradFill>
      </a:fillStyleLst>
      <a:lnStyleLst>
        <a:ln w="12700" cap="rnd" cmpd="sng" algn="ctr">
          <a:solidFill>
            <a:schemeClr val="phClr"/>
          </a:solidFill>
          <a:prstDash val="solid"/>
        </a:ln>
        <a:ln w="19050" cap="rnd" cmpd="sng" algn="ctr">
          <a:solidFill>
            <a:schemeClr val="phClr"/>
          </a:solidFill>
          <a:prstDash val="solid"/>
        </a:ln>
        <a:ln w="28575" cap="rnd" cmpd="sng"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88900" dist="38100" dir="5400000" algn="ctr" rotWithShape="0">
              <a:srgbClr val="000000">
                <a:alpha val="65000"/>
              </a:srgbClr>
            </a:outerShdw>
          </a:effectLst>
          <a:scene3d>
            <a:camera prst="orthographicFront">
              <a:rot lat="0" lon="0" rev="0"/>
            </a:camera>
            <a:lightRig rig="threePt" dir="tl">
              <a:rot lat="0" lon="0" rev="5400000"/>
            </a:lightRig>
          </a:scene3d>
          <a:sp3d>
            <a:bevelT w="25400" h="38100"/>
          </a:sp3d>
        </a:effectStyle>
      </a:effectStyleLst>
      <a:bgFillStyleLst>
        <a:solidFill>
          <a:schemeClr val="phClr"/>
        </a:solidFill>
        <a:gradFill rotWithShape="1">
          <a:gsLst>
            <a:gs pos="0">
              <a:schemeClr val="phClr">
                <a:tint val="100000"/>
                <a:shade val="100000"/>
                <a:hueMod val="100000"/>
                <a:satMod val="106000"/>
                <a:lumMod val="100000"/>
              </a:schemeClr>
            </a:gs>
            <a:gs pos="88000">
              <a:schemeClr val="phClr">
                <a:tint val="90000"/>
                <a:shade val="68000"/>
                <a:hueMod val="100000"/>
                <a:satMod val="114000"/>
                <a:lumMod val="74000"/>
              </a:schemeClr>
            </a:gs>
          </a:gsLst>
          <a:lin ang="5400000" scaled="1"/>
        </a:gradFill>
        <a:gradFill rotWithShape="1">
          <a:gsLst>
            <a:gs pos="0">
              <a:schemeClr val="phClr">
                <a:tint val="94000"/>
                <a:shade val="100000"/>
                <a:hueMod val="100000"/>
                <a:satMod val="118000"/>
                <a:lumMod val="100000"/>
              </a:schemeClr>
            </a:gs>
            <a:gs pos="100000">
              <a:schemeClr val="phClr">
                <a:tint val="98000"/>
                <a:shade val="68000"/>
                <a:hueMod val="100000"/>
                <a:satMod val="118000"/>
                <a:lumMod val="82000"/>
              </a:schemeClr>
            </a:gs>
          </a:gsLst>
          <a:path path="circle">
            <a:fillToRect l="50000" t="5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A27406070</value>
    </field>
    <field name="Objective-Title">
      <value order="0">Cwm Taf Morgannwg IMTP Monitoring Template - Quarter 2</value>
    </field>
    <field name="Objective-Description">
      <value order="0"/>
    </field>
    <field name="Objective-CreationStamp">
      <value order="0">2019-09-10T08:47:49Z</value>
    </field>
    <field name="Objective-IsApproved">
      <value order="0">false</value>
    </field>
    <field name="Objective-IsPublished">
      <value order="0">true</value>
    </field>
    <field name="Objective-DatePublished">
      <value order="0">2019-09-10T09:20:36Z</value>
    </field>
    <field name="Objective-ModificationStamp">
      <value order="0">2019-09-10T09:20:36Z</value>
    </field>
    <field name="Objective-Owner">
      <value order="0">Walsh, Sam (HSS - NHS Planning Team)</value>
    </field>
    <field name="Objective-Path">
      <value order="0">Objective Global Folder:Business File Plan:Health &amp; Social Services (HSS):Health &amp; Social Services (HSS) - D&amp;P - Delivery &amp; Performance:1 - Save:Planning:IMTP's/Annual Plans 2019/2020:Monitoring:Quarterly Reports:2019-20 - Health and Social Services - Integrated Medium Term and Annual Plan Monitoring:Quarter 2</value>
    </field>
    <field name="Objective-Parent">
      <value order="0">Quarter 2</value>
    </field>
    <field name="Objective-State">
      <value order="0">Published</value>
    </field>
    <field name="Objective-VersionId">
      <value order="0">vA54535057</value>
    </field>
    <field name="Objective-Version">
      <value order="0">2.0</value>
    </field>
    <field name="Objective-VersionNumber">
      <value order="0">3</value>
    </field>
    <field name="Objective-VersionComment">
      <value order="0"/>
    </field>
    <field name="Objective-FileNumber">
      <value order="0">qA1360411</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2019-09-09T23:00:00Z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A6BEE3E-31C4-4C4C-9450-89423D00E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1285</Words>
  <Characters>7325</Characters>
  <Application>Microsoft Office Word</Application>
  <DocSecurity>4</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8593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Walsh, Sam (HSS - NHS Planning Team)</dc:creator>
  <cp:lastModifiedBy>Clare Williams (Cwm Taf LHB - Planning)</cp:lastModifiedBy>
  <cp:revision>2</cp:revision>
  <cp:lastPrinted>2019-03-29T11:57:00Z</cp:lastPrinted>
  <dcterms:created xsi:type="dcterms:W3CDTF">2019-10-11T15:55:00Z</dcterms:created>
  <dcterms:modified xsi:type="dcterms:W3CDTF">2019-10-11T15:55:00Z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A27406070</vt:lpwstr>
  </property>
  <property fmtid="{D5CDD505-2E9C-101B-9397-08002B2CF9AE}" pid="4" name="Objective-Title">
    <vt:lpwstr>Cwm Taf Morgannwg IMTP Monitoring Template - Quarter 2</vt:lpwstr>
  </property>
  <property fmtid="{D5CDD505-2E9C-101B-9397-08002B2CF9AE}" pid="5" name="Objective-Description">
    <vt:lpwstr/>
  </property>
  <property fmtid="{D5CDD505-2E9C-101B-9397-08002B2CF9AE}" pid="6" name="Objective-CreationStamp">
    <vt:filetime>2019-09-10T08:47:56Z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2019-09-10T09:20:36Z</vt:filetime>
  </property>
  <property fmtid="{D5CDD505-2E9C-101B-9397-08002B2CF9AE}" pid="10" name="Objective-ModificationStamp">
    <vt:filetime>2019-09-10T09:20:36Z</vt:filetime>
  </property>
  <property fmtid="{D5CDD505-2E9C-101B-9397-08002B2CF9AE}" pid="11" name="Objective-Owner">
    <vt:lpwstr>Walsh, Sam (HSS - NHS Planning Team)</vt:lpwstr>
  </property>
  <property fmtid="{D5CDD505-2E9C-101B-9397-08002B2CF9AE}" pid="12" name="Objective-Path">
    <vt:lpwstr>Objective Global Folder:Business File Plan:Health &amp; Social Services (HSS):Health &amp; Social Services (HSS) - D&amp;P - Delivery &amp; Performance:1 - Save:Planning:IMTP's/Annual Plans 2019/2020:Monitoring:Quarterly Reports:2019-20 - Health and Social Services - Int</vt:lpwstr>
  </property>
  <property fmtid="{D5CDD505-2E9C-101B-9397-08002B2CF9AE}" pid="13" name="Objective-Parent">
    <vt:lpwstr>Quarter 2</vt:lpwstr>
  </property>
  <property fmtid="{D5CDD505-2E9C-101B-9397-08002B2CF9AE}" pid="14" name="Objective-State">
    <vt:lpwstr>Published</vt:lpwstr>
  </property>
  <property fmtid="{D5CDD505-2E9C-101B-9397-08002B2CF9AE}" pid="15" name="Objective-VersionId">
    <vt:lpwstr>vA54535057</vt:lpwstr>
  </property>
  <property fmtid="{D5CDD505-2E9C-101B-9397-08002B2CF9AE}" pid="16" name="Objective-Version">
    <vt:lpwstr>2.0</vt:lpwstr>
  </property>
  <property fmtid="{D5CDD505-2E9C-101B-9397-08002B2CF9AE}" pid="17" name="Objective-VersionNumber">
    <vt:r8>3</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2019-09-09T23:00:00Z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Objective-Language [system]">
    <vt:lpwstr>English (eng)</vt:lpwstr>
  </property>
  <property fmtid="{D5CDD505-2E9C-101B-9397-08002B2CF9AE}" pid="29" name="Objective-Date Acquired [system]">
    <vt:filetime>2019-04-17T23:00:00Z</vt:filetime>
  </property>
  <property fmtid="{D5CDD505-2E9C-101B-9397-08002B2CF9AE}" pid="30" name="Objective-What to Keep [system]">
    <vt:lpwstr>No</vt:lpwstr>
  </property>
  <property fmtid="{D5CDD505-2E9C-101B-9397-08002B2CF9AE}" pid="31" name="Objective-Official Translation [system]">
    <vt:lpwstr/>
  </property>
  <property fmtid="{D5CDD505-2E9C-101B-9397-08002B2CF9AE}" pid="32" name="Objective-Connect Creator [system]">
    <vt:lpwstr/>
  </property>
</Properties>
</file>