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charts/chart1.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14:paraId="4D714FC2" w14:textId="67FFC970" w:rsidR="00FD03CE" w:rsidRPr="00A13C28" w:rsidRDefault="00FD03CE" w:rsidP="00E07712">
      <w:pPr>
        <w:jc w:val="left"/>
        <w:rPr>
          <w:b/>
          <w:bCs/>
          <w:caps/>
          <w:color w:val="B9975B"/>
          <w:sz w:val="72"/>
          <w:szCs w:val="72"/>
        </w:rPr>
      </w:pPr>
      <w:r w:rsidRPr="00A13C28">
        <w:rPr>
          <w:b/>
          <w:bCs/>
          <w:caps/>
          <w:color w:val="B9975B"/>
          <w:sz w:val="72"/>
          <w:szCs w:val="72"/>
        </w:rPr>
        <w:t>three year</w:t>
      </w:r>
    </w:p>
    <w:p w14:paraId="0F0D9AAC" w14:textId="77777777" w:rsidR="00FD03CE" w:rsidRPr="00A13C28" w:rsidRDefault="00FD03CE" w:rsidP="00FD03CE">
      <w:pPr>
        <w:jc w:val="left"/>
        <w:rPr>
          <w:b/>
          <w:bCs/>
          <w:caps/>
          <w:color w:val="002060"/>
          <w:sz w:val="56"/>
          <w:szCs w:val="56"/>
        </w:rPr>
      </w:pPr>
      <w:r w:rsidRPr="00A13C28">
        <w:rPr>
          <w:b/>
          <w:bCs/>
          <w:caps/>
          <w:color w:val="002060"/>
          <w:sz w:val="56"/>
          <w:szCs w:val="56"/>
        </w:rPr>
        <w:t>integrated medium term plan</w:t>
      </w:r>
    </w:p>
    <w:p w14:paraId="3C20C849" w14:textId="1127F3A6" w:rsidR="002B7AFA" w:rsidRPr="00A13C28" w:rsidRDefault="0047674D">
      <w:pPr>
        <w:jc w:val="left"/>
        <w:rPr>
          <w:bCs/>
          <w:sz w:val="56"/>
          <w:szCs w:val="56"/>
        </w:rPr>
      </w:pPr>
      <w:r>
        <w:rPr>
          <w:bCs/>
          <w:caps/>
          <w:color w:val="B9975B"/>
          <w:sz w:val="56"/>
          <w:szCs w:val="56"/>
        </w:rPr>
        <w:t>2020</w:t>
      </w:r>
      <w:r w:rsidR="00FD03CE" w:rsidRPr="00A13C28">
        <w:rPr>
          <w:bCs/>
          <w:caps/>
          <w:color w:val="B9975B"/>
          <w:sz w:val="56"/>
          <w:szCs w:val="56"/>
        </w:rPr>
        <w:t xml:space="preserve"> – 202</w:t>
      </w:r>
      <w:r>
        <w:rPr>
          <w:bCs/>
          <w:caps/>
          <w:color w:val="B9975B"/>
          <w:sz w:val="56"/>
          <w:szCs w:val="56"/>
        </w:rPr>
        <w:t>3</w:t>
      </w:r>
      <w:r w:rsidR="002B7AFA" w:rsidRPr="00E574A1">
        <w:rPr>
          <w:bCs/>
          <w:caps/>
          <w:sz w:val="56"/>
          <w:szCs w:val="56"/>
        </w:rPr>
        <w:t xml:space="preserve"> </w:t>
      </w:r>
      <w:r>
        <w:rPr>
          <w:bCs/>
          <w:color w:val="002060"/>
          <w:sz w:val="28"/>
          <w:szCs w:val="28"/>
        </w:rPr>
        <w:t>WORKING DRAFT NOVEMBER 2019</w:t>
      </w:r>
    </w:p>
    <w:p w14:paraId="31DFD64B" w14:textId="77777777" w:rsidR="003A3DF2" w:rsidRPr="00F06323" w:rsidRDefault="003A3DF2">
      <w:pPr>
        <w:jc w:val="left"/>
        <w:rPr>
          <w:b/>
          <w:bCs/>
          <w:caps/>
          <w:sz w:val="28"/>
          <w:szCs w:val="28"/>
          <w:u w:val="single"/>
        </w:rPr>
      </w:pPr>
    </w:p>
    <w:p w14:paraId="228109A2" w14:textId="77777777" w:rsidR="003A3DF2" w:rsidRPr="00F06323" w:rsidRDefault="003A3DF2">
      <w:pPr>
        <w:jc w:val="left"/>
        <w:rPr>
          <w:b/>
          <w:bCs/>
          <w:caps/>
          <w:sz w:val="28"/>
          <w:szCs w:val="28"/>
          <w:u w:val="single"/>
        </w:rPr>
      </w:pPr>
    </w:p>
    <w:p w14:paraId="4435D418" w14:textId="045AC97B" w:rsidR="00490335" w:rsidRPr="0014558C" w:rsidRDefault="0047674D" w:rsidP="008931D6">
      <w:pPr>
        <w:jc w:val="center"/>
        <w:rPr>
          <w:bCs/>
          <w:caps/>
          <w:sz w:val="28"/>
          <w:szCs w:val="28"/>
          <w:u w:val="single"/>
        </w:rPr>
      </w:pPr>
      <w:r>
        <w:rPr>
          <w:rFonts w:asciiTheme="minorHAnsi" w:hAnsiTheme="minorHAnsi"/>
          <w:noProof/>
          <w:sz w:val="16"/>
          <w:szCs w:val="16"/>
        </w:rPr>
        <w:drawing>
          <wp:inline distT="0" distB="0" distL="0" distR="0" wp14:anchorId="29F01E8B" wp14:editId="6AED17A6">
            <wp:extent cx="6336030" cy="6336030"/>
            <wp:effectExtent l="0" t="0" r="762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nfo9 no circle-01.png"/>
                    <pic:cNvPicPr/>
                  </pic:nvPicPr>
                  <pic:blipFill>
                    <a:blip r:embed="rId8">
                      <a:extLst>
                        <a:ext uri="{28A0092B-C50C-407E-A947-70E740481C1C}">
                          <a14:useLocalDpi xmlns:a14="http://schemas.microsoft.com/office/drawing/2010/main" val="0"/>
                        </a:ext>
                      </a:extLst>
                    </a:blip>
                    <a:stretch>
                      <a:fillRect/>
                    </a:stretch>
                  </pic:blipFill>
                  <pic:spPr>
                    <a:xfrm>
                      <a:off x="0" y="0"/>
                      <a:ext cx="6336030" cy="6336030"/>
                    </a:xfrm>
                    <a:prstGeom prst="rect">
                      <a:avLst/>
                    </a:prstGeom>
                  </pic:spPr>
                </pic:pic>
              </a:graphicData>
            </a:graphic>
          </wp:inline>
        </w:drawing>
      </w:r>
    </w:p>
    <w:p w14:paraId="17FF61E2" w14:textId="77777777" w:rsidR="00077186" w:rsidRDefault="00077186">
      <w:pPr>
        <w:jc w:val="left"/>
        <w:rPr>
          <w:b/>
        </w:rPr>
      </w:pPr>
    </w:p>
    <w:p w14:paraId="16977837" w14:textId="77777777" w:rsidR="00ED3450" w:rsidRPr="0014558C" w:rsidRDefault="00ED3450">
      <w:pPr>
        <w:jc w:val="left"/>
        <w:rPr>
          <w:b/>
        </w:rPr>
      </w:pPr>
    </w:p>
    <w:tbl>
      <w:tblPr>
        <w:tblStyle w:val="TableGrid"/>
        <w:tblW w:w="6946" w:type="dxa"/>
        <w:tblInd w:w="23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61"/>
        <w:gridCol w:w="860"/>
        <w:gridCol w:w="740"/>
        <w:gridCol w:w="885"/>
      </w:tblGrid>
      <w:tr w:rsidR="0014558C" w:rsidRPr="0014558C" w14:paraId="659CFB2C" w14:textId="77777777" w:rsidTr="00077186">
        <w:tc>
          <w:tcPr>
            <w:tcW w:w="4461" w:type="dxa"/>
            <w:vAlign w:val="center"/>
          </w:tcPr>
          <w:p w14:paraId="3B5AC9A2" w14:textId="7F9C9549" w:rsidR="008931D6" w:rsidRPr="0014558C" w:rsidRDefault="008931D6" w:rsidP="00077186">
            <w:pPr>
              <w:jc w:val="center"/>
              <w:rPr>
                <w:b/>
              </w:rPr>
            </w:pPr>
          </w:p>
        </w:tc>
        <w:tc>
          <w:tcPr>
            <w:tcW w:w="860" w:type="dxa"/>
            <w:vAlign w:val="center"/>
          </w:tcPr>
          <w:p w14:paraId="24F61DFA" w14:textId="77777777" w:rsidR="008931D6" w:rsidRPr="0014558C" w:rsidRDefault="008931D6" w:rsidP="008931D6">
            <w:pPr>
              <w:jc w:val="center"/>
              <w:rPr>
                <w:b/>
              </w:rPr>
            </w:pPr>
            <w:r w:rsidRPr="0014558C">
              <w:rPr>
                <w:b/>
                <w:noProof/>
              </w:rPr>
              <w:drawing>
                <wp:inline distT="0" distB="0" distL="0" distR="0" wp14:anchorId="73D801AE" wp14:editId="40C554B1">
                  <wp:extent cx="382772" cy="382772"/>
                  <wp:effectExtent l="0" t="0" r="0" b="0"/>
                  <wp:docPr id="10" name="Picture 10" descr="C:\Users\sh119619\AppData\Local\Microsoft\Windows\Temporary Internet Files\Content.Outlook\TCN7MEJ2\faceboo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h119619\AppData\Local\Microsoft\Windows\Temporary Internet Files\Content.Outlook\TCN7MEJ2\facebook.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88830" cy="388830"/>
                          </a:xfrm>
                          <a:prstGeom prst="rect">
                            <a:avLst/>
                          </a:prstGeom>
                          <a:noFill/>
                          <a:ln>
                            <a:noFill/>
                          </a:ln>
                        </pic:spPr>
                      </pic:pic>
                    </a:graphicData>
                  </a:graphic>
                </wp:inline>
              </w:drawing>
            </w:r>
          </w:p>
        </w:tc>
        <w:tc>
          <w:tcPr>
            <w:tcW w:w="740" w:type="dxa"/>
            <w:vAlign w:val="center"/>
          </w:tcPr>
          <w:p w14:paraId="10E8B64C" w14:textId="77777777" w:rsidR="008931D6" w:rsidRPr="0014558C" w:rsidRDefault="008931D6" w:rsidP="008931D6">
            <w:pPr>
              <w:jc w:val="center"/>
              <w:rPr>
                <w:b/>
              </w:rPr>
            </w:pPr>
            <w:r w:rsidRPr="0014558C">
              <w:rPr>
                <w:b/>
                <w:noProof/>
              </w:rPr>
              <w:drawing>
                <wp:inline distT="0" distB="0" distL="0" distR="0" wp14:anchorId="6D4ED41A" wp14:editId="042BE66E">
                  <wp:extent cx="308344" cy="308344"/>
                  <wp:effectExtent l="0" t="0" r="0" b="0"/>
                  <wp:docPr id="11" name="Picture 11" descr="C:\Users\sh119619\AppData\Local\Microsoft\Windows\Temporary Internet Files\Content.Outlook\TCN7MEJ2\twit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sh119619\AppData\Local\Microsoft\Windows\Temporary Internet Files\Content.Outlook\TCN7MEJ2\twitter.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14809" cy="314809"/>
                          </a:xfrm>
                          <a:prstGeom prst="rect">
                            <a:avLst/>
                          </a:prstGeom>
                          <a:noFill/>
                          <a:ln>
                            <a:noFill/>
                          </a:ln>
                        </pic:spPr>
                      </pic:pic>
                    </a:graphicData>
                  </a:graphic>
                </wp:inline>
              </w:drawing>
            </w:r>
          </w:p>
        </w:tc>
        <w:tc>
          <w:tcPr>
            <w:tcW w:w="885" w:type="dxa"/>
            <w:vAlign w:val="center"/>
          </w:tcPr>
          <w:p w14:paraId="4AA6371C" w14:textId="77777777" w:rsidR="008931D6" w:rsidRPr="0014558C" w:rsidRDefault="008931D6" w:rsidP="008931D6">
            <w:pPr>
              <w:jc w:val="center"/>
              <w:rPr>
                <w:b/>
              </w:rPr>
            </w:pPr>
            <w:r w:rsidRPr="0014558C">
              <w:rPr>
                <w:b/>
                <w:noProof/>
              </w:rPr>
              <w:drawing>
                <wp:inline distT="0" distB="0" distL="0" distR="0" wp14:anchorId="2333BC8A" wp14:editId="12D4C4EA">
                  <wp:extent cx="403713" cy="403713"/>
                  <wp:effectExtent l="0" t="0" r="0" b="0"/>
                  <wp:docPr id="12" name="Picture 12" descr="C:\Users\sh119619\AppData\Local\Microsoft\Windows\Temporary Internet Files\Content.Outlook\TCN7MEJ2\youtub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sh119619\AppData\Local\Microsoft\Windows\Temporary Internet Files\Content.Outlook\TCN7MEJ2\youtube.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flipV="1">
                            <a:off x="0" y="0"/>
                            <a:ext cx="410676" cy="410676"/>
                          </a:xfrm>
                          <a:prstGeom prst="rect">
                            <a:avLst/>
                          </a:prstGeom>
                          <a:noFill/>
                          <a:ln>
                            <a:noFill/>
                          </a:ln>
                        </pic:spPr>
                      </pic:pic>
                    </a:graphicData>
                  </a:graphic>
                </wp:inline>
              </w:drawing>
            </w:r>
          </w:p>
        </w:tc>
      </w:tr>
    </w:tbl>
    <w:p w14:paraId="52C68BC4" w14:textId="77777777" w:rsidR="005419AD" w:rsidRDefault="005419AD" w:rsidP="005419AD">
      <w:pPr>
        <w:sectPr w:rsidR="005419AD" w:rsidSect="00611BEB">
          <w:headerReference w:type="even" r:id="rId12"/>
          <w:headerReference w:type="default" r:id="rId13"/>
          <w:footerReference w:type="even" r:id="rId14"/>
          <w:footerReference w:type="default" r:id="rId15"/>
          <w:headerReference w:type="first" r:id="rId16"/>
          <w:footerReference w:type="first" r:id="rId17"/>
          <w:pgSz w:w="11906" w:h="16838"/>
          <w:pgMar w:top="964" w:right="964" w:bottom="964" w:left="964" w:header="709" w:footer="709" w:gutter="0"/>
          <w:pgBorders w:display="firstPage" w:offsetFrom="page">
            <w:top w:val="thinThickThinSmallGap" w:sz="24" w:space="24" w:color="002060"/>
            <w:left w:val="thinThickThinSmallGap" w:sz="24" w:space="24" w:color="002060"/>
            <w:bottom w:val="thinThickThinSmallGap" w:sz="24" w:space="24" w:color="002060"/>
            <w:right w:val="thinThickThinSmallGap" w:sz="24" w:space="24" w:color="002060"/>
          </w:pgBorders>
          <w:cols w:space="708"/>
          <w:titlePg/>
          <w:docGrid w:linePitch="360"/>
        </w:sectPr>
      </w:pPr>
    </w:p>
    <w:p w14:paraId="1AAEB375" w14:textId="5CD59448" w:rsidR="005419AD" w:rsidRPr="0001375D" w:rsidRDefault="005419AD" w:rsidP="005419AD">
      <w:pPr>
        <w:pStyle w:val="Header"/>
      </w:pPr>
      <w:bookmarkStart w:id="0" w:name="_Toc532074494"/>
      <w:bookmarkStart w:id="1" w:name="_Toc532299659"/>
      <w:r w:rsidRPr="0001375D">
        <w:lastRenderedPageBreak/>
        <w:t>Message from the Chair and Chief Executive</w:t>
      </w:r>
      <w:bookmarkEnd w:id="0"/>
      <w:bookmarkEnd w:id="1"/>
      <w:r w:rsidRPr="0001375D">
        <w:t xml:space="preserve"> </w:t>
      </w:r>
      <w:r w:rsidR="0001375D">
        <w:t>and Executive Summary</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7"/>
        <w:gridCol w:w="4479"/>
      </w:tblGrid>
      <w:tr w:rsidR="00E023DB" w:rsidRPr="0001375D" w14:paraId="04A78B8F" w14:textId="77777777" w:rsidTr="00BA2BC4">
        <w:trPr>
          <w:jc w:val="center"/>
        </w:trPr>
        <w:tc>
          <w:tcPr>
            <w:tcW w:w="4547" w:type="dxa"/>
          </w:tcPr>
          <w:p w14:paraId="7720FE91" w14:textId="198B3B2E" w:rsidR="00E023DB" w:rsidRPr="0001375D" w:rsidRDefault="007358E7" w:rsidP="002C0EC9">
            <w:pPr>
              <w:autoSpaceDE w:val="0"/>
              <w:autoSpaceDN w:val="0"/>
              <w:adjustRightInd w:val="0"/>
              <w:jc w:val="center"/>
              <w:rPr>
                <w:rFonts w:cs="Calibri"/>
              </w:rPr>
            </w:pPr>
            <w:r>
              <w:rPr>
                <w:rFonts w:cs="Calibri"/>
                <w:noProof/>
              </w:rPr>
              <w:drawing>
                <wp:inline distT="0" distB="0" distL="0" distR="0" wp14:anchorId="0D6A204B" wp14:editId="168C4583">
                  <wp:extent cx="1514475" cy="2274278"/>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NC051593_Sharon Hopkins.JPG"/>
                          <pic:cNvPicPr/>
                        </pic:nvPicPr>
                        <pic:blipFill>
                          <a:blip r:embed="rId18">
                            <a:extLst>
                              <a:ext uri="{28A0092B-C50C-407E-A947-70E740481C1C}">
                                <a14:useLocalDpi xmlns:a14="http://schemas.microsoft.com/office/drawing/2010/main" val="0"/>
                              </a:ext>
                            </a:extLst>
                          </a:blip>
                          <a:stretch>
                            <a:fillRect/>
                          </a:stretch>
                        </pic:blipFill>
                        <pic:spPr>
                          <a:xfrm>
                            <a:off x="0" y="0"/>
                            <a:ext cx="1522354" cy="2286110"/>
                          </a:xfrm>
                          <a:prstGeom prst="roundRect">
                            <a:avLst/>
                          </a:prstGeom>
                        </pic:spPr>
                      </pic:pic>
                    </a:graphicData>
                  </a:graphic>
                </wp:inline>
              </w:drawing>
            </w:r>
          </w:p>
        </w:tc>
        <w:tc>
          <w:tcPr>
            <w:tcW w:w="4479" w:type="dxa"/>
            <w:vAlign w:val="center"/>
          </w:tcPr>
          <w:p w14:paraId="47D2FFAE" w14:textId="77777777" w:rsidR="00E023DB" w:rsidRPr="0001375D" w:rsidRDefault="00E023DB" w:rsidP="002C0EC9">
            <w:pPr>
              <w:autoSpaceDE w:val="0"/>
              <w:autoSpaceDN w:val="0"/>
              <w:adjustRightInd w:val="0"/>
              <w:jc w:val="center"/>
              <w:rPr>
                <w:rFonts w:cs="Calibri"/>
              </w:rPr>
            </w:pPr>
            <w:r w:rsidRPr="00C46CE7">
              <w:rPr>
                <w:noProof/>
              </w:rPr>
              <w:drawing>
                <wp:inline distT="0" distB="0" distL="0" distR="0" wp14:anchorId="1788E064" wp14:editId="79152B00">
                  <wp:extent cx="2105025" cy="2136614"/>
                  <wp:effectExtent l="133350" t="76200" r="85725" b="130810"/>
                  <wp:docPr id="1" name="Picture 1" descr="C:\Users\sh119619\AppData\Local\Microsoft\Windows\Temporary Internet Files\Content.Outlook\7VX8Q50X\Chairman Prof Longle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119619\AppData\Local\Microsoft\Windows\Temporary Internet Files\Content.Outlook\7VX8Q50X\Chairman Prof Longley.jpg"/>
                          <pic:cNvPicPr>
                            <a:picLocks noChangeAspect="1" noChangeArrowheads="1"/>
                          </pic:cNvPicPr>
                        </pic:nvPicPr>
                        <pic:blipFill rotWithShape="1">
                          <a:blip r:embed="rId19">
                            <a:extLst>
                              <a:ext uri="{28A0092B-C50C-407E-A947-70E740481C1C}">
                                <a14:useLocalDpi xmlns:a14="http://schemas.microsoft.com/office/drawing/2010/main" val="0"/>
                              </a:ext>
                            </a:extLst>
                          </a:blip>
                          <a:srcRect/>
                          <a:stretch/>
                        </pic:blipFill>
                        <pic:spPr bwMode="auto">
                          <a:xfrm>
                            <a:off x="0" y="0"/>
                            <a:ext cx="2107418" cy="2139043"/>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a:extLst>
                            <a:ext uri="{53640926-AAD7-44D8-BBD7-CCE9431645EC}">
                              <a14:shadowObscured xmlns:a14="http://schemas.microsoft.com/office/drawing/2010/main"/>
                            </a:ext>
                          </a:extLst>
                        </pic:spPr>
                      </pic:pic>
                    </a:graphicData>
                  </a:graphic>
                </wp:inline>
              </w:drawing>
            </w:r>
          </w:p>
        </w:tc>
      </w:tr>
      <w:tr w:rsidR="00E023DB" w:rsidRPr="0001375D" w14:paraId="66D167B0" w14:textId="77777777" w:rsidTr="00BA2BC4">
        <w:trPr>
          <w:jc w:val="center"/>
        </w:trPr>
        <w:tc>
          <w:tcPr>
            <w:tcW w:w="4547" w:type="dxa"/>
          </w:tcPr>
          <w:p w14:paraId="2AA19C28" w14:textId="68B67257" w:rsidR="00E023DB" w:rsidRPr="0001375D" w:rsidRDefault="0047674D" w:rsidP="002C0EC9">
            <w:pPr>
              <w:autoSpaceDE w:val="0"/>
              <w:autoSpaceDN w:val="0"/>
              <w:adjustRightInd w:val="0"/>
              <w:jc w:val="center"/>
              <w:rPr>
                <w:rFonts w:cs="Calibri"/>
              </w:rPr>
            </w:pPr>
            <w:r>
              <w:rPr>
                <w:b/>
              </w:rPr>
              <w:t xml:space="preserve">Sharon Hopkins </w:t>
            </w:r>
          </w:p>
        </w:tc>
        <w:tc>
          <w:tcPr>
            <w:tcW w:w="4479" w:type="dxa"/>
          </w:tcPr>
          <w:p w14:paraId="14F06EA5" w14:textId="77777777" w:rsidR="00E023DB" w:rsidRPr="0001375D" w:rsidRDefault="00E023DB" w:rsidP="002C0EC9">
            <w:pPr>
              <w:autoSpaceDE w:val="0"/>
              <w:autoSpaceDN w:val="0"/>
              <w:adjustRightInd w:val="0"/>
              <w:jc w:val="center"/>
              <w:rPr>
                <w:rFonts w:cs="Calibri"/>
              </w:rPr>
            </w:pPr>
            <w:r w:rsidRPr="0001375D">
              <w:rPr>
                <w:b/>
              </w:rPr>
              <w:t xml:space="preserve">Professor Marcus Longley </w:t>
            </w:r>
          </w:p>
        </w:tc>
      </w:tr>
      <w:tr w:rsidR="00E023DB" w:rsidRPr="0001375D" w14:paraId="1F1EA040" w14:textId="77777777" w:rsidTr="00BA2BC4">
        <w:trPr>
          <w:jc w:val="center"/>
        </w:trPr>
        <w:tc>
          <w:tcPr>
            <w:tcW w:w="4547" w:type="dxa"/>
          </w:tcPr>
          <w:p w14:paraId="0A83AA2D" w14:textId="3A4D5CF5" w:rsidR="00E023DB" w:rsidRPr="0001375D" w:rsidRDefault="0047674D" w:rsidP="002C0EC9">
            <w:pPr>
              <w:autoSpaceDE w:val="0"/>
              <w:autoSpaceDN w:val="0"/>
              <w:adjustRightInd w:val="0"/>
              <w:jc w:val="center"/>
              <w:rPr>
                <w:rFonts w:cs="Calibri"/>
              </w:rPr>
            </w:pPr>
            <w:r>
              <w:rPr>
                <w:b/>
              </w:rPr>
              <w:t xml:space="preserve">Interim </w:t>
            </w:r>
            <w:r w:rsidR="00E023DB" w:rsidRPr="0001375D">
              <w:rPr>
                <w:b/>
              </w:rPr>
              <w:t>Chief Executive</w:t>
            </w:r>
          </w:p>
        </w:tc>
        <w:tc>
          <w:tcPr>
            <w:tcW w:w="4479" w:type="dxa"/>
          </w:tcPr>
          <w:p w14:paraId="78242EA6" w14:textId="77777777" w:rsidR="00E023DB" w:rsidRPr="0001375D" w:rsidRDefault="00E023DB" w:rsidP="002C0EC9">
            <w:pPr>
              <w:autoSpaceDE w:val="0"/>
              <w:autoSpaceDN w:val="0"/>
              <w:adjustRightInd w:val="0"/>
              <w:jc w:val="center"/>
              <w:rPr>
                <w:rFonts w:cs="Calibri"/>
              </w:rPr>
            </w:pPr>
            <w:r w:rsidRPr="0001375D">
              <w:rPr>
                <w:b/>
              </w:rPr>
              <w:t>Chair</w:t>
            </w:r>
          </w:p>
        </w:tc>
      </w:tr>
    </w:tbl>
    <w:p w14:paraId="020C73EB" w14:textId="77777777" w:rsidR="00E023DB" w:rsidRPr="0001375D" w:rsidRDefault="00E023DB" w:rsidP="005419AD">
      <w:pPr>
        <w:autoSpaceDE w:val="0"/>
        <w:autoSpaceDN w:val="0"/>
        <w:adjustRightInd w:val="0"/>
        <w:rPr>
          <w:rFonts w:cs="Calibri"/>
        </w:rPr>
      </w:pPr>
    </w:p>
    <w:p w14:paraId="1E537979" w14:textId="1F899F83" w:rsidR="007358E7" w:rsidRDefault="007358E7" w:rsidP="00257675">
      <w:pPr>
        <w:rPr>
          <w:rFonts w:asciiTheme="minorHAnsi" w:hAnsiTheme="minorHAnsi" w:cstheme="minorHAnsi"/>
          <w:color w:val="943634" w:themeColor="accent2" w:themeShade="BF"/>
          <w:szCs w:val="22"/>
        </w:rPr>
      </w:pPr>
      <w:r>
        <w:rPr>
          <w:rFonts w:asciiTheme="minorHAnsi" w:hAnsiTheme="minorHAnsi" w:cstheme="minorHAnsi"/>
          <w:color w:val="943634" w:themeColor="accent2" w:themeShade="BF"/>
          <w:szCs w:val="22"/>
        </w:rPr>
        <w:t>To be completed in final draft</w:t>
      </w:r>
    </w:p>
    <w:p w14:paraId="1221B23F" w14:textId="4F0BC14A" w:rsidR="00257675" w:rsidRPr="0047674D" w:rsidRDefault="007358E7" w:rsidP="007358E7">
      <w:pPr>
        <w:tabs>
          <w:tab w:val="left" w:pos="975"/>
        </w:tabs>
        <w:rPr>
          <w:color w:val="943634" w:themeColor="accent2" w:themeShade="BF"/>
          <w:szCs w:val="22"/>
        </w:rPr>
      </w:pPr>
      <w:r>
        <w:rPr>
          <w:color w:val="943634" w:themeColor="accent2" w:themeShade="BF"/>
          <w:szCs w:val="22"/>
        </w:rPr>
        <w:tab/>
      </w:r>
    </w:p>
    <w:p w14:paraId="014F01FC" w14:textId="77777777" w:rsidR="007358E7" w:rsidRDefault="007358E7">
      <w:pPr>
        <w:jc w:val="left"/>
        <w:rPr>
          <w:rFonts w:asciiTheme="minorHAnsi" w:hAnsiTheme="minorHAnsi" w:cstheme="minorHAnsi"/>
          <w:color w:val="943634" w:themeColor="accent2" w:themeShade="BF"/>
          <w:szCs w:val="22"/>
        </w:rPr>
      </w:pPr>
      <w:r>
        <w:rPr>
          <w:rFonts w:asciiTheme="minorHAnsi" w:hAnsiTheme="minorHAnsi" w:cstheme="minorHAnsi"/>
          <w:color w:val="943634" w:themeColor="accent2" w:themeShade="BF"/>
          <w:szCs w:val="22"/>
        </w:rPr>
        <w:br w:type="page"/>
      </w:r>
    </w:p>
    <w:p w14:paraId="03F547DE" w14:textId="6E0DC89E" w:rsidR="005419AD" w:rsidRPr="007358E7" w:rsidRDefault="005419AD" w:rsidP="005419AD">
      <w:pPr>
        <w:rPr>
          <w:color w:val="000000" w:themeColor="text1"/>
        </w:rPr>
      </w:pPr>
      <w:r w:rsidRPr="007358E7">
        <w:rPr>
          <w:rFonts w:asciiTheme="minorHAnsi" w:hAnsiTheme="minorHAnsi" w:cstheme="minorHAnsi"/>
          <w:noProof/>
          <w:color w:val="000000" w:themeColor="text1"/>
          <w:sz w:val="16"/>
          <w:szCs w:val="16"/>
        </w:rPr>
        <w:lastRenderedPageBreak/>
        <w:drawing>
          <wp:anchor distT="0" distB="0" distL="114300" distR="114300" simplePos="0" relativeHeight="252730368" behindDoc="0" locked="0" layoutInCell="1" allowOverlap="1" wp14:anchorId="3A7A49FE" wp14:editId="786C9267">
            <wp:simplePos x="0" y="0"/>
            <wp:positionH relativeFrom="column">
              <wp:posOffset>5845810</wp:posOffset>
            </wp:positionH>
            <wp:positionV relativeFrom="paragraph">
              <wp:posOffset>634365</wp:posOffset>
            </wp:positionV>
            <wp:extent cx="434340" cy="541020"/>
            <wp:effectExtent l="0" t="0" r="3810" b="0"/>
            <wp:wrapNone/>
            <wp:docPr id="1861" name="Picture 18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34340" cy="541020"/>
                    </a:xfrm>
                    <a:prstGeom prst="rect">
                      <a:avLst/>
                    </a:prstGeom>
                    <a:noFill/>
                  </pic:spPr>
                </pic:pic>
              </a:graphicData>
            </a:graphic>
            <wp14:sizeRelH relativeFrom="margin">
              <wp14:pctWidth>0</wp14:pctWidth>
            </wp14:sizeRelH>
            <wp14:sizeRelV relativeFrom="margin">
              <wp14:pctHeight>0</wp14:pctHeight>
            </wp14:sizeRelV>
          </wp:anchor>
        </w:drawing>
      </w:r>
      <w:r w:rsidR="00085787" w:rsidRPr="007358E7">
        <w:rPr>
          <w:color w:val="000000" w:themeColor="text1"/>
        </w:rPr>
        <w:t>Th</w:t>
      </w:r>
      <w:r w:rsidRPr="007358E7">
        <w:rPr>
          <w:color w:val="000000" w:themeColor="text1"/>
        </w:rPr>
        <w:t xml:space="preserve">e </w:t>
      </w:r>
      <w:r w:rsidR="0001375D" w:rsidRPr="007358E7">
        <w:rPr>
          <w:color w:val="000000" w:themeColor="text1"/>
        </w:rPr>
        <w:t xml:space="preserve">Health Board objectives </w:t>
      </w:r>
      <w:r w:rsidRPr="007358E7">
        <w:rPr>
          <w:color w:val="000000" w:themeColor="text1"/>
        </w:rPr>
        <w:t>will be achieved by working closely in partnership with our staff, partners and local communities; in line with our quality and performance standards; and within a financial envelope which is both value for money and affordable.  Examples of the deliverables des</w:t>
      </w:r>
      <w:r w:rsidR="007358E7" w:rsidRPr="007358E7">
        <w:rPr>
          <w:color w:val="000000" w:themeColor="text1"/>
        </w:rPr>
        <w:t>cribed within this Plan for 2020/19</w:t>
      </w:r>
      <w:r w:rsidRPr="007358E7">
        <w:rPr>
          <w:color w:val="000000" w:themeColor="text1"/>
        </w:rPr>
        <w:t xml:space="preserve"> are therefore:</w:t>
      </w:r>
    </w:p>
    <w:p w14:paraId="73D2C1D9" w14:textId="77777777" w:rsidR="005419AD" w:rsidRPr="00B20F2F" w:rsidRDefault="005419AD" w:rsidP="005419AD">
      <w:pPr>
        <w:rPr>
          <w:b/>
          <w:sz w:val="16"/>
          <w:szCs w:val="16"/>
        </w:rPr>
      </w:pPr>
    </w:p>
    <w:p w14:paraId="7763967E" w14:textId="77777777" w:rsidR="005419AD" w:rsidRPr="002133C7" w:rsidRDefault="005419AD" w:rsidP="005419AD">
      <w:pPr>
        <w:shd w:val="clear" w:color="auto" w:fill="FFFF99"/>
        <w:rPr>
          <w:rFonts w:asciiTheme="minorHAnsi" w:hAnsiTheme="minorHAnsi" w:cstheme="minorHAnsi"/>
          <w:b/>
          <w:i/>
          <w:iCs/>
        </w:rPr>
      </w:pPr>
      <w:r w:rsidRPr="002133C7">
        <w:rPr>
          <w:rFonts w:asciiTheme="minorHAnsi" w:hAnsiTheme="minorHAnsi" w:cstheme="minorHAnsi"/>
          <w:b/>
          <w:i/>
          <w:iCs/>
        </w:rPr>
        <w:t>Well-being – Self Care and Supported Self-Care</w:t>
      </w:r>
    </w:p>
    <w:p w14:paraId="429158EF" w14:textId="77777777" w:rsidR="005419AD" w:rsidRPr="0001375D" w:rsidRDefault="005419AD" w:rsidP="005419AD">
      <w:pPr>
        <w:rPr>
          <w:sz w:val="16"/>
          <w:szCs w:val="16"/>
          <w:highlight w:val="yellow"/>
        </w:rPr>
      </w:pPr>
    </w:p>
    <w:p w14:paraId="576225F1" w14:textId="77777777" w:rsidR="00257675" w:rsidRPr="0047674D" w:rsidRDefault="00257675" w:rsidP="003B1653">
      <w:pPr>
        <w:numPr>
          <w:ilvl w:val="0"/>
          <w:numId w:val="35"/>
        </w:numPr>
        <w:ind w:left="357" w:hanging="357"/>
        <w:rPr>
          <w:color w:val="943634" w:themeColor="accent2" w:themeShade="BF"/>
          <w:szCs w:val="22"/>
        </w:rPr>
      </w:pPr>
      <w:r w:rsidRPr="007358E7">
        <w:rPr>
          <w:color w:val="000000" w:themeColor="text1"/>
          <w:szCs w:val="22"/>
        </w:rPr>
        <w:t xml:space="preserve">Progress the priorities set out in the Cwm Taf and Bridgend Well-being Plans, drawing together the developing Cwm Taf Community Zones, reducing isolation and loneliness and increasing volunteering, </w:t>
      </w:r>
      <w:r w:rsidRPr="0047674D">
        <w:rPr>
          <w:b/>
          <w:bCs/>
          <w:color w:val="943634" w:themeColor="accent2" w:themeShade="BF"/>
          <w:szCs w:val="22"/>
        </w:rPr>
        <w:t>section 5.1.1.</w:t>
      </w:r>
    </w:p>
    <w:p w14:paraId="6B566E3B" w14:textId="77777777" w:rsidR="00257675" w:rsidRPr="0047674D" w:rsidRDefault="00257675" w:rsidP="003B1653">
      <w:pPr>
        <w:numPr>
          <w:ilvl w:val="0"/>
          <w:numId w:val="35"/>
        </w:numPr>
        <w:ind w:left="357" w:hanging="357"/>
        <w:rPr>
          <w:color w:val="943634" w:themeColor="accent2" w:themeShade="BF"/>
          <w:szCs w:val="22"/>
        </w:rPr>
      </w:pPr>
      <w:r w:rsidRPr="007358E7">
        <w:rPr>
          <w:color w:val="000000" w:themeColor="text1"/>
          <w:szCs w:val="22"/>
        </w:rPr>
        <w:t xml:space="preserve">Continue actions to address modifiable lifestyle risk factors including Inverse Care Law scheme, implementation of the Tier three obesity service and Adverse Childhood Experiences (ACE’s) </w:t>
      </w:r>
      <w:r w:rsidRPr="0047674D">
        <w:rPr>
          <w:b/>
          <w:bCs/>
          <w:color w:val="943634" w:themeColor="accent2" w:themeShade="BF"/>
          <w:szCs w:val="22"/>
        </w:rPr>
        <w:t>section 5.1.2</w:t>
      </w:r>
      <w:r w:rsidRPr="0047674D">
        <w:rPr>
          <w:bCs/>
          <w:color w:val="943634" w:themeColor="accent2" w:themeShade="BF"/>
          <w:szCs w:val="22"/>
        </w:rPr>
        <w:t xml:space="preserve"> and</w:t>
      </w:r>
      <w:r w:rsidRPr="0047674D">
        <w:rPr>
          <w:b/>
          <w:bCs/>
          <w:color w:val="943634" w:themeColor="accent2" w:themeShade="BF"/>
          <w:szCs w:val="22"/>
        </w:rPr>
        <w:t xml:space="preserve"> 5.1.3.</w:t>
      </w:r>
    </w:p>
    <w:p w14:paraId="2FFAFE39" w14:textId="43A51870" w:rsidR="00F8625D" w:rsidRPr="0047674D" w:rsidRDefault="00460E25" w:rsidP="003B1653">
      <w:pPr>
        <w:numPr>
          <w:ilvl w:val="0"/>
          <w:numId w:val="35"/>
        </w:numPr>
        <w:ind w:left="357" w:hanging="357"/>
        <w:rPr>
          <w:color w:val="943634" w:themeColor="accent2" w:themeShade="BF"/>
          <w:szCs w:val="22"/>
        </w:rPr>
      </w:pPr>
      <w:r w:rsidRPr="007358E7">
        <w:rPr>
          <w:rFonts w:asciiTheme="minorHAnsi" w:hAnsiTheme="minorHAnsi" w:cstheme="minorHAnsi"/>
          <w:noProof/>
          <w:color w:val="000000" w:themeColor="text1"/>
          <w:sz w:val="12"/>
          <w:szCs w:val="12"/>
        </w:rPr>
        <w:drawing>
          <wp:anchor distT="0" distB="0" distL="114300" distR="114300" simplePos="0" relativeHeight="252731392" behindDoc="0" locked="0" layoutInCell="1" allowOverlap="1" wp14:anchorId="32F84B6F" wp14:editId="09A59C45">
            <wp:simplePos x="0" y="0"/>
            <wp:positionH relativeFrom="margin">
              <wp:align>right</wp:align>
            </wp:positionH>
            <wp:positionV relativeFrom="paragraph">
              <wp:posOffset>646430</wp:posOffset>
            </wp:positionV>
            <wp:extent cx="544195" cy="450215"/>
            <wp:effectExtent l="0" t="0" r="8255" b="6985"/>
            <wp:wrapNone/>
            <wp:docPr id="1862" name="Picture 18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4195" cy="450215"/>
                    </a:xfrm>
                    <a:prstGeom prst="rect">
                      <a:avLst/>
                    </a:prstGeom>
                    <a:noFill/>
                  </pic:spPr>
                </pic:pic>
              </a:graphicData>
            </a:graphic>
            <wp14:sizeRelH relativeFrom="page">
              <wp14:pctWidth>0</wp14:pctWidth>
            </wp14:sizeRelH>
            <wp14:sizeRelV relativeFrom="page">
              <wp14:pctHeight>0</wp14:pctHeight>
            </wp14:sizeRelV>
          </wp:anchor>
        </w:drawing>
      </w:r>
      <w:r w:rsidR="00257675" w:rsidRPr="007358E7">
        <w:rPr>
          <w:color w:val="000000" w:themeColor="text1"/>
          <w:szCs w:val="22"/>
        </w:rPr>
        <w:t xml:space="preserve">Roll out a model of population health management based on segmentation and risk stratification, linking and analysing primary and secondary care data in order to segment the cluster population and allow targeted anticipatory care. </w:t>
      </w:r>
      <w:r w:rsidR="007358E7">
        <w:rPr>
          <w:color w:val="000000" w:themeColor="text1"/>
          <w:szCs w:val="22"/>
        </w:rPr>
        <w:t xml:space="preserve"> </w:t>
      </w:r>
      <w:r w:rsidR="007358E7" w:rsidRPr="007358E7">
        <w:rPr>
          <w:color w:val="000000" w:themeColor="text1"/>
          <w:szCs w:val="22"/>
        </w:rPr>
        <w:t>A key enabler to the Cwm Taf Morgannwg Regional Partnership Baord transformation</w:t>
      </w:r>
      <w:r w:rsidR="007358E7" w:rsidRPr="0047674D">
        <w:rPr>
          <w:b/>
          <w:bCs/>
          <w:color w:val="943634" w:themeColor="accent2" w:themeShade="BF"/>
          <w:szCs w:val="22"/>
        </w:rPr>
        <w:t xml:space="preserve"> </w:t>
      </w:r>
      <w:r w:rsidR="00257675" w:rsidRPr="0047674D">
        <w:rPr>
          <w:b/>
          <w:bCs/>
          <w:color w:val="943634" w:themeColor="accent2" w:themeShade="BF"/>
          <w:szCs w:val="22"/>
        </w:rPr>
        <w:t>section 5.1.4</w:t>
      </w:r>
      <w:r w:rsidR="00257675" w:rsidRPr="0047674D">
        <w:rPr>
          <w:color w:val="943634" w:themeColor="accent2" w:themeShade="BF"/>
          <w:szCs w:val="22"/>
        </w:rPr>
        <w:t>.</w:t>
      </w:r>
    </w:p>
    <w:p w14:paraId="771E7B63" w14:textId="5DA18FDD" w:rsidR="005419AD" w:rsidRPr="00AA1A82" w:rsidRDefault="005419AD" w:rsidP="005419AD">
      <w:pPr>
        <w:rPr>
          <w:rFonts w:asciiTheme="minorHAnsi" w:hAnsiTheme="minorHAnsi" w:cstheme="minorHAnsi"/>
          <w:iCs/>
          <w:sz w:val="16"/>
          <w:szCs w:val="16"/>
        </w:rPr>
      </w:pPr>
    </w:p>
    <w:p w14:paraId="67708D7B" w14:textId="77777777" w:rsidR="005419AD" w:rsidRPr="002133C7" w:rsidRDefault="005419AD" w:rsidP="005419AD">
      <w:pPr>
        <w:shd w:val="clear" w:color="auto" w:fill="E5B8B7" w:themeFill="accent2" w:themeFillTint="66"/>
        <w:tabs>
          <w:tab w:val="left" w:pos="3757"/>
        </w:tabs>
        <w:rPr>
          <w:rFonts w:asciiTheme="minorHAnsi" w:hAnsiTheme="minorHAnsi" w:cstheme="minorHAnsi"/>
          <w:b/>
          <w:i/>
          <w:iCs/>
        </w:rPr>
      </w:pPr>
      <w:r w:rsidRPr="002133C7">
        <w:rPr>
          <w:rFonts w:asciiTheme="minorHAnsi" w:hAnsiTheme="minorHAnsi" w:cstheme="minorHAnsi"/>
          <w:b/>
          <w:i/>
          <w:iCs/>
        </w:rPr>
        <w:t>Integrated Community Services</w:t>
      </w:r>
    </w:p>
    <w:p w14:paraId="63F0A616" w14:textId="77777777" w:rsidR="005419AD" w:rsidRPr="00AA1A82" w:rsidRDefault="005419AD" w:rsidP="005419AD">
      <w:pPr>
        <w:rPr>
          <w:rFonts w:asciiTheme="minorHAnsi" w:hAnsiTheme="minorHAnsi" w:cstheme="minorHAnsi"/>
          <w:iCs/>
          <w:sz w:val="16"/>
          <w:szCs w:val="16"/>
        </w:rPr>
      </w:pPr>
    </w:p>
    <w:p w14:paraId="3427F600" w14:textId="7256E78D" w:rsidR="00257675" w:rsidRPr="0047674D" w:rsidRDefault="007358E7" w:rsidP="003B1653">
      <w:pPr>
        <w:pStyle w:val="ListParagraph"/>
        <w:numPr>
          <w:ilvl w:val="0"/>
          <w:numId w:val="34"/>
        </w:numPr>
        <w:ind w:left="357" w:hanging="357"/>
        <w:rPr>
          <w:color w:val="943634" w:themeColor="accent2" w:themeShade="BF"/>
          <w:szCs w:val="22"/>
        </w:rPr>
      </w:pPr>
      <w:r w:rsidRPr="007358E7">
        <w:rPr>
          <w:color w:val="000000" w:themeColor="text1"/>
          <w:szCs w:val="22"/>
        </w:rPr>
        <w:t>Deliver a new Area Plan for the new Cwm Taf Morgannwg Regional Partnership Board, including embedding the joint Regional Commissioning arrangements</w:t>
      </w:r>
      <w:r w:rsidR="00257675" w:rsidRPr="0047674D">
        <w:rPr>
          <w:color w:val="943634" w:themeColor="accent2" w:themeShade="BF"/>
          <w:szCs w:val="22"/>
        </w:rPr>
        <w:t>.</w:t>
      </w:r>
      <w:r w:rsidRPr="007358E7">
        <w:rPr>
          <w:b/>
          <w:bCs/>
          <w:color w:val="943634" w:themeColor="accent2" w:themeShade="BF"/>
          <w:szCs w:val="22"/>
        </w:rPr>
        <w:t xml:space="preserve"> </w:t>
      </w:r>
      <w:r w:rsidRPr="0047674D">
        <w:rPr>
          <w:b/>
          <w:bCs/>
          <w:color w:val="943634" w:themeColor="accent2" w:themeShade="BF"/>
          <w:szCs w:val="22"/>
        </w:rPr>
        <w:t>section 5.</w:t>
      </w:r>
      <w:r>
        <w:rPr>
          <w:b/>
          <w:bCs/>
          <w:color w:val="943634" w:themeColor="accent2" w:themeShade="BF"/>
          <w:szCs w:val="22"/>
        </w:rPr>
        <w:t>2</w:t>
      </w:r>
      <w:r w:rsidRPr="0047674D">
        <w:rPr>
          <w:b/>
          <w:bCs/>
          <w:color w:val="943634" w:themeColor="accent2" w:themeShade="BF"/>
          <w:szCs w:val="22"/>
        </w:rPr>
        <w:t>.4</w:t>
      </w:r>
    </w:p>
    <w:p w14:paraId="7C153D61" w14:textId="5BA0B82D" w:rsidR="00257675" w:rsidRPr="007358E7" w:rsidRDefault="00460E25" w:rsidP="003B1653">
      <w:pPr>
        <w:pStyle w:val="ListParagraph"/>
        <w:numPr>
          <w:ilvl w:val="0"/>
          <w:numId w:val="34"/>
        </w:numPr>
        <w:ind w:left="357" w:hanging="357"/>
        <w:rPr>
          <w:color w:val="000000" w:themeColor="text1"/>
          <w:szCs w:val="22"/>
        </w:rPr>
      </w:pPr>
      <w:r w:rsidRPr="007358E7">
        <w:rPr>
          <w:noProof/>
          <w:color w:val="000000" w:themeColor="text1"/>
          <w:szCs w:val="22"/>
        </w:rPr>
        <w:drawing>
          <wp:anchor distT="0" distB="0" distL="114300" distR="114300" simplePos="0" relativeHeight="252782592" behindDoc="0" locked="0" layoutInCell="1" allowOverlap="1" wp14:anchorId="77D8F1B4" wp14:editId="6A79EF9E">
            <wp:simplePos x="0" y="0"/>
            <wp:positionH relativeFrom="margin">
              <wp:align>right</wp:align>
            </wp:positionH>
            <wp:positionV relativeFrom="paragraph">
              <wp:posOffset>610870</wp:posOffset>
            </wp:positionV>
            <wp:extent cx="585470" cy="457200"/>
            <wp:effectExtent l="0" t="0" r="5080"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85470" cy="457200"/>
                    </a:xfrm>
                    <a:prstGeom prst="rect">
                      <a:avLst/>
                    </a:prstGeom>
                    <a:noFill/>
                  </pic:spPr>
                </pic:pic>
              </a:graphicData>
            </a:graphic>
          </wp:anchor>
        </w:drawing>
      </w:r>
      <w:r w:rsidR="007358E7" w:rsidRPr="007358E7">
        <w:rPr>
          <w:color w:val="000000" w:themeColor="text1"/>
          <w:szCs w:val="22"/>
        </w:rPr>
        <w:t>Delivery of the transformation programmes for Cwm Taf: Stay Well in Your Community and Bridgend: Accelerating the Pace of Change of Integrated Services. These whole system workstreams include a focus on assistive technologies, the next phase of Stay Well@Home and improving access to community health and social care, ‘making every day Tuesday’</w:t>
      </w:r>
      <w:r w:rsidR="00257675" w:rsidRPr="007358E7">
        <w:rPr>
          <w:color w:val="000000" w:themeColor="text1"/>
          <w:szCs w:val="22"/>
        </w:rPr>
        <w:t>.</w:t>
      </w:r>
      <w:r w:rsidR="007358E7" w:rsidRPr="007358E7">
        <w:rPr>
          <w:b/>
          <w:bCs/>
          <w:color w:val="943634" w:themeColor="accent2" w:themeShade="BF"/>
          <w:szCs w:val="22"/>
        </w:rPr>
        <w:t xml:space="preserve"> </w:t>
      </w:r>
      <w:r w:rsidR="007358E7" w:rsidRPr="0047674D">
        <w:rPr>
          <w:b/>
          <w:bCs/>
          <w:color w:val="943634" w:themeColor="accent2" w:themeShade="BF"/>
          <w:szCs w:val="22"/>
        </w:rPr>
        <w:t>section 5.</w:t>
      </w:r>
      <w:r w:rsidR="007358E7">
        <w:rPr>
          <w:b/>
          <w:bCs/>
          <w:color w:val="943634" w:themeColor="accent2" w:themeShade="BF"/>
          <w:szCs w:val="22"/>
        </w:rPr>
        <w:t>2</w:t>
      </w:r>
      <w:r w:rsidR="007358E7" w:rsidRPr="0047674D">
        <w:rPr>
          <w:b/>
          <w:bCs/>
          <w:color w:val="943634" w:themeColor="accent2" w:themeShade="BF"/>
          <w:szCs w:val="22"/>
        </w:rPr>
        <w:t>.4</w:t>
      </w:r>
    </w:p>
    <w:p w14:paraId="76F148A1" w14:textId="53459D16" w:rsidR="0001375D" w:rsidRPr="00AA1A82" w:rsidRDefault="0001375D" w:rsidP="005419AD">
      <w:pPr>
        <w:rPr>
          <w:rFonts w:asciiTheme="minorHAnsi" w:hAnsiTheme="minorHAnsi" w:cstheme="minorHAnsi"/>
          <w:iCs/>
          <w:sz w:val="16"/>
          <w:szCs w:val="16"/>
        </w:rPr>
      </w:pPr>
    </w:p>
    <w:p w14:paraId="2225832B" w14:textId="77777777" w:rsidR="005419AD" w:rsidRPr="002133C7" w:rsidRDefault="005419AD" w:rsidP="005419AD">
      <w:pPr>
        <w:pStyle w:val="ListParagraph"/>
        <w:shd w:val="clear" w:color="auto" w:fill="C2D69B" w:themeFill="accent3" w:themeFillTint="99"/>
        <w:ind w:left="0"/>
        <w:rPr>
          <w:rFonts w:asciiTheme="minorHAnsi" w:hAnsiTheme="minorHAnsi" w:cstheme="minorHAnsi"/>
          <w:b/>
          <w:i/>
          <w:iCs/>
        </w:rPr>
      </w:pPr>
      <w:r w:rsidRPr="002133C7">
        <w:rPr>
          <w:rFonts w:asciiTheme="minorHAnsi" w:hAnsiTheme="minorHAnsi" w:cstheme="minorHAnsi"/>
          <w:b/>
          <w:i/>
          <w:iCs/>
        </w:rPr>
        <w:t>Mental Health, Primary Care, and Locality Services</w:t>
      </w:r>
    </w:p>
    <w:p w14:paraId="1425D068" w14:textId="77777777" w:rsidR="005419AD" w:rsidRPr="00AA1A82" w:rsidRDefault="005419AD" w:rsidP="005419AD">
      <w:pPr>
        <w:rPr>
          <w:rFonts w:asciiTheme="minorHAnsi" w:hAnsiTheme="minorHAnsi" w:cstheme="minorHAnsi"/>
          <w:sz w:val="16"/>
          <w:szCs w:val="16"/>
        </w:rPr>
      </w:pPr>
    </w:p>
    <w:p w14:paraId="5C19B7D4" w14:textId="647E4BA0" w:rsidR="00257675" w:rsidRPr="0047674D" w:rsidRDefault="007358E7" w:rsidP="003B1653">
      <w:pPr>
        <w:numPr>
          <w:ilvl w:val="0"/>
          <w:numId w:val="36"/>
        </w:numPr>
        <w:ind w:left="357" w:hanging="357"/>
        <w:rPr>
          <w:color w:val="943634" w:themeColor="accent2" w:themeShade="BF"/>
          <w:szCs w:val="22"/>
        </w:rPr>
      </w:pPr>
      <w:r w:rsidRPr="007358E7">
        <w:rPr>
          <w:color w:val="000000" w:themeColor="text1"/>
          <w:szCs w:val="22"/>
        </w:rPr>
        <w:t>Continue to deliver a multi-agency emotional and mental health strategy which encompasses the role of the Specialist Child and Adolescent Mental Health Services (CAMHS) and embed the Choice and Partnership Approach as part of the steps being taken to put Primary CAMHS and Specialist CAMHS services on a sustainable footing</w:t>
      </w:r>
      <w:r w:rsidR="00257675" w:rsidRPr="0047674D">
        <w:rPr>
          <w:color w:val="943634" w:themeColor="accent2" w:themeShade="BF"/>
          <w:szCs w:val="22"/>
        </w:rPr>
        <w:t xml:space="preserve">, </w:t>
      </w:r>
      <w:r w:rsidR="00257675" w:rsidRPr="0047674D">
        <w:rPr>
          <w:b/>
          <w:bCs/>
          <w:color w:val="943634" w:themeColor="accent2" w:themeShade="BF"/>
          <w:szCs w:val="22"/>
        </w:rPr>
        <w:t>section 5.3.1.</w:t>
      </w:r>
    </w:p>
    <w:p w14:paraId="61AE1B94" w14:textId="02C712DD" w:rsidR="00257675" w:rsidRPr="007358E7" w:rsidRDefault="007358E7" w:rsidP="003B1653">
      <w:pPr>
        <w:numPr>
          <w:ilvl w:val="0"/>
          <w:numId w:val="36"/>
        </w:numPr>
        <w:ind w:left="357" w:hanging="357"/>
        <w:rPr>
          <w:color w:val="943634" w:themeColor="accent2" w:themeShade="BF"/>
          <w:szCs w:val="22"/>
        </w:rPr>
      </w:pPr>
      <w:r w:rsidRPr="007358E7">
        <w:rPr>
          <w:color w:val="000000" w:themeColor="text1"/>
          <w:szCs w:val="22"/>
        </w:rPr>
        <w:t>Ongoing redesign of adult community mental health services to ensure an emphasis on integrated support at ‘universal’ and local primary mental health service level, enabling secondary mental health services to offer more intense input to a smaller number of people with more complex needs</w:t>
      </w:r>
      <w:r w:rsidR="00257675" w:rsidRPr="0047674D">
        <w:rPr>
          <w:color w:val="943634" w:themeColor="accent2" w:themeShade="BF"/>
          <w:szCs w:val="22"/>
        </w:rPr>
        <w:t xml:space="preserve">, </w:t>
      </w:r>
      <w:r w:rsidR="00257675" w:rsidRPr="0047674D">
        <w:rPr>
          <w:b/>
          <w:bCs/>
          <w:color w:val="943634" w:themeColor="accent2" w:themeShade="BF"/>
          <w:szCs w:val="22"/>
        </w:rPr>
        <w:t>section 5.3.2.</w:t>
      </w:r>
    </w:p>
    <w:p w14:paraId="2612459E" w14:textId="6F85412C" w:rsidR="007358E7" w:rsidRPr="007358E7" w:rsidRDefault="007358E7" w:rsidP="003B1653">
      <w:pPr>
        <w:numPr>
          <w:ilvl w:val="0"/>
          <w:numId w:val="36"/>
        </w:numPr>
        <w:ind w:left="357" w:hanging="357"/>
        <w:rPr>
          <w:color w:val="000000" w:themeColor="text1"/>
          <w:szCs w:val="22"/>
        </w:rPr>
      </w:pPr>
      <w:r w:rsidRPr="007358E7">
        <w:rPr>
          <w:color w:val="000000" w:themeColor="text1"/>
          <w:szCs w:val="22"/>
        </w:rPr>
        <w:t>Development of a cohesive mental health and learning disability framework for training, learning, assurance and quality improvement</w:t>
      </w:r>
      <w:r w:rsidRPr="007358E7">
        <w:rPr>
          <w:b/>
          <w:bCs/>
          <w:color w:val="943634" w:themeColor="accent2" w:themeShade="BF"/>
          <w:szCs w:val="22"/>
        </w:rPr>
        <w:t xml:space="preserve"> </w:t>
      </w:r>
      <w:r w:rsidRPr="0047674D">
        <w:rPr>
          <w:b/>
          <w:bCs/>
          <w:color w:val="943634" w:themeColor="accent2" w:themeShade="BF"/>
          <w:szCs w:val="22"/>
        </w:rPr>
        <w:t>section 5.3.2.</w:t>
      </w:r>
    </w:p>
    <w:p w14:paraId="02FE440C" w14:textId="2E3B7D0A" w:rsidR="007358E7" w:rsidRPr="007358E7" w:rsidRDefault="007358E7" w:rsidP="003B1653">
      <w:pPr>
        <w:numPr>
          <w:ilvl w:val="0"/>
          <w:numId w:val="36"/>
        </w:numPr>
        <w:ind w:left="357" w:hanging="357"/>
        <w:rPr>
          <w:color w:val="000000" w:themeColor="text1"/>
          <w:szCs w:val="22"/>
        </w:rPr>
      </w:pPr>
      <w:r w:rsidRPr="007358E7">
        <w:rPr>
          <w:color w:val="000000" w:themeColor="text1"/>
          <w:szCs w:val="22"/>
        </w:rPr>
        <w:t>Local implementation of the Dementia Action Plan for Wales including development of the memory assessment pathway, the roll out of shared care models</w:t>
      </w:r>
      <w:r>
        <w:rPr>
          <w:color w:val="000000" w:themeColor="text1"/>
          <w:szCs w:val="22"/>
        </w:rPr>
        <w:t xml:space="preserve">, </w:t>
      </w:r>
      <w:r w:rsidRPr="0047674D">
        <w:rPr>
          <w:b/>
          <w:bCs/>
          <w:color w:val="943634" w:themeColor="accent2" w:themeShade="BF"/>
          <w:szCs w:val="22"/>
        </w:rPr>
        <w:t>section 5.3.2</w:t>
      </w:r>
      <w:r>
        <w:rPr>
          <w:b/>
          <w:bCs/>
          <w:color w:val="943634" w:themeColor="accent2" w:themeShade="BF"/>
          <w:szCs w:val="22"/>
        </w:rPr>
        <w:t>.</w:t>
      </w:r>
    </w:p>
    <w:p w14:paraId="6F64D541" w14:textId="3E22787E" w:rsidR="00257675" w:rsidRPr="0047674D" w:rsidRDefault="007358E7" w:rsidP="003B1653">
      <w:pPr>
        <w:numPr>
          <w:ilvl w:val="0"/>
          <w:numId w:val="36"/>
        </w:numPr>
        <w:ind w:left="357" w:hanging="357"/>
        <w:rPr>
          <w:color w:val="943634" w:themeColor="accent2" w:themeShade="BF"/>
          <w:szCs w:val="22"/>
        </w:rPr>
      </w:pPr>
      <w:r w:rsidRPr="00782241">
        <w:rPr>
          <w:color w:val="000000" w:themeColor="text1"/>
          <w:szCs w:val="22"/>
        </w:rPr>
        <w:t>Deliver, at Cluster level, multi-agency, multi-professional teams as a fundamental part of our transformation programmes, enabling multi-disciplinary reviews and interventions across the new Health Board footprint and in line with the Primary Care Model for Wales</w:t>
      </w:r>
      <w:r w:rsidR="00257675" w:rsidRPr="00782241">
        <w:rPr>
          <w:color w:val="000000" w:themeColor="text1"/>
          <w:szCs w:val="22"/>
        </w:rPr>
        <w:t xml:space="preserve">. </w:t>
      </w:r>
      <w:r w:rsidR="00782241" w:rsidRPr="00782241">
        <w:rPr>
          <w:color w:val="000000" w:themeColor="text1"/>
          <w:szCs w:val="22"/>
        </w:rPr>
        <w:t xml:space="preserve">Implementation of the 111 service, transforming the GP Out of Hours into an Urgent Primary Care Out of Hours service </w:t>
      </w:r>
      <w:r w:rsidR="00257675" w:rsidRPr="00782241">
        <w:rPr>
          <w:color w:val="000000" w:themeColor="text1"/>
          <w:szCs w:val="22"/>
        </w:rPr>
        <w:t>adopting a digitally enable prudent workforce model,</w:t>
      </w:r>
      <w:r w:rsidR="00257675" w:rsidRPr="0047674D">
        <w:rPr>
          <w:color w:val="943634" w:themeColor="accent2" w:themeShade="BF"/>
          <w:szCs w:val="22"/>
        </w:rPr>
        <w:t xml:space="preserve"> </w:t>
      </w:r>
      <w:r w:rsidR="00257675" w:rsidRPr="0047674D">
        <w:rPr>
          <w:b/>
          <w:bCs/>
          <w:color w:val="943634" w:themeColor="accent2" w:themeShade="BF"/>
          <w:szCs w:val="22"/>
        </w:rPr>
        <w:t>section 5.3.3</w:t>
      </w:r>
      <w:r w:rsidR="00257675" w:rsidRPr="0047674D">
        <w:rPr>
          <w:color w:val="943634" w:themeColor="accent2" w:themeShade="BF"/>
          <w:szCs w:val="22"/>
        </w:rPr>
        <w:t>.</w:t>
      </w:r>
    </w:p>
    <w:p w14:paraId="2223098B" w14:textId="7E1A8BC0" w:rsidR="00257675" w:rsidRPr="00782241" w:rsidRDefault="00782241" w:rsidP="003B1653">
      <w:pPr>
        <w:numPr>
          <w:ilvl w:val="0"/>
          <w:numId w:val="36"/>
        </w:numPr>
        <w:ind w:left="357" w:hanging="357"/>
        <w:rPr>
          <w:color w:val="943634" w:themeColor="accent2" w:themeShade="BF"/>
          <w:szCs w:val="22"/>
        </w:rPr>
      </w:pPr>
      <w:r w:rsidRPr="00782241">
        <w:rPr>
          <w:color w:val="000000" w:themeColor="text1"/>
          <w:szCs w:val="22"/>
        </w:rPr>
        <w:t>Continue to deliver against the Primary Care Estates Strategy, including the completing the development of Mountain Ash Primary Care Centre and the next phase of Dewi Sant Health Park</w:t>
      </w:r>
      <w:r w:rsidR="00257675" w:rsidRPr="0047674D">
        <w:rPr>
          <w:color w:val="943634" w:themeColor="accent2" w:themeShade="BF"/>
          <w:szCs w:val="22"/>
        </w:rPr>
        <w:t xml:space="preserve">, </w:t>
      </w:r>
      <w:r w:rsidR="00257675" w:rsidRPr="0047674D">
        <w:rPr>
          <w:b/>
          <w:bCs/>
          <w:color w:val="943634" w:themeColor="accent2" w:themeShade="BF"/>
          <w:szCs w:val="22"/>
        </w:rPr>
        <w:t>section 8.3.1</w:t>
      </w:r>
      <w:r w:rsidR="00257675" w:rsidRPr="0047674D">
        <w:rPr>
          <w:color w:val="943634" w:themeColor="accent2" w:themeShade="BF"/>
          <w:szCs w:val="22"/>
        </w:rPr>
        <w:t>.</w:t>
      </w:r>
      <w:r w:rsidR="00257675" w:rsidRPr="0047674D">
        <w:rPr>
          <w:noProof/>
          <w:color w:val="943634" w:themeColor="accent2" w:themeShade="BF"/>
          <w:szCs w:val="22"/>
        </w:rPr>
        <w:drawing>
          <wp:anchor distT="0" distB="0" distL="114300" distR="114300" simplePos="0" relativeHeight="252784640" behindDoc="0" locked="0" layoutInCell="1" allowOverlap="1" wp14:anchorId="3531E0FB" wp14:editId="7CE2D7AB">
            <wp:simplePos x="0" y="0"/>
            <wp:positionH relativeFrom="margin">
              <wp:align>right</wp:align>
            </wp:positionH>
            <wp:positionV relativeFrom="paragraph">
              <wp:posOffset>198120</wp:posOffset>
            </wp:positionV>
            <wp:extent cx="454660" cy="549275"/>
            <wp:effectExtent l="0" t="0" r="2540" b="3175"/>
            <wp:wrapNone/>
            <wp:docPr id="1867" name="Picture 1867"/>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23">
                      <a:extLst>
                        <a:ext uri="{28A0092B-C50C-407E-A947-70E740481C1C}">
                          <a14:useLocalDpi xmlns:a14="http://schemas.microsoft.com/office/drawing/2010/main" val="0"/>
                        </a:ext>
                      </a:extLst>
                    </a:blip>
                    <a:stretch>
                      <a:fillRect/>
                    </a:stretch>
                  </pic:blipFill>
                  <pic:spPr>
                    <a:xfrm>
                      <a:off x="0" y="0"/>
                      <a:ext cx="454660" cy="549275"/>
                    </a:xfrm>
                    <a:prstGeom prst="rect">
                      <a:avLst/>
                    </a:prstGeom>
                  </pic:spPr>
                </pic:pic>
              </a:graphicData>
            </a:graphic>
            <wp14:sizeRelH relativeFrom="margin">
              <wp14:pctWidth>0</wp14:pctWidth>
            </wp14:sizeRelH>
            <wp14:sizeRelV relativeFrom="margin">
              <wp14:pctHeight>0</wp14:pctHeight>
            </wp14:sizeRelV>
          </wp:anchor>
        </w:drawing>
      </w:r>
    </w:p>
    <w:p w14:paraId="6123677C" w14:textId="77777777" w:rsidR="00B973A1" w:rsidRPr="00B973A1" w:rsidRDefault="00B973A1" w:rsidP="00B973A1">
      <w:pPr>
        <w:rPr>
          <w:rFonts w:asciiTheme="minorHAnsi" w:hAnsiTheme="minorHAnsi" w:cstheme="minorHAnsi"/>
          <w:iCs/>
          <w:sz w:val="16"/>
          <w:szCs w:val="16"/>
        </w:rPr>
      </w:pPr>
    </w:p>
    <w:p w14:paraId="2239195B" w14:textId="32FC10CC" w:rsidR="005419AD" w:rsidRPr="002133C7" w:rsidRDefault="005419AD" w:rsidP="005419AD">
      <w:pPr>
        <w:shd w:val="clear" w:color="auto" w:fill="365F91" w:themeFill="accent1" w:themeFillShade="BF"/>
        <w:rPr>
          <w:rFonts w:asciiTheme="minorHAnsi" w:hAnsiTheme="minorHAnsi" w:cstheme="minorHAnsi"/>
          <w:b/>
          <w:i/>
          <w:iCs/>
          <w:color w:val="FFFFFF" w:themeColor="background1"/>
        </w:rPr>
      </w:pPr>
      <w:r w:rsidRPr="002133C7">
        <w:rPr>
          <w:rFonts w:asciiTheme="minorHAnsi" w:hAnsiTheme="minorHAnsi" w:cstheme="minorHAnsi"/>
          <w:b/>
          <w:i/>
          <w:iCs/>
          <w:color w:val="FFFFFF" w:themeColor="background1"/>
        </w:rPr>
        <w:t>Acute Care – Local and Regional Secondary Care</w:t>
      </w:r>
    </w:p>
    <w:p w14:paraId="038E8E15" w14:textId="77777777" w:rsidR="005419AD" w:rsidRPr="00AA1A82" w:rsidRDefault="005419AD" w:rsidP="005419AD">
      <w:pPr>
        <w:rPr>
          <w:rFonts w:asciiTheme="minorHAnsi" w:hAnsiTheme="minorHAnsi" w:cstheme="minorHAnsi"/>
          <w:iCs/>
          <w:sz w:val="16"/>
          <w:szCs w:val="16"/>
        </w:rPr>
      </w:pPr>
    </w:p>
    <w:p w14:paraId="2C69F741" w14:textId="77777777" w:rsidR="00257675" w:rsidRPr="0047674D" w:rsidRDefault="00257675" w:rsidP="00257675">
      <w:pPr>
        <w:pStyle w:val="NormaBullet"/>
        <w:rPr>
          <w:color w:val="943634" w:themeColor="accent2" w:themeShade="BF"/>
          <w:szCs w:val="22"/>
        </w:rPr>
      </w:pPr>
      <w:r w:rsidRPr="00782241">
        <w:rPr>
          <w:color w:val="000000" w:themeColor="text1"/>
          <w:szCs w:val="22"/>
        </w:rPr>
        <w:t xml:space="preserve">Further improve our unscheduled care and referral to treatment waiting time performance, </w:t>
      </w:r>
      <w:r w:rsidRPr="0047674D">
        <w:rPr>
          <w:b/>
          <w:bCs/>
          <w:color w:val="943634" w:themeColor="accent2" w:themeShade="BF"/>
          <w:szCs w:val="22"/>
        </w:rPr>
        <w:t>section 5.4 and 5.7.</w:t>
      </w:r>
    </w:p>
    <w:p w14:paraId="783F40B1" w14:textId="7500F5DA" w:rsidR="00257675" w:rsidRPr="0047674D" w:rsidRDefault="00782241" w:rsidP="00257675">
      <w:pPr>
        <w:pStyle w:val="NormaBullet"/>
        <w:rPr>
          <w:color w:val="943634" w:themeColor="accent2" w:themeShade="BF"/>
          <w:szCs w:val="22"/>
        </w:rPr>
      </w:pPr>
      <w:r w:rsidRPr="00782241">
        <w:rPr>
          <w:color w:val="000000" w:themeColor="text1"/>
          <w:szCs w:val="22"/>
        </w:rPr>
        <w:t>Take the steps to complete the service change set out in the South Wales Programme, particularly emergency medicine (A&amp;E), acute medicine and inpatient paediatric services and collectively across the region deliver service sustainability Ophthalmology Services, Regional Diagnostic Services, and Vascular Services</w:t>
      </w:r>
      <w:r w:rsidR="00257675" w:rsidRPr="00782241">
        <w:rPr>
          <w:color w:val="000000" w:themeColor="text1"/>
          <w:szCs w:val="22"/>
        </w:rPr>
        <w:t>,</w:t>
      </w:r>
      <w:r w:rsidR="00257675" w:rsidRPr="0047674D">
        <w:rPr>
          <w:color w:val="943634" w:themeColor="accent2" w:themeShade="BF"/>
          <w:szCs w:val="22"/>
        </w:rPr>
        <w:t xml:space="preserve"> </w:t>
      </w:r>
      <w:r w:rsidR="00257675" w:rsidRPr="0047674D">
        <w:rPr>
          <w:b/>
          <w:bCs/>
          <w:color w:val="943634" w:themeColor="accent2" w:themeShade="BF"/>
          <w:szCs w:val="22"/>
        </w:rPr>
        <w:t>section 8.2.1</w:t>
      </w:r>
      <w:r w:rsidR="00257675" w:rsidRPr="0047674D">
        <w:rPr>
          <w:color w:val="943634" w:themeColor="accent2" w:themeShade="BF"/>
          <w:szCs w:val="22"/>
        </w:rPr>
        <w:t>.</w:t>
      </w:r>
    </w:p>
    <w:p w14:paraId="2DA1BC77" w14:textId="166D3595" w:rsidR="00257675" w:rsidRPr="0047674D" w:rsidRDefault="00782241" w:rsidP="00257675">
      <w:pPr>
        <w:pStyle w:val="NormaBullet"/>
        <w:rPr>
          <w:color w:val="943634" w:themeColor="accent2" w:themeShade="BF"/>
          <w:szCs w:val="22"/>
        </w:rPr>
      </w:pPr>
      <w:r w:rsidRPr="00782241">
        <w:rPr>
          <w:color w:val="000000" w:themeColor="text1"/>
          <w:szCs w:val="22"/>
        </w:rPr>
        <w:lastRenderedPageBreak/>
        <w:t>Implement the Major Trauma Service change, delivering locally and shaping the regional service</w:t>
      </w:r>
      <w:r w:rsidR="00257675" w:rsidRPr="00782241">
        <w:rPr>
          <w:color w:val="000000" w:themeColor="text1"/>
          <w:szCs w:val="22"/>
        </w:rPr>
        <w:t>,</w:t>
      </w:r>
      <w:r w:rsidR="00257675" w:rsidRPr="0047674D">
        <w:rPr>
          <w:color w:val="943634" w:themeColor="accent2" w:themeShade="BF"/>
          <w:szCs w:val="22"/>
        </w:rPr>
        <w:t xml:space="preserve"> </w:t>
      </w:r>
      <w:r w:rsidR="00257675" w:rsidRPr="0047674D">
        <w:rPr>
          <w:b/>
          <w:bCs/>
          <w:color w:val="943634" w:themeColor="accent2" w:themeShade="BF"/>
          <w:szCs w:val="22"/>
        </w:rPr>
        <w:t>section 5.4.3.</w:t>
      </w:r>
    </w:p>
    <w:p w14:paraId="30C7E5F1" w14:textId="6C28E016" w:rsidR="00257675" w:rsidRPr="0047674D" w:rsidRDefault="00782241" w:rsidP="00257675">
      <w:pPr>
        <w:pStyle w:val="NormaBullet"/>
        <w:rPr>
          <w:color w:val="943634" w:themeColor="accent2" w:themeShade="BF"/>
          <w:szCs w:val="22"/>
        </w:rPr>
      </w:pPr>
      <w:r w:rsidRPr="00782241">
        <w:rPr>
          <w:color w:val="000000" w:themeColor="text1"/>
          <w:szCs w:val="22"/>
        </w:rPr>
        <w:t>Value Base Healthcare Pathway development focused initially on Lung Cancer, Cataracts, Hips and Knees, Heart Failure and Maternity</w:t>
      </w:r>
      <w:r w:rsidR="00257675" w:rsidRPr="00782241">
        <w:rPr>
          <w:color w:val="000000" w:themeColor="text1"/>
          <w:szCs w:val="22"/>
        </w:rPr>
        <w:t>,</w:t>
      </w:r>
      <w:r w:rsidR="00257675" w:rsidRPr="0047674D">
        <w:rPr>
          <w:color w:val="943634" w:themeColor="accent2" w:themeShade="BF"/>
          <w:szCs w:val="22"/>
        </w:rPr>
        <w:t xml:space="preserve"> </w:t>
      </w:r>
      <w:r w:rsidR="00257675" w:rsidRPr="0047674D">
        <w:rPr>
          <w:b/>
          <w:bCs/>
          <w:color w:val="943634" w:themeColor="accent2" w:themeShade="BF"/>
          <w:szCs w:val="22"/>
        </w:rPr>
        <w:t>section 5.4.3</w:t>
      </w:r>
      <w:r w:rsidR="00257675" w:rsidRPr="0047674D">
        <w:rPr>
          <w:color w:val="943634" w:themeColor="accent2" w:themeShade="BF"/>
          <w:szCs w:val="22"/>
        </w:rPr>
        <w:t>.</w:t>
      </w:r>
    </w:p>
    <w:p w14:paraId="7FCD17AD" w14:textId="2F73AB9D" w:rsidR="00257675" w:rsidRPr="0047674D" w:rsidRDefault="00782241" w:rsidP="00257675">
      <w:pPr>
        <w:pStyle w:val="NormaBullet"/>
        <w:rPr>
          <w:color w:val="943634" w:themeColor="accent2" w:themeShade="BF"/>
          <w:szCs w:val="22"/>
        </w:rPr>
      </w:pPr>
      <w:r w:rsidRPr="0047674D">
        <w:rPr>
          <w:noProof/>
          <w:color w:val="943634" w:themeColor="accent2" w:themeShade="BF"/>
          <w:szCs w:val="22"/>
          <w:highlight w:val="yellow"/>
        </w:rPr>
        <w:drawing>
          <wp:anchor distT="0" distB="0" distL="114300" distR="114300" simplePos="0" relativeHeight="252786688" behindDoc="0" locked="0" layoutInCell="1" allowOverlap="1" wp14:anchorId="48C032D0" wp14:editId="4BF3AC7A">
            <wp:simplePos x="0" y="0"/>
            <wp:positionH relativeFrom="margin">
              <wp:align>right</wp:align>
            </wp:positionH>
            <wp:positionV relativeFrom="paragraph">
              <wp:posOffset>415290</wp:posOffset>
            </wp:positionV>
            <wp:extent cx="454025" cy="530860"/>
            <wp:effectExtent l="0" t="0" r="3175" b="2540"/>
            <wp:wrapNone/>
            <wp:docPr id="4" name="Picture 4"/>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54025" cy="530860"/>
                    </a:xfrm>
                    <a:prstGeom prst="rect">
                      <a:avLst/>
                    </a:prstGeom>
                  </pic:spPr>
                </pic:pic>
              </a:graphicData>
            </a:graphic>
            <wp14:sizeRelH relativeFrom="margin">
              <wp14:pctWidth>0</wp14:pctWidth>
            </wp14:sizeRelH>
            <wp14:sizeRelV relativeFrom="margin">
              <wp14:pctHeight>0</wp14:pctHeight>
            </wp14:sizeRelV>
          </wp:anchor>
        </w:drawing>
      </w:r>
      <w:r w:rsidRPr="00782241">
        <w:rPr>
          <w:color w:val="000000" w:themeColor="text1"/>
          <w:szCs w:val="22"/>
        </w:rPr>
        <w:t>Continue to deliver against the local requirements of the Welsh Government National Delivery Plans, including Respiratory, Stroke, Liver, Cardiology, Diabetes, Cancer, Neurological, Critical Care and End of Life Care</w:t>
      </w:r>
      <w:r w:rsidR="00257675" w:rsidRPr="0047674D">
        <w:rPr>
          <w:color w:val="943634" w:themeColor="accent2" w:themeShade="BF"/>
          <w:szCs w:val="22"/>
        </w:rPr>
        <w:t xml:space="preserve">, </w:t>
      </w:r>
      <w:r w:rsidR="00257675" w:rsidRPr="0047674D">
        <w:rPr>
          <w:b/>
          <w:bCs/>
          <w:color w:val="943634" w:themeColor="accent2" w:themeShade="BF"/>
          <w:szCs w:val="22"/>
        </w:rPr>
        <w:t>section 5.4.3</w:t>
      </w:r>
      <w:r w:rsidR="00257675" w:rsidRPr="0047674D">
        <w:rPr>
          <w:color w:val="943634" w:themeColor="accent2" w:themeShade="BF"/>
          <w:szCs w:val="22"/>
        </w:rPr>
        <w:t>.</w:t>
      </w:r>
    </w:p>
    <w:p w14:paraId="6AA5DFD4" w14:textId="1E39EE32" w:rsidR="005419AD" w:rsidRPr="00AA1A82" w:rsidRDefault="005419AD" w:rsidP="005419AD">
      <w:pPr>
        <w:pStyle w:val="NormaBullet"/>
        <w:numPr>
          <w:ilvl w:val="0"/>
          <w:numId w:val="0"/>
        </w:numPr>
        <w:rPr>
          <w:rFonts w:asciiTheme="minorHAnsi" w:hAnsiTheme="minorHAnsi" w:cstheme="minorHAnsi"/>
          <w:sz w:val="16"/>
          <w:szCs w:val="16"/>
        </w:rPr>
      </w:pPr>
    </w:p>
    <w:p w14:paraId="7888AC57" w14:textId="594695E1" w:rsidR="005419AD" w:rsidRPr="002133C7" w:rsidRDefault="005419AD" w:rsidP="005419AD">
      <w:pPr>
        <w:shd w:val="clear" w:color="auto" w:fill="92CDDC" w:themeFill="accent5" w:themeFillTint="99"/>
        <w:rPr>
          <w:rFonts w:asciiTheme="minorHAnsi" w:hAnsiTheme="minorHAnsi" w:cstheme="minorHAnsi"/>
          <w:b/>
          <w:i/>
          <w:iCs/>
        </w:rPr>
      </w:pPr>
      <w:r w:rsidRPr="002133C7">
        <w:rPr>
          <w:rFonts w:asciiTheme="minorHAnsi" w:hAnsiTheme="minorHAnsi" w:cstheme="minorHAnsi"/>
          <w:b/>
          <w:i/>
          <w:iCs/>
        </w:rPr>
        <w:t>Tertiary Services</w:t>
      </w:r>
    </w:p>
    <w:p w14:paraId="2E488E20" w14:textId="22B13320" w:rsidR="005419AD" w:rsidRPr="00AA1A82" w:rsidRDefault="005419AD" w:rsidP="005419AD">
      <w:pPr>
        <w:rPr>
          <w:rFonts w:asciiTheme="minorHAnsi" w:hAnsiTheme="minorHAnsi" w:cstheme="minorHAnsi"/>
          <w:iCs/>
          <w:sz w:val="16"/>
          <w:szCs w:val="16"/>
        </w:rPr>
      </w:pPr>
    </w:p>
    <w:p w14:paraId="74E106FB" w14:textId="6611E357" w:rsidR="00257675" w:rsidRPr="0047674D" w:rsidRDefault="00782241" w:rsidP="00257675">
      <w:pPr>
        <w:pStyle w:val="NormaBullet"/>
        <w:rPr>
          <w:b/>
          <w:color w:val="943634" w:themeColor="accent2" w:themeShade="BF"/>
          <w:szCs w:val="22"/>
        </w:rPr>
      </w:pPr>
      <w:bookmarkStart w:id="2" w:name="_Toc532463940"/>
      <w:r w:rsidRPr="00782241">
        <w:rPr>
          <w:color w:val="000000" w:themeColor="text1"/>
          <w:szCs w:val="22"/>
        </w:rPr>
        <w:t>Work with the Welsh Health Specialised Services Committee and others on integrated services identified in their commissioning plans</w:t>
      </w:r>
      <w:r w:rsidR="00257675" w:rsidRPr="00782241">
        <w:rPr>
          <w:color w:val="000000" w:themeColor="text1"/>
          <w:szCs w:val="22"/>
        </w:rPr>
        <w:t xml:space="preserve">, </w:t>
      </w:r>
      <w:r w:rsidR="00257675" w:rsidRPr="00782241">
        <w:rPr>
          <w:color w:val="943634" w:themeColor="accent2" w:themeShade="BF"/>
          <w:szCs w:val="22"/>
        </w:rPr>
        <w:t>section</w:t>
      </w:r>
      <w:r w:rsidR="00257675" w:rsidRPr="00782241">
        <w:rPr>
          <w:b/>
          <w:color w:val="943634" w:themeColor="accent2" w:themeShade="BF"/>
          <w:szCs w:val="22"/>
        </w:rPr>
        <w:t xml:space="preserve"> </w:t>
      </w:r>
      <w:r w:rsidR="00257675" w:rsidRPr="0047674D">
        <w:rPr>
          <w:b/>
          <w:color w:val="943634" w:themeColor="accent2" w:themeShade="BF"/>
          <w:szCs w:val="22"/>
        </w:rPr>
        <w:t>5.5</w:t>
      </w:r>
    </w:p>
    <w:p w14:paraId="77D5D413" w14:textId="5E0B87E3" w:rsidR="00257675" w:rsidRPr="00782241" w:rsidRDefault="00782241" w:rsidP="00257675">
      <w:pPr>
        <w:pStyle w:val="NormaBullet"/>
        <w:rPr>
          <w:b/>
          <w:color w:val="000000" w:themeColor="text1"/>
          <w:szCs w:val="22"/>
        </w:rPr>
      </w:pPr>
      <w:r w:rsidRPr="00782241">
        <w:rPr>
          <w:color w:val="000000" w:themeColor="text1"/>
          <w:szCs w:val="22"/>
        </w:rPr>
        <w:t>Work with the Emergency Ambulance Commissioners on the development of the Emergency Medical Retrieval and Transfer Services</w:t>
      </w:r>
      <w:r w:rsidR="00257675" w:rsidRPr="00782241">
        <w:rPr>
          <w:b/>
          <w:color w:val="000000" w:themeColor="text1"/>
          <w:szCs w:val="22"/>
        </w:rPr>
        <w:t>, section 5.4.3.2.</w:t>
      </w:r>
    </w:p>
    <w:p w14:paraId="08336C61" w14:textId="77777777" w:rsidR="00257675" w:rsidRPr="00782241" w:rsidRDefault="00257675" w:rsidP="00927FDB">
      <w:pPr>
        <w:rPr>
          <w:b/>
          <w:color w:val="000000" w:themeColor="text1"/>
        </w:rPr>
      </w:pPr>
    </w:p>
    <w:p w14:paraId="70082956" w14:textId="2D9E7775" w:rsidR="000739DC" w:rsidRPr="00782241" w:rsidRDefault="000739DC" w:rsidP="00927FDB">
      <w:pPr>
        <w:rPr>
          <w:b/>
          <w:color w:val="000000" w:themeColor="text1"/>
        </w:rPr>
      </w:pPr>
      <w:r w:rsidRPr="00782241">
        <w:rPr>
          <w:b/>
          <w:color w:val="000000" w:themeColor="text1"/>
        </w:rPr>
        <w:t>Our Integrated Planning Approach</w:t>
      </w:r>
      <w:bookmarkEnd w:id="2"/>
      <w:r w:rsidRPr="00782241">
        <w:rPr>
          <w:b/>
          <w:color w:val="000000" w:themeColor="text1"/>
        </w:rPr>
        <w:t xml:space="preserve"> </w:t>
      </w:r>
    </w:p>
    <w:p w14:paraId="1BFC29CB" w14:textId="34CCEA7F" w:rsidR="00A85D6F" w:rsidRDefault="00A85D6F" w:rsidP="00782241">
      <w:pPr>
        <w:rPr>
          <w:color w:val="000000" w:themeColor="text1"/>
        </w:rPr>
      </w:pPr>
    </w:p>
    <w:p w14:paraId="20555EB4" w14:textId="57C2F7B8" w:rsidR="00782241" w:rsidRPr="00782241" w:rsidRDefault="000739DC" w:rsidP="00782241">
      <w:pPr>
        <w:rPr>
          <w:color w:val="000000" w:themeColor="text1"/>
        </w:rPr>
      </w:pPr>
      <w:r w:rsidRPr="00782241">
        <w:rPr>
          <w:color w:val="000000" w:themeColor="text1"/>
        </w:rPr>
        <w:t xml:space="preserve">The Health Board </w:t>
      </w:r>
      <w:r w:rsidR="00782241" w:rsidRPr="00782241">
        <w:rPr>
          <w:color w:val="000000" w:themeColor="text1"/>
        </w:rPr>
        <w:t>is a adopting a balanced approach to developing plans.  As plans are developed, they are triangulated against, quality, resource (finance, workforce</w:t>
      </w:r>
      <w:r w:rsidR="00782241" w:rsidRPr="00782241">
        <w:rPr>
          <w:rFonts w:asciiTheme="minorHAnsi" w:hAnsiTheme="minorHAnsi"/>
          <w:color w:val="000000" w:themeColor="text1"/>
        </w:rPr>
        <w:t>, capital, estates, ICT) and outcome.</w:t>
      </w:r>
      <w:r w:rsidR="00A85D6F">
        <w:rPr>
          <w:rFonts w:asciiTheme="minorHAnsi" w:hAnsiTheme="minorHAnsi"/>
          <w:color w:val="000000" w:themeColor="text1"/>
        </w:rPr>
        <w:t xml:space="preserve">  This is underpinned by consideration of the Well-being </w:t>
      </w:r>
      <w:proofErr w:type="gramStart"/>
      <w:r w:rsidR="00A85D6F">
        <w:rPr>
          <w:rFonts w:asciiTheme="minorHAnsi" w:hAnsiTheme="minorHAnsi"/>
          <w:color w:val="000000" w:themeColor="text1"/>
        </w:rPr>
        <w:t>Of</w:t>
      </w:r>
      <w:proofErr w:type="gramEnd"/>
      <w:r w:rsidR="00A85D6F">
        <w:rPr>
          <w:rFonts w:asciiTheme="minorHAnsi" w:hAnsiTheme="minorHAnsi"/>
          <w:color w:val="000000" w:themeColor="text1"/>
        </w:rPr>
        <w:t xml:space="preserve"> Future Generations, Sustainable Development Principle: ‘the five ways of working’.</w:t>
      </w:r>
    </w:p>
    <w:p w14:paraId="2551AEEC" w14:textId="0816E75E" w:rsidR="00782241" w:rsidRPr="00782241" w:rsidRDefault="00ED3450" w:rsidP="000739DC">
      <w:pPr>
        <w:rPr>
          <w:color w:val="000000" w:themeColor="text1"/>
        </w:rPr>
      </w:pPr>
      <w:r>
        <w:rPr>
          <w:noProof/>
          <w:color w:val="000000" w:themeColor="text1"/>
        </w:rPr>
        <w:drawing>
          <wp:anchor distT="0" distB="0" distL="114300" distR="114300" simplePos="0" relativeHeight="252836864" behindDoc="0" locked="0" layoutInCell="1" allowOverlap="1" wp14:anchorId="3C263E62" wp14:editId="16970E76">
            <wp:simplePos x="0" y="0"/>
            <wp:positionH relativeFrom="margin">
              <wp:posOffset>2831465</wp:posOffset>
            </wp:positionH>
            <wp:positionV relativeFrom="paragraph">
              <wp:posOffset>6350</wp:posOffset>
            </wp:positionV>
            <wp:extent cx="3494405" cy="3389630"/>
            <wp:effectExtent l="0" t="0" r="0" b="0"/>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494405" cy="3389630"/>
                    </a:xfrm>
                    <a:prstGeom prst="rect">
                      <a:avLst/>
                    </a:prstGeom>
                    <a:noFill/>
                  </pic:spPr>
                </pic:pic>
              </a:graphicData>
            </a:graphic>
            <wp14:sizeRelH relativeFrom="margin">
              <wp14:pctWidth>0</wp14:pctWidth>
            </wp14:sizeRelH>
            <wp14:sizeRelV relativeFrom="margin">
              <wp14:pctHeight>0</wp14:pctHeight>
            </wp14:sizeRelV>
          </wp:anchor>
        </w:drawing>
      </w:r>
    </w:p>
    <w:p w14:paraId="409FC06F" w14:textId="5F818D4F" w:rsidR="000739DC" w:rsidRPr="00782241" w:rsidRDefault="000739DC" w:rsidP="000739DC">
      <w:pPr>
        <w:rPr>
          <w:color w:val="000000" w:themeColor="text1"/>
        </w:rPr>
      </w:pPr>
      <w:r w:rsidRPr="00782241">
        <w:rPr>
          <w:color w:val="000000" w:themeColor="text1"/>
        </w:rPr>
        <w:t>To support this approach, the Health Board has an integrated Business Partner Model.  This model is embedded and maturing.  Support is in situ from our corporate departments, namely: Patient Care and Safety; Planning; Workforce and Operational Development; Finance; Procurement; IT and Performance and Information.</w:t>
      </w:r>
    </w:p>
    <w:p w14:paraId="6DB2918B" w14:textId="77777777" w:rsidR="00782241" w:rsidRPr="00782241" w:rsidRDefault="00782241" w:rsidP="000739DC">
      <w:pPr>
        <w:rPr>
          <w:color w:val="000000" w:themeColor="text1"/>
        </w:rPr>
      </w:pPr>
    </w:p>
    <w:p w14:paraId="7E7846D7" w14:textId="678253A4" w:rsidR="00DB19A0" w:rsidRPr="00782241" w:rsidRDefault="00DB19A0" w:rsidP="00DB19A0">
      <w:pPr>
        <w:rPr>
          <w:color w:val="000000" w:themeColor="text1"/>
          <w:szCs w:val="22"/>
        </w:rPr>
      </w:pPr>
      <w:r w:rsidRPr="00782241">
        <w:rPr>
          <w:color w:val="000000" w:themeColor="text1"/>
          <w:szCs w:val="22"/>
        </w:rPr>
        <w:t xml:space="preserve">The Plan has been developed as part of a ‘bottom-up’ planning process, building upon our </w:t>
      </w:r>
      <w:r w:rsidR="00782241" w:rsidRPr="00782241">
        <w:rPr>
          <w:color w:val="000000" w:themeColor="text1"/>
          <w:szCs w:val="22"/>
        </w:rPr>
        <w:t xml:space="preserve">Business Unit, </w:t>
      </w:r>
      <w:r w:rsidRPr="00782241">
        <w:rPr>
          <w:color w:val="000000" w:themeColor="text1"/>
          <w:szCs w:val="22"/>
        </w:rPr>
        <w:t xml:space="preserve">Directorate, Locality, </w:t>
      </w:r>
      <w:r w:rsidR="00782241" w:rsidRPr="00782241">
        <w:rPr>
          <w:color w:val="000000" w:themeColor="text1"/>
          <w:szCs w:val="22"/>
        </w:rPr>
        <w:t xml:space="preserve">and </w:t>
      </w:r>
      <w:r w:rsidRPr="00782241">
        <w:rPr>
          <w:color w:val="000000" w:themeColor="text1"/>
          <w:szCs w:val="22"/>
        </w:rPr>
        <w:t xml:space="preserve">Corporate Department </w:t>
      </w:r>
      <w:r w:rsidR="00782241" w:rsidRPr="00782241">
        <w:rPr>
          <w:color w:val="000000" w:themeColor="text1"/>
          <w:szCs w:val="22"/>
        </w:rPr>
        <w:t>plans</w:t>
      </w:r>
      <w:r w:rsidRPr="00782241">
        <w:rPr>
          <w:color w:val="000000" w:themeColor="text1"/>
          <w:szCs w:val="22"/>
        </w:rPr>
        <w:t>.  It integrates our service, workforce and financial plans and makes explicit links with the performance and quality improvements we intend to achieve over the coming three year period.</w:t>
      </w:r>
    </w:p>
    <w:p w14:paraId="06120F22" w14:textId="77777777" w:rsidR="00E81F5E" w:rsidRPr="0047674D" w:rsidRDefault="00E81F5E" w:rsidP="00E81F5E">
      <w:pPr>
        <w:rPr>
          <w:color w:val="943634" w:themeColor="accent2" w:themeShade="BF"/>
        </w:rPr>
      </w:pPr>
      <w:bookmarkStart w:id="3" w:name="_Toc532463941"/>
    </w:p>
    <w:bookmarkEnd w:id="3"/>
    <w:p w14:paraId="2DC3AC46" w14:textId="77777777" w:rsidR="00611BEB" w:rsidRDefault="00611BEB" w:rsidP="005A47D6">
      <w:pPr>
        <w:rPr>
          <w:color w:val="000000" w:themeColor="text1"/>
          <w:lang w:eastAsia="en-US"/>
        </w:rPr>
      </w:pPr>
    </w:p>
    <w:p w14:paraId="46B4D7D7" w14:textId="5514FA20" w:rsidR="00611BEB" w:rsidRDefault="00611BEB" w:rsidP="005A47D6">
      <w:pPr>
        <w:rPr>
          <w:color w:val="000000" w:themeColor="text1"/>
          <w:lang w:eastAsia="en-US"/>
        </w:rPr>
      </w:pPr>
    </w:p>
    <w:p w14:paraId="22C927DA" w14:textId="77777777" w:rsidR="00611BEB" w:rsidRPr="005A47D6" w:rsidRDefault="00611BEB" w:rsidP="005A47D6">
      <w:pPr>
        <w:rPr>
          <w:color w:val="000000" w:themeColor="text1"/>
          <w:lang w:eastAsia="en-US"/>
        </w:rPr>
        <w:sectPr w:rsidR="00611BEB" w:rsidRPr="005A47D6" w:rsidSect="00611BEB">
          <w:headerReference w:type="even" r:id="rId26"/>
          <w:headerReference w:type="default" r:id="rId27"/>
          <w:headerReference w:type="first" r:id="rId28"/>
          <w:footerReference w:type="first" r:id="rId29"/>
          <w:pgSz w:w="11906" w:h="16838"/>
          <w:pgMar w:top="964" w:right="964" w:bottom="964" w:left="964" w:header="709" w:footer="709" w:gutter="0"/>
          <w:pgNumType w:fmt="lowerRoman"/>
          <w:cols w:space="708"/>
          <w:titlePg/>
          <w:docGrid w:linePitch="360"/>
        </w:sectPr>
      </w:pPr>
    </w:p>
    <w:p w14:paraId="6132DD9E" w14:textId="77777777" w:rsidR="006F090B" w:rsidRDefault="00611BEB">
      <w:pPr>
        <w:pStyle w:val="TOC1"/>
        <w:tabs>
          <w:tab w:val="left" w:pos="390"/>
          <w:tab w:val="right" w:pos="9968"/>
        </w:tabs>
        <w:rPr>
          <w:rFonts w:eastAsiaTheme="minorEastAsia" w:cstheme="minorBidi"/>
          <w:b w:val="0"/>
          <w:bCs w:val="0"/>
          <w:caps w:val="0"/>
          <w:noProof/>
          <w:u w:val="none"/>
        </w:rPr>
      </w:pPr>
      <w:r>
        <w:rPr>
          <w:smallCaps/>
        </w:rPr>
        <w:lastRenderedPageBreak/>
        <w:fldChar w:fldCharType="begin"/>
      </w:r>
      <w:r>
        <w:instrText xml:space="preserve"> TOC \o "1-2" \h \z \u </w:instrText>
      </w:r>
      <w:r>
        <w:rPr>
          <w:smallCaps/>
        </w:rPr>
        <w:fldChar w:fldCharType="separate"/>
      </w:r>
      <w:hyperlink w:anchor="_Toc25262158" w:history="1">
        <w:r w:rsidR="006F090B" w:rsidRPr="002100F1">
          <w:rPr>
            <w:rStyle w:val="Hyperlink"/>
            <w:noProof/>
          </w:rPr>
          <w:t>1.</w:t>
        </w:r>
        <w:r w:rsidR="006F090B">
          <w:rPr>
            <w:rFonts w:eastAsiaTheme="minorEastAsia" w:cstheme="minorBidi"/>
            <w:b w:val="0"/>
            <w:bCs w:val="0"/>
            <w:caps w:val="0"/>
            <w:noProof/>
            <w:u w:val="none"/>
          </w:rPr>
          <w:tab/>
        </w:r>
        <w:r w:rsidR="006F090B" w:rsidRPr="002100F1">
          <w:rPr>
            <w:rStyle w:val="Hyperlink"/>
            <w:noProof/>
          </w:rPr>
          <w:t>STRATEGIC CONTEXT</w:t>
        </w:r>
        <w:r w:rsidR="006F090B">
          <w:rPr>
            <w:noProof/>
            <w:webHidden/>
          </w:rPr>
          <w:tab/>
        </w:r>
        <w:r w:rsidR="006F090B">
          <w:rPr>
            <w:noProof/>
            <w:webHidden/>
          </w:rPr>
          <w:fldChar w:fldCharType="begin"/>
        </w:r>
        <w:r w:rsidR="006F090B">
          <w:rPr>
            <w:noProof/>
            <w:webHidden/>
          </w:rPr>
          <w:instrText xml:space="preserve"> PAGEREF _Toc25262158 \h </w:instrText>
        </w:r>
        <w:r w:rsidR="006F090B">
          <w:rPr>
            <w:noProof/>
            <w:webHidden/>
          </w:rPr>
        </w:r>
        <w:r w:rsidR="006F090B">
          <w:rPr>
            <w:noProof/>
            <w:webHidden/>
          </w:rPr>
          <w:fldChar w:fldCharType="separate"/>
        </w:r>
        <w:r w:rsidR="006F090B">
          <w:rPr>
            <w:noProof/>
            <w:webHidden/>
          </w:rPr>
          <w:t>8</w:t>
        </w:r>
        <w:r w:rsidR="006F090B">
          <w:rPr>
            <w:noProof/>
            <w:webHidden/>
          </w:rPr>
          <w:fldChar w:fldCharType="end"/>
        </w:r>
      </w:hyperlink>
    </w:p>
    <w:p w14:paraId="776CD511" w14:textId="77777777" w:rsidR="006F090B" w:rsidRDefault="006F090B">
      <w:pPr>
        <w:pStyle w:val="TOC2"/>
        <w:tabs>
          <w:tab w:val="left" w:pos="502"/>
          <w:tab w:val="right" w:pos="9968"/>
        </w:tabs>
        <w:rPr>
          <w:rFonts w:eastAsiaTheme="minorEastAsia" w:cstheme="minorBidi"/>
          <w:b w:val="0"/>
          <w:bCs w:val="0"/>
          <w:smallCaps w:val="0"/>
          <w:noProof/>
        </w:rPr>
      </w:pPr>
      <w:hyperlink w:anchor="_Toc25262159" w:history="1">
        <w:r w:rsidRPr="002100F1">
          <w:rPr>
            <w:rStyle w:val="Hyperlink"/>
            <w:noProof/>
          </w:rPr>
          <w:t>1.1</w:t>
        </w:r>
        <w:r>
          <w:rPr>
            <w:rFonts w:eastAsiaTheme="minorEastAsia" w:cstheme="minorBidi"/>
            <w:b w:val="0"/>
            <w:bCs w:val="0"/>
            <w:smallCaps w:val="0"/>
            <w:noProof/>
          </w:rPr>
          <w:tab/>
        </w:r>
        <w:r w:rsidRPr="002100F1">
          <w:rPr>
            <w:rStyle w:val="Hyperlink"/>
            <w:noProof/>
          </w:rPr>
          <w:t>Health Board Profile</w:t>
        </w:r>
        <w:r>
          <w:rPr>
            <w:noProof/>
            <w:webHidden/>
          </w:rPr>
          <w:tab/>
        </w:r>
        <w:r>
          <w:rPr>
            <w:noProof/>
            <w:webHidden/>
          </w:rPr>
          <w:fldChar w:fldCharType="begin"/>
        </w:r>
        <w:r>
          <w:rPr>
            <w:noProof/>
            <w:webHidden/>
          </w:rPr>
          <w:instrText xml:space="preserve"> PAGEREF _Toc25262159 \h </w:instrText>
        </w:r>
        <w:r>
          <w:rPr>
            <w:noProof/>
            <w:webHidden/>
          </w:rPr>
        </w:r>
        <w:r>
          <w:rPr>
            <w:noProof/>
            <w:webHidden/>
          </w:rPr>
          <w:fldChar w:fldCharType="separate"/>
        </w:r>
        <w:r>
          <w:rPr>
            <w:noProof/>
            <w:webHidden/>
          </w:rPr>
          <w:t>8</w:t>
        </w:r>
        <w:r>
          <w:rPr>
            <w:noProof/>
            <w:webHidden/>
          </w:rPr>
          <w:fldChar w:fldCharType="end"/>
        </w:r>
      </w:hyperlink>
    </w:p>
    <w:p w14:paraId="2536ED74" w14:textId="77777777" w:rsidR="006F090B" w:rsidRDefault="006F090B">
      <w:pPr>
        <w:pStyle w:val="TOC2"/>
        <w:tabs>
          <w:tab w:val="left" w:pos="502"/>
          <w:tab w:val="right" w:pos="9968"/>
        </w:tabs>
        <w:rPr>
          <w:rFonts w:eastAsiaTheme="minorEastAsia" w:cstheme="minorBidi"/>
          <w:b w:val="0"/>
          <w:bCs w:val="0"/>
          <w:smallCaps w:val="0"/>
          <w:noProof/>
        </w:rPr>
      </w:pPr>
      <w:hyperlink w:anchor="_Toc25262160" w:history="1">
        <w:r w:rsidRPr="002100F1">
          <w:rPr>
            <w:rStyle w:val="Hyperlink"/>
            <w:noProof/>
          </w:rPr>
          <w:t>1.2</w:t>
        </w:r>
        <w:r>
          <w:rPr>
            <w:rFonts w:eastAsiaTheme="minorEastAsia" w:cstheme="minorBidi"/>
            <w:b w:val="0"/>
            <w:bCs w:val="0"/>
            <w:smallCaps w:val="0"/>
            <w:noProof/>
          </w:rPr>
          <w:tab/>
        </w:r>
        <w:r w:rsidRPr="002100F1">
          <w:rPr>
            <w:rStyle w:val="Hyperlink"/>
            <w:noProof/>
          </w:rPr>
          <w:t>Delivering For The Well-Being of Future Generations</w:t>
        </w:r>
        <w:r>
          <w:rPr>
            <w:noProof/>
            <w:webHidden/>
          </w:rPr>
          <w:tab/>
        </w:r>
        <w:r>
          <w:rPr>
            <w:noProof/>
            <w:webHidden/>
          </w:rPr>
          <w:fldChar w:fldCharType="begin"/>
        </w:r>
        <w:r>
          <w:rPr>
            <w:noProof/>
            <w:webHidden/>
          </w:rPr>
          <w:instrText xml:space="preserve"> PAGEREF _Toc25262160 \h </w:instrText>
        </w:r>
        <w:r>
          <w:rPr>
            <w:noProof/>
            <w:webHidden/>
          </w:rPr>
        </w:r>
        <w:r>
          <w:rPr>
            <w:noProof/>
            <w:webHidden/>
          </w:rPr>
          <w:fldChar w:fldCharType="separate"/>
        </w:r>
        <w:r>
          <w:rPr>
            <w:noProof/>
            <w:webHidden/>
          </w:rPr>
          <w:t>8</w:t>
        </w:r>
        <w:r>
          <w:rPr>
            <w:noProof/>
            <w:webHidden/>
          </w:rPr>
          <w:fldChar w:fldCharType="end"/>
        </w:r>
      </w:hyperlink>
    </w:p>
    <w:p w14:paraId="474053C8" w14:textId="77777777" w:rsidR="006F090B" w:rsidRDefault="006F090B">
      <w:pPr>
        <w:pStyle w:val="TOC2"/>
        <w:tabs>
          <w:tab w:val="left" w:pos="502"/>
          <w:tab w:val="right" w:pos="9968"/>
        </w:tabs>
        <w:rPr>
          <w:rFonts w:eastAsiaTheme="minorEastAsia" w:cstheme="minorBidi"/>
          <w:b w:val="0"/>
          <w:bCs w:val="0"/>
          <w:smallCaps w:val="0"/>
          <w:noProof/>
        </w:rPr>
      </w:pPr>
      <w:hyperlink w:anchor="_Toc25262161" w:history="1">
        <w:r w:rsidRPr="002100F1">
          <w:rPr>
            <w:rStyle w:val="Hyperlink"/>
            <w:noProof/>
          </w:rPr>
          <w:t>1.3</w:t>
        </w:r>
        <w:r>
          <w:rPr>
            <w:rFonts w:eastAsiaTheme="minorEastAsia" w:cstheme="minorBidi"/>
            <w:b w:val="0"/>
            <w:bCs w:val="0"/>
            <w:smallCaps w:val="0"/>
            <w:noProof/>
          </w:rPr>
          <w:tab/>
        </w:r>
        <w:r w:rsidRPr="002100F1">
          <w:rPr>
            <w:rStyle w:val="Hyperlink"/>
            <w:noProof/>
          </w:rPr>
          <w:t>Values, Vision And Strategic Objectives</w:t>
        </w:r>
        <w:r>
          <w:rPr>
            <w:noProof/>
            <w:webHidden/>
          </w:rPr>
          <w:tab/>
        </w:r>
        <w:r>
          <w:rPr>
            <w:noProof/>
            <w:webHidden/>
          </w:rPr>
          <w:fldChar w:fldCharType="begin"/>
        </w:r>
        <w:r>
          <w:rPr>
            <w:noProof/>
            <w:webHidden/>
          </w:rPr>
          <w:instrText xml:space="preserve"> PAGEREF _Toc25262161 \h </w:instrText>
        </w:r>
        <w:r>
          <w:rPr>
            <w:noProof/>
            <w:webHidden/>
          </w:rPr>
        </w:r>
        <w:r>
          <w:rPr>
            <w:noProof/>
            <w:webHidden/>
          </w:rPr>
          <w:fldChar w:fldCharType="separate"/>
        </w:r>
        <w:r>
          <w:rPr>
            <w:noProof/>
            <w:webHidden/>
          </w:rPr>
          <w:t>10</w:t>
        </w:r>
        <w:r>
          <w:rPr>
            <w:noProof/>
            <w:webHidden/>
          </w:rPr>
          <w:fldChar w:fldCharType="end"/>
        </w:r>
      </w:hyperlink>
    </w:p>
    <w:p w14:paraId="09DAF4EE" w14:textId="77777777" w:rsidR="006F090B" w:rsidRDefault="006F090B">
      <w:pPr>
        <w:pStyle w:val="TOC2"/>
        <w:tabs>
          <w:tab w:val="left" w:pos="502"/>
          <w:tab w:val="right" w:pos="9968"/>
        </w:tabs>
        <w:rPr>
          <w:rFonts w:eastAsiaTheme="minorEastAsia" w:cstheme="minorBidi"/>
          <w:b w:val="0"/>
          <w:bCs w:val="0"/>
          <w:smallCaps w:val="0"/>
          <w:noProof/>
        </w:rPr>
      </w:pPr>
      <w:hyperlink w:anchor="_Toc25262162" w:history="1">
        <w:r w:rsidRPr="002100F1">
          <w:rPr>
            <w:rStyle w:val="Hyperlink"/>
            <w:noProof/>
          </w:rPr>
          <w:t>1.4</w:t>
        </w:r>
        <w:r>
          <w:rPr>
            <w:rFonts w:eastAsiaTheme="minorEastAsia" w:cstheme="minorBidi"/>
            <w:b w:val="0"/>
            <w:bCs w:val="0"/>
            <w:smallCaps w:val="0"/>
            <w:noProof/>
          </w:rPr>
          <w:tab/>
        </w:r>
        <w:r w:rsidRPr="002100F1">
          <w:rPr>
            <w:rStyle w:val="Hyperlink"/>
            <w:noProof/>
          </w:rPr>
          <w:t>Integrated Health And Care Strategy</w:t>
        </w:r>
        <w:r>
          <w:rPr>
            <w:noProof/>
            <w:webHidden/>
          </w:rPr>
          <w:tab/>
        </w:r>
        <w:r>
          <w:rPr>
            <w:noProof/>
            <w:webHidden/>
          </w:rPr>
          <w:fldChar w:fldCharType="begin"/>
        </w:r>
        <w:r>
          <w:rPr>
            <w:noProof/>
            <w:webHidden/>
          </w:rPr>
          <w:instrText xml:space="preserve"> PAGEREF _Toc25262162 \h </w:instrText>
        </w:r>
        <w:r>
          <w:rPr>
            <w:noProof/>
            <w:webHidden/>
          </w:rPr>
        </w:r>
        <w:r>
          <w:rPr>
            <w:noProof/>
            <w:webHidden/>
          </w:rPr>
          <w:fldChar w:fldCharType="separate"/>
        </w:r>
        <w:r>
          <w:rPr>
            <w:noProof/>
            <w:webHidden/>
          </w:rPr>
          <w:t>11</w:t>
        </w:r>
        <w:r>
          <w:rPr>
            <w:noProof/>
            <w:webHidden/>
          </w:rPr>
          <w:fldChar w:fldCharType="end"/>
        </w:r>
      </w:hyperlink>
    </w:p>
    <w:p w14:paraId="2FF2F6B3" w14:textId="77777777" w:rsidR="006F090B" w:rsidRDefault="006F090B">
      <w:pPr>
        <w:pStyle w:val="TOC2"/>
        <w:tabs>
          <w:tab w:val="left" w:pos="502"/>
          <w:tab w:val="right" w:pos="9968"/>
        </w:tabs>
        <w:rPr>
          <w:rFonts w:eastAsiaTheme="minorEastAsia" w:cstheme="minorBidi"/>
          <w:b w:val="0"/>
          <w:bCs w:val="0"/>
          <w:smallCaps w:val="0"/>
          <w:noProof/>
        </w:rPr>
      </w:pPr>
      <w:hyperlink w:anchor="_Toc25262163" w:history="1">
        <w:r w:rsidRPr="002100F1">
          <w:rPr>
            <w:rStyle w:val="Hyperlink"/>
            <w:noProof/>
          </w:rPr>
          <w:t>1.5</w:t>
        </w:r>
        <w:r>
          <w:rPr>
            <w:rFonts w:eastAsiaTheme="minorEastAsia" w:cstheme="minorBidi"/>
            <w:b w:val="0"/>
            <w:bCs w:val="0"/>
            <w:smallCaps w:val="0"/>
            <w:noProof/>
          </w:rPr>
          <w:tab/>
        </w:r>
        <w:r w:rsidRPr="002100F1">
          <w:rPr>
            <w:rStyle w:val="Hyperlink"/>
            <w:noProof/>
          </w:rPr>
          <w:t>Cwm Taf Morgannwg Operating Model</w:t>
        </w:r>
        <w:r>
          <w:rPr>
            <w:noProof/>
            <w:webHidden/>
          </w:rPr>
          <w:tab/>
        </w:r>
        <w:r>
          <w:rPr>
            <w:noProof/>
            <w:webHidden/>
          </w:rPr>
          <w:fldChar w:fldCharType="begin"/>
        </w:r>
        <w:r>
          <w:rPr>
            <w:noProof/>
            <w:webHidden/>
          </w:rPr>
          <w:instrText xml:space="preserve"> PAGEREF _Toc25262163 \h </w:instrText>
        </w:r>
        <w:r>
          <w:rPr>
            <w:noProof/>
            <w:webHidden/>
          </w:rPr>
        </w:r>
        <w:r>
          <w:rPr>
            <w:noProof/>
            <w:webHidden/>
          </w:rPr>
          <w:fldChar w:fldCharType="separate"/>
        </w:r>
        <w:r>
          <w:rPr>
            <w:noProof/>
            <w:webHidden/>
          </w:rPr>
          <w:t>13</w:t>
        </w:r>
        <w:r>
          <w:rPr>
            <w:noProof/>
            <w:webHidden/>
          </w:rPr>
          <w:fldChar w:fldCharType="end"/>
        </w:r>
      </w:hyperlink>
    </w:p>
    <w:p w14:paraId="16EEF943" w14:textId="77777777" w:rsidR="006F090B" w:rsidRDefault="006F090B">
      <w:pPr>
        <w:pStyle w:val="TOC2"/>
        <w:tabs>
          <w:tab w:val="left" w:pos="502"/>
          <w:tab w:val="right" w:pos="9968"/>
        </w:tabs>
        <w:rPr>
          <w:rFonts w:eastAsiaTheme="minorEastAsia" w:cstheme="minorBidi"/>
          <w:b w:val="0"/>
          <w:bCs w:val="0"/>
          <w:smallCaps w:val="0"/>
          <w:noProof/>
        </w:rPr>
      </w:pPr>
      <w:hyperlink w:anchor="_Toc25262164" w:history="1">
        <w:r w:rsidRPr="002100F1">
          <w:rPr>
            <w:rStyle w:val="Hyperlink"/>
            <w:noProof/>
          </w:rPr>
          <w:t>1.6</w:t>
        </w:r>
        <w:r>
          <w:rPr>
            <w:rFonts w:eastAsiaTheme="minorEastAsia" w:cstheme="minorBidi"/>
            <w:b w:val="0"/>
            <w:bCs w:val="0"/>
            <w:smallCaps w:val="0"/>
            <w:noProof/>
          </w:rPr>
          <w:tab/>
        </w:r>
        <w:r w:rsidRPr="002100F1">
          <w:rPr>
            <w:rStyle w:val="Hyperlink"/>
            <w:noProof/>
          </w:rPr>
          <w:t>Working In Partnership</w:t>
        </w:r>
        <w:r>
          <w:rPr>
            <w:noProof/>
            <w:webHidden/>
          </w:rPr>
          <w:tab/>
        </w:r>
        <w:r>
          <w:rPr>
            <w:noProof/>
            <w:webHidden/>
          </w:rPr>
          <w:fldChar w:fldCharType="begin"/>
        </w:r>
        <w:r>
          <w:rPr>
            <w:noProof/>
            <w:webHidden/>
          </w:rPr>
          <w:instrText xml:space="preserve"> PAGEREF _Toc25262164 \h </w:instrText>
        </w:r>
        <w:r>
          <w:rPr>
            <w:noProof/>
            <w:webHidden/>
          </w:rPr>
        </w:r>
        <w:r>
          <w:rPr>
            <w:noProof/>
            <w:webHidden/>
          </w:rPr>
          <w:fldChar w:fldCharType="separate"/>
        </w:r>
        <w:r>
          <w:rPr>
            <w:noProof/>
            <w:webHidden/>
          </w:rPr>
          <w:t>16</w:t>
        </w:r>
        <w:r>
          <w:rPr>
            <w:noProof/>
            <w:webHidden/>
          </w:rPr>
          <w:fldChar w:fldCharType="end"/>
        </w:r>
      </w:hyperlink>
    </w:p>
    <w:p w14:paraId="68DD36B6" w14:textId="77777777" w:rsidR="006F090B" w:rsidRDefault="006F090B">
      <w:pPr>
        <w:pStyle w:val="TOC2"/>
        <w:tabs>
          <w:tab w:val="left" w:pos="502"/>
          <w:tab w:val="right" w:pos="9968"/>
        </w:tabs>
        <w:rPr>
          <w:rFonts w:eastAsiaTheme="minorEastAsia" w:cstheme="minorBidi"/>
          <w:b w:val="0"/>
          <w:bCs w:val="0"/>
          <w:smallCaps w:val="0"/>
          <w:noProof/>
        </w:rPr>
      </w:pPr>
      <w:hyperlink w:anchor="_Toc25262165" w:history="1">
        <w:r w:rsidRPr="002100F1">
          <w:rPr>
            <w:rStyle w:val="Hyperlink"/>
            <w:noProof/>
          </w:rPr>
          <w:t>1.7</w:t>
        </w:r>
        <w:r>
          <w:rPr>
            <w:rFonts w:eastAsiaTheme="minorEastAsia" w:cstheme="minorBidi"/>
            <w:b w:val="0"/>
            <w:bCs w:val="0"/>
            <w:smallCaps w:val="0"/>
            <w:noProof/>
          </w:rPr>
          <w:tab/>
        </w:r>
        <w:r w:rsidRPr="002100F1">
          <w:rPr>
            <w:rStyle w:val="Hyperlink"/>
            <w:noProof/>
          </w:rPr>
          <w:t>Integrated Medium Term Plan 2020 – 2023 Priorities</w:t>
        </w:r>
        <w:r>
          <w:rPr>
            <w:noProof/>
            <w:webHidden/>
          </w:rPr>
          <w:tab/>
        </w:r>
        <w:r>
          <w:rPr>
            <w:noProof/>
            <w:webHidden/>
          </w:rPr>
          <w:fldChar w:fldCharType="begin"/>
        </w:r>
        <w:r>
          <w:rPr>
            <w:noProof/>
            <w:webHidden/>
          </w:rPr>
          <w:instrText xml:space="preserve"> PAGEREF _Toc25262165 \h </w:instrText>
        </w:r>
        <w:r>
          <w:rPr>
            <w:noProof/>
            <w:webHidden/>
          </w:rPr>
        </w:r>
        <w:r>
          <w:rPr>
            <w:noProof/>
            <w:webHidden/>
          </w:rPr>
          <w:fldChar w:fldCharType="separate"/>
        </w:r>
        <w:r>
          <w:rPr>
            <w:noProof/>
            <w:webHidden/>
          </w:rPr>
          <w:t>17</w:t>
        </w:r>
        <w:r>
          <w:rPr>
            <w:noProof/>
            <w:webHidden/>
          </w:rPr>
          <w:fldChar w:fldCharType="end"/>
        </w:r>
      </w:hyperlink>
    </w:p>
    <w:p w14:paraId="0988C6E0" w14:textId="77777777" w:rsidR="006F090B" w:rsidRDefault="006F090B">
      <w:pPr>
        <w:pStyle w:val="TOC1"/>
        <w:tabs>
          <w:tab w:val="left" w:pos="390"/>
          <w:tab w:val="right" w:pos="9968"/>
        </w:tabs>
        <w:rPr>
          <w:rFonts w:eastAsiaTheme="minorEastAsia" w:cstheme="minorBidi"/>
          <w:b w:val="0"/>
          <w:bCs w:val="0"/>
          <w:caps w:val="0"/>
          <w:noProof/>
          <w:u w:val="none"/>
        </w:rPr>
      </w:pPr>
      <w:hyperlink w:anchor="_Toc25262166" w:history="1">
        <w:r w:rsidRPr="002100F1">
          <w:rPr>
            <w:rStyle w:val="Hyperlink"/>
            <w:noProof/>
          </w:rPr>
          <w:t>2.</w:t>
        </w:r>
        <w:r>
          <w:rPr>
            <w:rFonts w:eastAsiaTheme="minorEastAsia" w:cstheme="minorBidi"/>
            <w:b w:val="0"/>
            <w:bCs w:val="0"/>
            <w:caps w:val="0"/>
            <w:noProof/>
            <w:u w:val="none"/>
          </w:rPr>
          <w:tab/>
        </w:r>
        <w:r w:rsidRPr="002100F1">
          <w:rPr>
            <w:rStyle w:val="Hyperlink"/>
            <w:noProof/>
          </w:rPr>
          <w:t>PROGRESS IN DELIVERING OUR PLAN</w:t>
        </w:r>
        <w:r>
          <w:rPr>
            <w:noProof/>
            <w:webHidden/>
          </w:rPr>
          <w:tab/>
        </w:r>
        <w:r>
          <w:rPr>
            <w:noProof/>
            <w:webHidden/>
          </w:rPr>
          <w:fldChar w:fldCharType="begin"/>
        </w:r>
        <w:r>
          <w:rPr>
            <w:noProof/>
            <w:webHidden/>
          </w:rPr>
          <w:instrText xml:space="preserve"> PAGEREF _Toc25262166 \h </w:instrText>
        </w:r>
        <w:r>
          <w:rPr>
            <w:noProof/>
            <w:webHidden/>
          </w:rPr>
        </w:r>
        <w:r>
          <w:rPr>
            <w:noProof/>
            <w:webHidden/>
          </w:rPr>
          <w:fldChar w:fldCharType="separate"/>
        </w:r>
        <w:r>
          <w:rPr>
            <w:noProof/>
            <w:webHidden/>
          </w:rPr>
          <w:t>18</w:t>
        </w:r>
        <w:r>
          <w:rPr>
            <w:noProof/>
            <w:webHidden/>
          </w:rPr>
          <w:fldChar w:fldCharType="end"/>
        </w:r>
      </w:hyperlink>
    </w:p>
    <w:p w14:paraId="5F424249" w14:textId="77777777" w:rsidR="006F090B" w:rsidRDefault="006F090B">
      <w:pPr>
        <w:pStyle w:val="TOC1"/>
        <w:tabs>
          <w:tab w:val="left" w:pos="390"/>
          <w:tab w:val="right" w:pos="9968"/>
        </w:tabs>
        <w:rPr>
          <w:rFonts w:eastAsiaTheme="minorEastAsia" w:cstheme="minorBidi"/>
          <w:b w:val="0"/>
          <w:bCs w:val="0"/>
          <w:caps w:val="0"/>
          <w:noProof/>
          <w:u w:val="none"/>
        </w:rPr>
      </w:pPr>
      <w:hyperlink w:anchor="_Toc25262167" w:history="1">
        <w:r w:rsidRPr="002100F1">
          <w:rPr>
            <w:rStyle w:val="Hyperlink"/>
            <w:noProof/>
          </w:rPr>
          <w:t>3.</w:t>
        </w:r>
        <w:r>
          <w:rPr>
            <w:rFonts w:eastAsiaTheme="minorEastAsia" w:cstheme="minorBidi"/>
            <w:b w:val="0"/>
            <w:bCs w:val="0"/>
            <w:caps w:val="0"/>
            <w:noProof/>
            <w:u w:val="none"/>
          </w:rPr>
          <w:tab/>
        </w:r>
        <w:r w:rsidRPr="002100F1">
          <w:rPr>
            <w:rStyle w:val="Hyperlink"/>
            <w:noProof/>
          </w:rPr>
          <w:t>2020-23 DRIVERS FOR CHANGE</w:t>
        </w:r>
        <w:r>
          <w:rPr>
            <w:noProof/>
            <w:webHidden/>
          </w:rPr>
          <w:tab/>
        </w:r>
        <w:r>
          <w:rPr>
            <w:noProof/>
            <w:webHidden/>
          </w:rPr>
          <w:fldChar w:fldCharType="begin"/>
        </w:r>
        <w:r>
          <w:rPr>
            <w:noProof/>
            <w:webHidden/>
          </w:rPr>
          <w:instrText xml:space="preserve"> PAGEREF _Toc25262167 \h </w:instrText>
        </w:r>
        <w:r>
          <w:rPr>
            <w:noProof/>
            <w:webHidden/>
          </w:rPr>
        </w:r>
        <w:r>
          <w:rPr>
            <w:noProof/>
            <w:webHidden/>
          </w:rPr>
          <w:fldChar w:fldCharType="separate"/>
        </w:r>
        <w:r>
          <w:rPr>
            <w:noProof/>
            <w:webHidden/>
          </w:rPr>
          <w:t>21</w:t>
        </w:r>
        <w:r>
          <w:rPr>
            <w:noProof/>
            <w:webHidden/>
          </w:rPr>
          <w:fldChar w:fldCharType="end"/>
        </w:r>
      </w:hyperlink>
    </w:p>
    <w:p w14:paraId="0BF5CC3B" w14:textId="77777777" w:rsidR="006F090B" w:rsidRDefault="006F090B">
      <w:pPr>
        <w:pStyle w:val="TOC2"/>
        <w:tabs>
          <w:tab w:val="left" w:pos="502"/>
          <w:tab w:val="right" w:pos="9968"/>
        </w:tabs>
        <w:rPr>
          <w:rFonts w:eastAsiaTheme="minorEastAsia" w:cstheme="minorBidi"/>
          <w:b w:val="0"/>
          <w:bCs w:val="0"/>
          <w:smallCaps w:val="0"/>
          <w:noProof/>
        </w:rPr>
      </w:pPr>
      <w:hyperlink w:anchor="_Toc25262168" w:history="1">
        <w:r w:rsidRPr="002100F1">
          <w:rPr>
            <w:rStyle w:val="Hyperlink"/>
            <w:noProof/>
          </w:rPr>
          <w:t>3.1</w:t>
        </w:r>
        <w:r>
          <w:rPr>
            <w:rFonts w:eastAsiaTheme="minorEastAsia" w:cstheme="minorBidi"/>
            <w:b w:val="0"/>
            <w:bCs w:val="0"/>
            <w:smallCaps w:val="0"/>
            <w:noProof/>
          </w:rPr>
          <w:tab/>
        </w:r>
        <w:r w:rsidRPr="002100F1">
          <w:rPr>
            <w:rStyle w:val="Hyperlink"/>
            <w:noProof/>
          </w:rPr>
          <w:t>Key Population Health Challenges</w:t>
        </w:r>
        <w:r>
          <w:rPr>
            <w:noProof/>
            <w:webHidden/>
          </w:rPr>
          <w:tab/>
        </w:r>
        <w:r>
          <w:rPr>
            <w:noProof/>
            <w:webHidden/>
          </w:rPr>
          <w:fldChar w:fldCharType="begin"/>
        </w:r>
        <w:r>
          <w:rPr>
            <w:noProof/>
            <w:webHidden/>
          </w:rPr>
          <w:instrText xml:space="preserve"> PAGEREF _Toc25262168 \h </w:instrText>
        </w:r>
        <w:r>
          <w:rPr>
            <w:noProof/>
            <w:webHidden/>
          </w:rPr>
        </w:r>
        <w:r>
          <w:rPr>
            <w:noProof/>
            <w:webHidden/>
          </w:rPr>
          <w:fldChar w:fldCharType="separate"/>
        </w:r>
        <w:r>
          <w:rPr>
            <w:noProof/>
            <w:webHidden/>
          </w:rPr>
          <w:t>21</w:t>
        </w:r>
        <w:r>
          <w:rPr>
            <w:noProof/>
            <w:webHidden/>
          </w:rPr>
          <w:fldChar w:fldCharType="end"/>
        </w:r>
      </w:hyperlink>
    </w:p>
    <w:p w14:paraId="6FA8A183" w14:textId="77777777" w:rsidR="006F090B" w:rsidRDefault="006F090B">
      <w:pPr>
        <w:pStyle w:val="TOC2"/>
        <w:tabs>
          <w:tab w:val="left" w:pos="502"/>
          <w:tab w:val="right" w:pos="9968"/>
        </w:tabs>
        <w:rPr>
          <w:rFonts w:eastAsiaTheme="minorEastAsia" w:cstheme="minorBidi"/>
          <w:b w:val="0"/>
          <w:bCs w:val="0"/>
          <w:smallCaps w:val="0"/>
          <w:noProof/>
        </w:rPr>
      </w:pPr>
      <w:hyperlink w:anchor="_Toc25262169" w:history="1">
        <w:r w:rsidRPr="002100F1">
          <w:rPr>
            <w:rStyle w:val="Hyperlink"/>
            <w:noProof/>
          </w:rPr>
          <w:t>3.2</w:t>
        </w:r>
        <w:r>
          <w:rPr>
            <w:rFonts w:eastAsiaTheme="minorEastAsia" w:cstheme="minorBidi"/>
            <w:b w:val="0"/>
            <w:bCs w:val="0"/>
            <w:smallCaps w:val="0"/>
            <w:noProof/>
          </w:rPr>
          <w:tab/>
        </w:r>
        <w:r w:rsidRPr="002100F1">
          <w:rPr>
            <w:rStyle w:val="Hyperlink"/>
            <w:noProof/>
          </w:rPr>
          <w:t>Health Board Challenges and Legislative and Policy Drivers</w:t>
        </w:r>
        <w:r>
          <w:rPr>
            <w:noProof/>
            <w:webHidden/>
          </w:rPr>
          <w:tab/>
        </w:r>
        <w:r>
          <w:rPr>
            <w:noProof/>
            <w:webHidden/>
          </w:rPr>
          <w:fldChar w:fldCharType="begin"/>
        </w:r>
        <w:r>
          <w:rPr>
            <w:noProof/>
            <w:webHidden/>
          </w:rPr>
          <w:instrText xml:space="preserve"> PAGEREF _Toc25262169 \h </w:instrText>
        </w:r>
        <w:r>
          <w:rPr>
            <w:noProof/>
            <w:webHidden/>
          </w:rPr>
        </w:r>
        <w:r>
          <w:rPr>
            <w:noProof/>
            <w:webHidden/>
          </w:rPr>
          <w:fldChar w:fldCharType="separate"/>
        </w:r>
        <w:r>
          <w:rPr>
            <w:noProof/>
            <w:webHidden/>
          </w:rPr>
          <w:t>22</w:t>
        </w:r>
        <w:r>
          <w:rPr>
            <w:noProof/>
            <w:webHidden/>
          </w:rPr>
          <w:fldChar w:fldCharType="end"/>
        </w:r>
      </w:hyperlink>
    </w:p>
    <w:p w14:paraId="334913A1" w14:textId="77777777" w:rsidR="006F090B" w:rsidRDefault="006F090B">
      <w:pPr>
        <w:pStyle w:val="TOC1"/>
        <w:tabs>
          <w:tab w:val="left" w:pos="390"/>
          <w:tab w:val="right" w:pos="9968"/>
        </w:tabs>
        <w:rPr>
          <w:rFonts w:eastAsiaTheme="minorEastAsia" w:cstheme="minorBidi"/>
          <w:b w:val="0"/>
          <w:bCs w:val="0"/>
          <w:caps w:val="0"/>
          <w:noProof/>
          <w:u w:val="none"/>
        </w:rPr>
      </w:pPr>
      <w:hyperlink w:anchor="_Toc25262170" w:history="1">
        <w:r w:rsidRPr="002100F1">
          <w:rPr>
            <w:rStyle w:val="Hyperlink"/>
            <w:noProof/>
          </w:rPr>
          <w:t>4.</w:t>
        </w:r>
        <w:r>
          <w:rPr>
            <w:rFonts w:eastAsiaTheme="minorEastAsia" w:cstheme="minorBidi"/>
            <w:b w:val="0"/>
            <w:bCs w:val="0"/>
            <w:caps w:val="0"/>
            <w:noProof/>
            <w:u w:val="none"/>
          </w:rPr>
          <w:tab/>
        </w:r>
        <w:r w:rsidRPr="002100F1">
          <w:rPr>
            <w:rStyle w:val="Hyperlink"/>
            <w:noProof/>
          </w:rPr>
          <w:t>QUALITY ASSURANCE AND IMPROVEMENT</w:t>
        </w:r>
        <w:r>
          <w:rPr>
            <w:noProof/>
            <w:webHidden/>
          </w:rPr>
          <w:tab/>
        </w:r>
        <w:r>
          <w:rPr>
            <w:noProof/>
            <w:webHidden/>
          </w:rPr>
          <w:fldChar w:fldCharType="begin"/>
        </w:r>
        <w:r>
          <w:rPr>
            <w:noProof/>
            <w:webHidden/>
          </w:rPr>
          <w:instrText xml:space="preserve"> PAGEREF _Toc25262170 \h </w:instrText>
        </w:r>
        <w:r>
          <w:rPr>
            <w:noProof/>
            <w:webHidden/>
          </w:rPr>
        </w:r>
        <w:r>
          <w:rPr>
            <w:noProof/>
            <w:webHidden/>
          </w:rPr>
          <w:fldChar w:fldCharType="separate"/>
        </w:r>
        <w:r>
          <w:rPr>
            <w:noProof/>
            <w:webHidden/>
          </w:rPr>
          <w:t>25</w:t>
        </w:r>
        <w:r>
          <w:rPr>
            <w:noProof/>
            <w:webHidden/>
          </w:rPr>
          <w:fldChar w:fldCharType="end"/>
        </w:r>
      </w:hyperlink>
    </w:p>
    <w:p w14:paraId="1582D6D7" w14:textId="77777777" w:rsidR="006F090B" w:rsidRDefault="006F090B">
      <w:pPr>
        <w:pStyle w:val="TOC2"/>
        <w:tabs>
          <w:tab w:val="left" w:pos="502"/>
          <w:tab w:val="right" w:pos="9968"/>
        </w:tabs>
        <w:rPr>
          <w:rFonts w:eastAsiaTheme="minorEastAsia" w:cstheme="minorBidi"/>
          <w:b w:val="0"/>
          <w:bCs w:val="0"/>
          <w:smallCaps w:val="0"/>
          <w:noProof/>
        </w:rPr>
      </w:pPr>
      <w:hyperlink w:anchor="_Toc25262171" w:history="1">
        <w:r w:rsidRPr="002100F1">
          <w:rPr>
            <w:rStyle w:val="Hyperlink"/>
            <w:noProof/>
          </w:rPr>
          <w:t>4.1</w:t>
        </w:r>
        <w:r>
          <w:rPr>
            <w:rFonts w:eastAsiaTheme="minorEastAsia" w:cstheme="minorBidi"/>
            <w:b w:val="0"/>
            <w:bCs w:val="0"/>
            <w:smallCaps w:val="0"/>
            <w:noProof/>
          </w:rPr>
          <w:tab/>
        </w:r>
        <w:r w:rsidRPr="002100F1">
          <w:rPr>
            <w:rStyle w:val="Hyperlink"/>
            <w:noProof/>
          </w:rPr>
          <w:t>Quality Strategy</w:t>
        </w:r>
        <w:r>
          <w:rPr>
            <w:noProof/>
            <w:webHidden/>
          </w:rPr>
          <w:tab/>
        </w:r>
        <w:r>
          <w:rPr>
            <w:noProof/>
            <w:webHidden/>
          </w:rPr>
          <w:fldChar w:fldCharType="begin"/>
        </w:r>
        <w:r>
          <w:rPr>
            <w:noProof/>
            <w:webHidden/>
          </w:rPr>
          <w:instrText xml:space="preserve"> PAGEREF _Toc25262171 \h </w:instrText>
        </w:r>
        <w:r>
          <w:rPr>
            <w:noProof/>
            <w:webHidden/>
          </w:rPr>
        </w:r>
        <w:r>
          <w:rPr>
            <w:noProof/>
            <w:webHidden/>
          </w:rPr>
          <w:fldChar w:fldCharType="separate"/>
        </w:r>
        <w:r>
          <w:rPr>
            <w:noProof/>
            <w:webHidden/>
          </w:rPr>
          <w:t>25</w:t>
        </w:r>
        <w:r>
          <w:rPr>
            <w:noProof/>
            <w:webHidden/>
          </w:rPr>
          <w:fldChar w:fldCharType="end"/>
        </w:r>
      </w:hyperlink>
    </w:p>
    <w:p w14:paraId="5778B74B" w14:textId="77777777" w:rsidR="006F090B" w:rsidRDefault="006F090B">
      <w:pPr>
        <w:pStyle w:val="TOC2"/>
        <w:tabs>
          <w:tab w:val="left" w:pos="502"/>
          <w:tab w:val="right" w:pos="9968"/>
        </w:tabs>
        <w:rPr>
          <w:rFonts w:eastAsiaTheme="minorEastAsia" w:cstheme="minorBidi"/>
          <w:b w:val="0"/>
          <w:bCs w:val="0"/>
          <w:smallCaps w:val="0"/>
          <w:noProof/>
        </w:rPr>
      </w:pPr>
      <w:hyperlink w:anchor="_Toc25262172" w:history="1">
        <w:r w:rsidRPr="002100F1">
          <w:rPr>
            <w:rStyle w:val="Hyperlink"/>
            <w:noProof/>
          </w:rPr>
          <w:t>4.2</w:t>
        </w:r>
        <w:r>
          <w:rPr>
            <w:rFonts w:eastAsiaTheme="minorEastAsia" w:cstheme="minorBidi"/>
            <w:b w:val="0"/>
            <w:bCs w:val="0"/>
            <w:smallCaps w:val="0"/>
            <w:noProof/>
          </w:rPr>
          <w:tab/>
        </w:r>
        <w:r w:rsidRPr="002100F1">
          <w:rPr>
            <w:rStyle w:val="Hyperlink"/>
            <w:noProof/>
          </w:rPr>
          <w:t>Quality Assurance and Quality Improvement</w:t>
        </w:r>
        <w:r>
          <w:rPr>
            <w:noProof/>
            <w:webHidden/>
          </w:rPr>
          <w:tab/>
        </w:r>
        <w:r>
          <w:rPr>
            <w:noProof/>
            <w:webHidden/>
          </w:rPr>
          <w:fldChar w:fldCharType="begin"/>
        </w:r>
        <w:r>
          <w:rPr>
            <w:noProof/>
            <w:webHidden/>
          </w:rPr>
          <w:instrText xml:space="preserve"> PAGEREF _Toc25262172 \h </w:instrText>
        </w:r>
        <w:r>
          <w:rPr>
            <w:noProof/>
            <w:webHidden/>
          </w:rPr>
        </w:r>
        <w:r>
          <w:rPr>
            <w:noProof/>
            <w:webHidden/>
          </w:rPr>
          <w:fldChar w:fldCharType="separate"/>
        </w:r>
        <w:r>
          <w:rPr>
            <w:noProof/>
            <w:webHidden/>
          </w:rPr>
          <w:t>26</w:t>
        </w:r>
        <w:r>
          <w:rPr>
            <w:noProof/>
            <w:webHidden/>
          </w:rPr>
          <w:fldChar w:fldCharType="end"/>
        </w:r>
      </w:hyperlink>
    </w:p>
    <w:p w14:paraId="4D1C9322" w14:textId="77777777" w:rsidR="006F090B" w:rsidRDefault="006F090B">
      <w:pPr>
        <w:pStyle w:val="TOC2"/>
        <w:tabs>
          <w:tab w:val="left" w:pos="502"/>
          <w:tab w:val="right" w:pos="9968"/>
        </w:tabs>
        <w:rPr>
          <w:rFonts w:eastAsiaTheme="minorEastAsia" w:cstheme="minorBidi"/>
          <w:b w:val="0"/>
          <w:bCs w:val="0"/>
          <w:smallCaps w:val="0"/>
          <w:noProof/>
        </w:rPr>
      </w:pPr>
      <w:hyperlink w:anchor="_Toc25262173" w:history="1">
        <w:r w:rsidRPr="002100F1">
          <w:rPr>
            <w:rStyle w:val="Hyperlink"/>
            <w:noProof/>
          </w:rPr>
          <w:t>4.3</w:t>
        </w:r>
        <w:r>
          <w:rPr>
            <w:rFonts w:eastAsiaTheme="minorEastAsia" w:cstheme="minorBidi"/>
            <w:b w:val="0"/>
            <w:bCs w:val="0"/>
            <w:smallCaps w:val="0"/>
            <w:noProof/>
          </w:rPr>
          <w:tab/>
        </w:r>
        <w:r w:rsidRPr="002100F1">
          <w:rPr>
            <w:rStyle w:val="Hyperlink"/>
            <w:noProof/>
          </w:rPr>
          <w:t>Addressing Quality Concerns</w:t>
        </w:r>
        <w:r>
          <w:rPr>
            <w:noProof/>
            <w:webHidden/>
          </w:rPr>
          <w:tab/>
        </w:r>
        <w:r>
          <w:rPr>
            <w:noProof/>
            <w:webHidden/>
          </w:rPr>
          <w:fldChar w:fldCharType="begin"/>
        </w:r>
        <w:r>
          <w:rPr>
            <w:noProof/>
            <w:webHidden/>
          </w:rPr>
          <w:instrText xml:space="preserve"> PAGEREF _Toc25262173 \h </w:instrText>
        </w:r>
        <w:r>
          <w:rPr>
            <w:noProof/>
            <w:webHidden/>
          </w:rPr>
        </w:r>
        <w:r>
          <w:rPr>
            <w:noProof/>
            <w:webHidden/>
          </w:rPr>
          <w:fldChar w:fldCharType="separate"/>
        </w:r>
        <w:r>
          <w:rPr>
            <w:noProof/>
            <w:webHidden/>
          </w:rPr>
          <w:t>26</w:t>
        </w:r>
        <w:r>
          <w:rPr>
            <w:noProof/>
            <w:webHidden/>
          </w:rPr>
          <w:fldChar w:fldCharType="end"/>
        </w:r>
      </w:hyperlink>
    </w:p>
    <w:p w14:paraId="5C4565DA" w14:textId="77777777" w:rsidR="006F090B" w:rsidRDefault="006F090B">
      <w:pPr>
        <w:pStyle w:val="TOC1"/>
        <w:tabs>
          <w:tab w:val="left" w:pos="390"/>
          <w:tab w:val="right" w:pos="9968"/>
        </w:tabs>
        <w:rPr>
          <w:rFonts w:eastAsiaTheme="minorEastAsia" w:cstheme="minorBidi"/>
          <w:b w:val="0"/>
          <w:bCs w:val="0"/>
          <w:caps w:val="0"/>
          <w:noProof/>
          <w:u w:val="none"/>
        </w:rPr>
      </w:pPr>
      <w:hyperlink w:anchor="_Toc25262174" w:history="1">
        <w:r w:rsidRPr="002100F1">
          <w:rPr>
            <w:rStyle w:val="Hyperlink"/>
            <w:noProof/>
          </w:rPr>
          <w:t>5.</w:t>
        </w:r>
        <w:r>
          <w:rPr>
            <w:rFonts w:eastAsiaTheme="minorEastAsia" w:cstheme="minorBidi"/>
            <w:b w:val="0"/>
            <w:bCs w:val="0"/>
            <w:caps w:val="0"/>
            <w:noProof/>
            <w:u w:val="none"/>
          </w:rPr>
          <w:tab/>
        </w:r>
        <w:r w:rsidRPr="002100F1">
          <w:rPr>
            <w:rStyle w:val="Hyperlink"/>
            <w:noProof/>
          </w:rPr>
          <w:t>SERVICE CHANGE IN 2020-23</w:t>
        </w:r>
        <w:r>
          <w:rPr>
            <w:noProof/>
            <w:webHidden/>
          </w:rPr>
          <w:tab/>
        </w:r>
        <w:r>
          <w:rPr>
            <w:noProof/>
            <w:webHidden/>
          </w:rPr>
          <w:fldChar w:fldCharType="begin"/>
        </w:r>
        <w:r>
          <w:rPr>
            <w:noProof/>
            <w:webHidden/>
          </w:rPr>
          <w:instrText xml:space="preserve"> PAGEREF _Toc25262174 \h </w:instrText>
        </w:r>
        <w:r>
          <w:rPr>
            <w:noProof/>
            <w:webHidden/>
          </w:rPr>
        </w:r>
        <w:r>
          <w:rPr>
            <w:noProof/>
            <w:webHidden/>
          </w:rPr>
          <w:fldChar w:fldCharType="separate"/>
        </w:r>
        <w:r>
          <w:rPr>
            <w:noProof/>
            <w:webHidden/>
          </w:rPr>
          <w:t>28</w:t>
        </w:r>
        <w:r>
          <w:rPr>
            <w:noProof/>
            <w:webHidden/>
          </w:rPr>
          <w:fldChar w:fldCharType="end"/>
        </w:r>
      </w:hyperlink>
    </w:p>
    <w:p w14:paraId="6D61489D" w14:textId="77777777" w:rsidR="006F090B" w:rsidRDefault="006F090B">
      <w:pPr>
        <w:pStyle w:val="TOC2"/>
        <w:tabs>
          <w:tab w:val="left" w:pos="502"/>
          <w:tab w:val="right" w:pos="9968"/>
        </w:tabs>
        <w:rPr>
          <w:rFonts w:eastAsiaTheme="minorEastAsia" w:cstheme="minorBidi"/>
          <w:b w:val="0"/>
          <w:bCs w:val="0"/>
          <w:smallCaps w:val="0"/>
          <w:noProof/>
        </w:rPr>
      </w:pPr>
      <w:hyperlink w:anchor="_Toc25262175" w:history="1">
        <w:r w:rsidRPr="002100F1">
          <w:rPr>
            <w:rStyle w:val="Hyperlink"/>
            <w:noProof/>
          </w:rPr>
          <w:t>5.1</w:t>
        </w:r>
        <w:r>
          <w:rPr>
            <w:rFonts w:eastAsiaTheme="minorEastAsia" w:cstheme="minorBidi"/>
            <w:b w:val="0"/>
            <w:bCs w:val="0"/>
            <w:smallCaps w:val="0"/>
            <w:noProof/>
          </w:rPr>
          <w:tab/>
        </w:r>
        <w:r w:rsidRPr="002100F1">
          <w:rPr>
            <w:rStyle w:val="Hyperlink"/>
            <w:noProof/>
          </w:rPr>
          <w:t>Well-being – Self Care and Supported Self Care</w:t>
        </w:r>
        <w:r>
          <w:rPr>
            <w:noProof/>
            <w:webHidden/>
          </w:rPr>
          <w:tab/>
        </w:r>
        <w:r>
          <w:rPr>
            <w:noProof/>
            <w:webHidden/>
          </w:rPr>
          <w:fldChar w:fldCharType="begin"/>
        </w:r>
        <w:r>
          <w:rPr>
            <w:noProof/>
            <w:webHidden/>
          </w:rPr>
          <w:instrText xml:space="preserve"> PAGEREF _Toc25262175 \h </w:instrText>
        </w:r>
        <w:r>
          <w:rPr>
            <w:noProof/>
            <w:webHidden/>
          </w:rPr>
        </w:r>
        <w:r>
          <w:rPr>
            <w:noProof/>
            <w:webHidden/>
          </w:rPr>
          <w:fldChar w:fldCharType="separate"/>
        </w:r>
        <w:r>
          <w:rPr>
            <w:noProof/>
            <w:webHidden/>
          </w:rPr>
          <w:t>28</w:t>
        </w:r>
        <w:r>
          <w:rPr>
            <w:noProof/>
            <w:webHidden/>
          </w:rPr>
          <w:fldChar w:fldCharType="end"/>
        </w:r>
      </w:hyperlink>
    </w:p>
    <w:p w14:paraId="482BA8DE" w14:textId="77777777" w:rsidR="006F090B" w:rsidRDefault="006F090B">
      <w:pPr>
        <w:pStyle w:val="TOC2"/>
        <w:tabs>
          <w:tab w:val="left" w:pos="502"/>
          <w:tab w:val="right" w:pos="9968"/>
        </w:tabs>
        <w:rPr>
          <w:rFonts w:eastAsiaTheme="minorEastAsia" w:cstheme="minorBidi"/>
          <w:b w:val="0"/>
          <w:bCs w:val="0"/>
          <w:smallCaps w:val="0"/>
          <w:noProof/>
        </w:rPr>
      </w:pPr>
      <w:hyperlink w:anchor="_Toc25262176" w:history="1">
        <w:r w:rsidRPr="002100F1">
          <w:rPr>
            <w:rStyle w:val="Hyperlink"/>
            <w:noProof/>
          </w:rPr>
          <w:t>5.2</w:t>
        </w:r>
        <w:r>
          <w:rPr>
            <w:rFonts w:eastAsiaTheme="minorEastAsia" w:cstheme="minorBidi"/>
            <w:b w:val="0"/>
            <w:bCs w:val="0"/>
            <w:smallCaps w:val="0"/>
            <w:noProof/>
          </w:rPr>
          <w:tab/>
        </w:r>
        <w:r w:rsidRPr="002100F1">
          <w:rPr>
            <w:rStyle w:val="Hyperlink"/>
            <w:noProof/>
          </w:rPr>
          <w:t>Integrated Community Services</w:t>
        </w:r>
        <w:r>
          <w:rPr>
            <w:noProof/>
            <w:webHidden/>
          </w:rPr>
          <w:tab/>
        </w:r>
        <w:r>
          <w:rPr>
            <w:noProof/>
            <w:webHidden/>
          </w:rPr>
          <w:fldChar w:fldCharType="begin"/>
        </w:r>
        <w:r>
          <w:rPr>
            <w:noProof/>
            <w:webHidden/>
          </w:rPr>
          <w:instrText xml:space="preserve"> PAGEREF _Toc25262176 \h </w:instrText>
        </w:r>
        <w:r>
          <w:rPr>
            <w:noProof/>
            <w:webHidden/>
          </w:rPr>
        </w:r>
        <w:r>
          <w:rPr>
            <w:noProof/>
            <w:webHidden/>
          </w:rPr>
          <w:fldChar w:fldCharType="separate"/>
        </w:r>
        <w:r>
          <w:rPr>
            <w:noProof/>
            <w:webHidden/>
          </w:rPr>
          <w:t>31</w:t>
        </w:r>
        <w:r>
          <w:rPr>
            <w:noProof/>
            <w:webHidden/>
          </w:rPr>
          <w:fldChar w:fldCharType="end"/>
        </w:r>
      </w:hyperlink>
    </w:p>
    <w:p w14:paraId="4DFA33F9" w14:textId="77777777" w:rsidR="006F090B" w:rsidRDefault="006F090B">
      <w:pPr>
        <w:pStyle w:val="TOC2"/>
        <w:tabs>
          <w:tab w:val="left" w:pos="502"/>
          <w:tab w:val="right" w:pos="9968"/>
        </w:tabs>
        <w:rPr>
          <w:rFonts w:eastAsiaTheme="minorEastAsia" w:cstheme="minorBidi"/>
          <w:b w:val="0"/>
          <w:bCs w:val="0"/>
          <w:smallCaps w:val="0"/>
          <w:noProof/>
        </w:rPr>
      </w:pPr>
      <w:hyperlink w:anchor="_Toc25262177" w:history="1">
        <w:r w:rsidRPr="002100F1">
          <w:rPr>
            <w:rStyle w:val="Hyperlink"/>
            <w:noProof/>
          </w:rPr>
          <w:t>5.3</w:t>
        </w:r>
        <w:r>
          <w:rPr>
            <w:rFonts w:eastAsiaTheme="minorEastAsia" w:cstheme="minorBidi"/>
            <w:b w:val="0"/>
            <w:bCs w:val="0"/>
            <w:smallCaps w:val="0"/>
            <w:noProof/>
          </w:rPr>
          <w:tab/>
        </w:r>
        <w:r w:rsidRPr="002100F1">
          <w:rPr>
            <w:rStyle w:val="Hyperlink"/>
            <w:noProof/>
          </w:rPr>
          <w:t>Mental Health, Primary Care and Locality Services</w:t>
        </w:r>
        <w:r>
          <w:rPr>
            <w:noProof/>
            <w:webHidden/>
          </w:rPr>
          <w:tab/>
        </w:r>
        <w:r>
          <w:rPr>
            <w:noProof/>
            <w:webHidden/>
          </w:rPr>
          <w:fldChar w:fldCharType="begin"/>
        </w:r>
        <w:r>
          <w:rPr>
            <w:noProof/>
            <w:webHidden/>
          </w:rPr>
          <w:instrText xml:space="preserve"> PAGEREF _Toc25262177 \h </w:instrText>
        </w:r>
        <w:r>
          <w:rPr>
            <w:noProof/>
            <w:webHidden/>
          </w:rPr>
        </w:r>
        <w:r>
          <w:rPr>
            <w:noProof/>
            <w:webHidden/>
          </w:rPr>
          <w:fldChar w:fldCharType="separate"/>
        </w:r>
        <w:r>
          <w:rPr>
            <w:noProof/>
            <w:webHidden/>
          </w:rPr>
          <w:t>36</w:t>
        </w:r>
        <w:r>
          <w:rPr>
            <w:noProof/>
            <w:webHidden/>
          </w:rPr>
          <w:fldChar w:fldCharType="end"/>
        </w:r>
      </w:hyperlink>
    </w:p>
    <w:p w14:paraId="12A8C3CE" w14:textId="77777777" w:rsidR="006F090B" w:rsidRDefault="006F090B">
      <w:pPr>
        <w:pStyle w:val="TOC2"/>
        <w:tabs>
          <w:tab w:val="left" w:pos="502"/>
          <w:tab w:val="right" w:pos="9968"/>
        </w:tabs>
        <w:rPr>
          <w:rFonts w:eastAsiaTheme="minorEastAsia" w:cstheme="minorBidi"/>
          <w:b w:val="0"/>
          <w:bCs w:val="0"/>
          <w:smallCaps w:val="0"/>
          <w:noProof/>
        </w:rPr>
      </w:pPr>
      <w:hyperlink w:anchor="_Toc25262178" w:history="1">
        <w:r w:rsidRPr="002100F1">
          <w:rPr>
            <w:rStyle w:val="Hyperlink"/>
            <w:noProof/>
          </w:rPr>
          <w:t>5.4</w:t>
        </w:r>
        <w:r>
          <w:rPr>
            <w:rFonts w:eastAsiaTheme="minorEastAsia" w:cstheme="minorBidi"/>
            <w:b w:val="0"/>
            <w:bCs w:val="0"/>
            <w:smallCaps w:val="0"/>
            <w:noProof/>
          </w:rPr>
          <w:tab/>
        </w:r>
        <w:r w:rsidRPr="002100F1">
          <w:rPr>
            <w:rStyle w:val="Hyperlink"/>
            <w:noProof/>
          </w:rPr>
          <w:t>Acute Care – Local and Regional Secondary Care</w:t>
        </w:r>
        <w:r>
          <w:rPr>
            <w:noProof/>
            <w:webHidden/>
          </w:rPr>
          <w:tab/>
        </w:r>
        <w:r>
          <w:rPr>
            <w:noProof/>
            <w:webHidden/>
          </w:rPr>
          <w:fldChar w:fldCharType="begin"/>
        </w:r>
        <w:r>
          <w:rPr>
            <w:noProof/>
            <w:webHidden/>
          </w:rPr>
          <w:instrText xml:space="preserve"> PAGEREF _Toc25262178 \h </w:instrText>
        </w:r>
        <w:r>
          <w:rPr>
            <w:noProof/>
            <w:webHidden/>
          </w:rPr>
        </w:r>
        <w:r>
          <w:rPr>
            <w:noProof/>
            <w:webHidden/>
          </w:rPr>
          <w:fldChar w:fldCharType="separate"/>
        </w:r>
        <w:r>
          <w:rPr>
            <w:noProof/>
            <w:webHidden/>
          </w:rPr>
          <w:t>49</w:t>
        </w:r>
        <w:r>
          <w:rPr>
            <w:noProof/>
            <w:webHidden/>
          </w:rPr>
          <w:fldChar w:fldCharType="end"/>
        </w:r>
      </w:hyperlink>
    </w:p>
    <w:p w14:paraId="6F6C8256" w14:textId="77777777" w:rsidR="006F090B" w:rsidRDefault="006F090B">
      <w:pPr>
        <w:pStyle w:val="TOC2"/>
        <w:tabs>
          <w:tab w:val="left" w:pos="502"/>
          <w:tab w:val="right" w:pos="9968"/>
        </w:tabs>
        <w:rPr>
          <w:rFonts w:eastAsiaTheme="minorEastAsia" w:cstheme="minorBidi"/>
          <w:b w:val="0"/>
          <w:bCs w:val="0"/>
          <w:smallCaps w:val="0"/>
          <w:noProof/>
        </w:rPr>
      </w:pPr>
      <w:hyperlink w:anchor="_Toc25262179" w:history="1">
        <w:r w:rsidRPr="002100F1">
          <w:rPr>
            <w:rStyle w:val="Hyperlink"/>
            <w:noProof/>
          </w:rPr>
          <w:t>5.5</w:t>
        </w:r>
        <w:r>
          <w:rPr>
            <w:rFonts w:eastAsiaTheme="minorEastAsia" w:cstheme="minorBidi"/>
            <w:b w:val="0"/>
            <w:bCs w:val="0"/>
            <w:smallCaps w:val="0"/>
            <w:noProof/>
          </w:rPr>
          <w:tab/>
        </w:r>
        <w:r w:rsidRPr="002100F1">
          <w:rPr>
            <w:rStyle w:val="Hyperlink"/>
            <w:noProof/>
          </w:rPr>
          <w:t>Tertiary Services</w:t>
        </w:r>
        <w:r>
          <w:rPr>
            <w:noProof/>
            <w:webHidden/>
          </w:rPr>
          <w:tab/>
        </w:r>
        <w:r>
          <w:rPr>
            <w:noProof/>
            <w:webHidden/>
          </w:rPr>
          <w:fldChar w:fldCharType="begin"/>
        </w:r>
        <w:r>
          <w:rPr>
            <w:noProof/>
            <w:webHidden/>
          </w:rPr>
          <w:instrText xml:space="preserve"> PAGEREF _Toc25262179 \h </w:instrText>
        </w:r>
        <w:r>
          <w:rPr>
            <w:noProof/>
            <w:webHidden/>
          </w:rPr>
        </w:r>
        <w:r>
          <w:rPr>
            <w:noProof/>
            <w:webHidden/>
          </w:rPr>
          <w:fldChar w:fldCharType="separate"/>
        </w:r>
        <w:r>
          <w:rPr>
            <w:noProof/>
            <w:webHidden/>
          </w:rPr>
          <w:t>67</w:t>
        </w:r>
        <w:r>
          <w:rPr>
            <w:noProof/>
            <w:webHidden/>
          </w:rPr>
          <w:fldChar w:fldCharType="end"/>
        </w:r>
      </w:hyperlink>
    </w:p>
    <w:p w14:paraId="30D1088A" w14:textId="77777777" w:rsidR="006F090B" w:rsidRDefault="006F090B">
      <w:pPr>
        <w:pStyle w:val="TOC2"/>
        <w:tabs>
          <w:tab w:val="left" w:pos="502"/>
          <w:tab w:val="right" w:pos="9968"/>
        </w:tabs>
        <w:rPr>
          <w:rFonts w:eastAsiaTheme="minorEastAsia" w:cstheme="minorBidi"/>
          <w:b w:val="0"/>
          <w:bCs w:val="0"/>
          <w:smallCaps w:val="0"/>
          <w:noProof/>
        </w:rPr>
      </w:pPr>
      <w:hyperlink w:anchor="_Toc25262180" w:history="1">
        <w:r w:rsidRPr="002100F1">
          <w:rPr>
            <w:rStyle w:val="Hyperlink"/>
            <w:noProof/>
          </w:rPr>
          <w:t>5.6</w:t>
        </w:r>
        <w:r>
          <w:rPr>
            <w:rFonts w:eastAsiaTheme="minorEastAsia" w:cstheme="minorBidi"/>
            <w:b w:val="0"/>
            <w:bCs w:val="0"/>
            <w:smallCaps w:val="0"/>
            <w:noProof/>
          </w:rPr>
          <w:tab/>
        </w:r>
        <w:r w:rsidRPr="002100F1">
          <w:rPr>
            <w:rStyle w:val="Hyperlink"/>
            <w:noProof/>
          </w:rPr>
          <w:t>Efficiency Productivity and Value</w:t>
        </w:r>
        <w:r>
          <w:rPr>
            <w:noProof/>
            <w:webHidden/>
          </w:rPr>
          <w:tab/>
        </w:r>
        <w:r>
          <w:rPr>
            <w:noProof/>
            <w:webHidden/>
          </w:rPr>
          <w:fldChar w:fldCharType="begin"/>
        </w:r>
        <w:r>
          <w:rPr>
            <w:noProof/>
            <w:webHidden/>
          </w:rPr>
          <w:instrText xml:space="preserve"> PAGEREF _Toc25262180 \h </w:instrText>
        </w:r>
        <w:r>
          <w:rPr>
            <w:noProof/>
            <w:webHidden/>
          </w:rPr>
        </w:r>
        <w:r>
          <w:rPr>
            <w:noProof/>
            <w:webHidden/>
          </w:rPr>
          <w:fldChar w:fldCharType="separate"/>
        </w:r>
        <w:r>
          <w:rPr>
            <w:noProof/>
            <w:webHidden/>
          </w:rPr>
          <w:t>67</w:t>
        </w:r>
        <w:r>
          <w:rPr>
            <w:noProof/>
            <w:webHidden/>
          </w:rPr>
          <w:fldChar w:fldCharType="end"/>
        </w:r>
      </w:hyperlink>
    </w:p>
    <w:p w14:paraId="5E41742B" w14:textId="77777777" w:rsidR="006F090B" w:rsidRDefault="006F090B">
      <w:pPr>
        <w:pStyle w:val="TOC2"/>
        <w:tabs>
          <w:tab w:val="left" w:pos="502"/>
          <w:tab w:val="right" w:pos="9968"/>
        </w:tabs>
        <w:rPr>
          <w:rFonts w:eastAsiaTheme="minorEastAsia" w:cstheme="minorBidi"/>
          <w:b w:val="0"/>
          <w:bCs w:val="0"/>
          <w:smallCaps w:val="0"/>
          <w:noProof/>
        </w:rPr>
      </w:pPr>
      <w:hyperlink w:anchor="_Toc25262181" w:history="1">
        <w:r w:rsidRPr="002100F1">
          <w:rPr>
            <w:rStyle w:val="Hyperlink"/>
            <w:noProof/>
          </w:rPr>
          <w:t>5.7</w:t>
        </w:r>
        <w:r>
          <w:rPr>
            <w:rFonts w:eastAsiaTheme="minorEastAsia" w:cstheme="minorBidi"/>
            <w:b w:val="0"/>
            <w:bCs w:val="0"/>
            <w:smallCaps w:val="0"/>
            <w:noProof/>
          </w:rPr>
          <w:tab/>
        </w:r>
        <w:r w:rsidRPr="002100F1">
          <w:rPr>
            <w:rStyle w:val="Hyperlink"/>
            <w:noProof/>
          </w:rPr>
          <w:t>Performance and Information</w:t>
        </w:r>
        <w:r>
          <w:rPr>
            <w:noProof/>
            <w:webHidden/>
          </w:rPr>
          <w:tab/>
        </w:r>
        <w:r>
          <w:rPr>
            <w:noProof/>
            <w:webHidden/>
          </w:rPr>
          <w:fldChar w:fldCharType="begin"/>
        </w:r>
        <w:r>
          <w:rPr>
            <w:noProof/>
            <w:webHidden/>
          </w:rPr>
          <w:instrText xml:space="preserve"> PAGEREF _Toc25262181 \h </w:instrText>
        </w:r>
        <w:r>
          <w:rPr>
            <w:noProof/>
            <w:webHidden/>
          </w:rPr>
        </w:r>
        <w:r>
          <w:rPr>
            <w:noProof/>
            <w:webHidden/>
          </w:rPr>
          <w:fldChar w:fldCharType="separate"/>
        </w:r>
        <w:r>
          <w:rPr>
            <w:noProof/>
            <w:webHidden/>
          </w:rPr>
          <w:t>68</w:t>
        </w:r>
        <w:r>
          <w:rPr>
            <w:noProof/>
            <w:webHidden/>
          </w:rPr>
          <w:fldChar w:fldCharType="end"/>
        </w:r>
      </w:hyperlink>
    </w:p>
    <w:p w14:paraId="10126DE4" w14:textId="77777777" w:rsidR="006F090B" w:rsidRDefault="006F090B">
      <w:pPr>
        <w:pStyle w:val="TOC2"/>
        <w:tabs>
          <w:tab w:val="left" w:pos="502"/>
          <w:tab w:val="right" w:pos="9968"/>
        </w:tabs>
        <w:rPr>
          <w:rFonts w:eastAsiaTheme="minorEastAsia" w:cstheme="minorBidi"/>
          <w:b w:val="0"/>
          <w:bCs w:val="0"/>
          <w:smallCaps w:val="0"/>
          <w:noProof/>
        </w:rPr>
      </w:pPr>
      <w:hyperlink w:anchor="_Toc25262182" w:history="1">
        <w:r w:rsidRPr="002100F1">
          <w:rPr>
            <w:rStyle w:val="Hyperlink"/>
            <w:noProof/>
          </w:rPr>
          <w:t>5.8</w:t>
        </w:r>
        <w:r>
          <w:rPr>
            <w:rFonts w:eastAsiaTheme="minorEastAsia" w:cstheme="minorBidi"/>
            <w:b w:val="0"/>
            <w:bCs w:val="0"/>
            <w:smallCaps w:val="0"/>
            <w:noProof/>
          </w:rPr>
          <w:tab/>
        </w:r>
        <w:r w:rsidRPr="002100F1">
          <w:rPr>
            <w:rStyle w:val="Hyperlink"/>
            <w:noProof/>
          </w:rPr>
          <w:t>Ensuring Integration with Our Partners’ Plans</w:t>
        </w:r>
        <w:r>
          <w:rPr>
            <w:noProof/>
            <w:webHidden/>
          </w:rPr>
          <w:tab/>
        </w:r>
        <w:r>
          <w:rPr>
            <w:noProof/>
            <w:webHidden/>
          </w:rPr>
          <w:fldChar w:fldCharType="begin"/>
        </w:r>
        <w:r>
          <w:rPr>
            <w:noProof/>
            <w:webHidden/>
          </w:rPr>
          <w:instrText xml:space="preserve"> PAGEREF _Toc25262182 \h </w:instrText>
        </w:r>
        <w:r>
          <w:rPr>
            <w:noProof/>
            <w:webHidden/>
          </w:rPr>
        </w:r>
        <w:r>
          <w:rPr>
            <w:noProof/>
            <w:webHidden/>
          </w:rPr>
          <w:fldChar w:fldCharType="separate"/>
        </w:r>
        <w:r>
          <w:rPr>
            <w:noProof/>
            <w:webHidden/>
          </w:rPr>
          <w:t>69</w:t>
        </w:r>
        <w:r>
          <w:rPr>
            <w:noProof/>
            <w:webHidden/>
          </w:rPr>
          <w:fldChar w:fldCharType="end"/>
        </w:r>
      </w:hyperlink>
    </w:p>
    <w:p w14:paraId="2E0E7642" w14:textId="77777777" w:rsidR="006F090B" w:rsidRDefault="006F090B">
      <w:pPr>
        <w:pStyle w:val="TOC1"/>
        <w:tabs>
          <w:tab w:val="left" w:pos="390"/>
          <w:tab w:val="right" w:pos="9968"/>
        </w:tabs>
        <w:rPr>
          <w:rFonts w:eastAsiaTheme="minorEastAsia" w:cstheme="minorBidi"/>
          <w:b w:val="0"/>
          <w:bCs w:val="0"/>
          <w:caps w:val="0"/>
          <w:noProof/>
          <w:u w:val="none"/>
        </w:rPr>
      </w:pPr>
      <w:hyperlink w:anchor="_Toc25262183" w:history="1">
        <w:r w:rsidRPr="002100F1">
          <w:rPr>
            <w:rStyle w:val="Hyperlink"/>
            <w:noProof/>
          </w:rPr>
          <w:t>6.</w:t>
        </w:r>
        <w:r>
          <w:rPr>
            <w:rFonts w:eastAsiaTheme="minorEastAsia" w:cstheme="minorBidi"/>
            <w:b w:val="0"/>
            <w:bCs w:val="0"/>
            <w:caps w:val="0"/>
            <w:noProof/>
            <w:u w:val="none"/>
          </w:rPr>
          <w:tab/>
        </w:r>
        <w:r w:rsidRPr="002100F1">
          <w:rPr>
            <w:rStyle w:val="Hyperlink"/>
            <w:noProof/>
          </w:rPr>
          <w:t>WORKFORCE AND ORGANISATIONAL DEVELOPMENT</w:t>
        </w:r>
        <w:r>
          <w:rPr>
            <w:noProof/>
            <w:webHidden/>
          </w:rPr>
          <w:tab/>
        </w:r>
        <w:r>
          <w:rPr>
            <w:noProof/>
            <w:webHidden/>
          </w:rPr>
          <w:fldChar w:fldCharType="begin"/>
        </w:r>
        <w:r>
          <w:rPr>
            <w:noProof/>
            <w:webHidden/>
          </w:rPr>
          <w:instrText xml:space="preserve"> PAGEREF _Toc25262183 \h </w:instrText>
        </w:r>
        <w:r>
          <w:rPr>
            <w:noProof/>
            <w:webHidden/>
          </w:rPr>
        </w:r>
        <w:r>
          <w:rPr>
            <w:noProof/>
            <w:webHidden/>
          </w:rPr>
          <w:fldChar w:fldCharType="separate"/>
        </w:r>
        <w:r>
          <w:rPr>
            <w:noProof/>
            <w:webHidden/>
          </w:rPr>
          <w:t>72</w:t>
        </w:r>
        <w:r>
          <w:rPr>
            <w:noProof/>
            <w:webHidden/>
          </w:rPr>
          <w:fldChar w:fldCharType="end"/>
        </w:r>
      </w:hyperlink>
    </w:p>
    <w:p w14:paraId="7BDB7ED1" w14:textId="77777777" w:rsidR="006F090B" w:rsidRDefault="006F090B">
      <w:pPr>
        <w:pStyle w:val="TOC2"/>
        <w:tabs>
          <w:tab w:val="left" w:pos="502"/>
          <w:tab w:val="right" w:pos="9968"/>
        </w:tabs>
        <w:rPr>
          <w:rFonts w:eastAsiaTheme="minorEastAsia" w:cstheme="minorBidi"/>
          <w:b w:val="0"/>
          <w:bCs w:val="0"/>
          <w:smallCaps w:val="0"/>
          <w:noProof/>
        </w:rPr>
      </w:pPr>
      <w:hyperlink w:anchor="_Toc25262184" w:history="1">
        <w:r w:rsidRPr="002100F1">
          <w:rPr>
            <w:rStyle w:val="Hyperlink"/>
            <w:noProof/>
          </w:rPr>
          <w:t>6.1</w:t>
        </w:r>
        <w:r>
          <w:rPr>
            <w:rFonts w:eastAsiaTheme="minorEastAsia" w:cstheme="minorBidi"/>
            <w:b w:val="0"/>
            <w:bCs w:val="0"/>
            <w:smallCaps w:val="0"/>
            <w:noProof/>
          </w:rPr>
          <w:tab/>
        </w:r>
        <w:r w:rsidRPr="002100F1">
          <w:rPr>
            <w:rStyle w:val="Hyperlink"/>
            <w:noProof/>
          </w:rPr>
          <w:t>Organisation Development</w:t>
        </w:r>
        <w:r>
          <w:rPr>
            <w:noProof/>
            <w:webHidden/>
          </w:rPr>
          <w:tab/>
        </w:r>
        <w:r>
          <w:rPr>
            <w:noProof/>
            <w:webHidden/>
          </w:rPr>
          <w:fldChar w:fldCharType="begin"/>
        </w:r>
        <w:r>
          <w:rPr>
            <w:noProof/>
            <w:webHidden/>
          </w:rPr>
          <w:instrText xml:space="preserve"> PAGEREF _Toc25262184 \h </w:instrText>
        </w:r>
        <w:r>
          <w:rPr>
            <w:noProof/>
            <w:webHidden/>
          </w:rPr>
        </w:r>
        <w:r>
          <w:rPr>
            <w:noProof/>
            <w:webHidden/>
          </w:rPr>
          <w:fldChar w:fldCharType="separate"/>
        </w:r>
        <w:r>
          <w:rPr>
            <w:noProof/>
            <w:webHidden/>
          </w:rPr>
          <w:t>73</w:t>
        </w:r>
        <w:r>
          <w:rPr>
            <w:noProof/>
            <w:webHidden/>
          </w:rPr>
          <w:fldChar w:fldCharType="end"/>
        </w:r>
      </w:hyperlink>
    </w:p>
    <w:p w14:paraId="2E9D04A6" w14:textId="77777777" w:rsidR="006F090B" w:rsidRDefault="006F090B">
      <w:pPr>
        <w:pStyle w:val="TOC2"/>
        <w:tabs>
          <w:tab w:val="left" w:pos="502"/>
          <w:tab w:val="right" w:pos="9968"/>
        </w:tabs>
        <w:rPr>
          <w:rFonts w:eastAsiaTheme="minorEastAsia" w:cstheme="minorBidi"/>
          <w:b w:val="0"/>
          <w:bCs w:val="0"/>
          <w:smallCaps w:val="0"/>
          <w:noProof/>
        </w:rPr>
      </w:pPr>
      <w:hyperlink w:anchor="_Toc25262185" w:history="1">
        <w:r w:rsidRPr="002100F1">
          <w:rPr>
            <w:rStyle w:val="Hyperlink"/>
            <w:noProof/>
          </w:rPr>
          <w:t>6.2</w:t>
        </w:r>
        <w:r>
          <w:rPr>
            <w:rFonts w:eastAsiaTheme="minorEastAsia" w:cstheme="minorBidi"/>
            <w:b w:val="0"/>
            <w:bCs w:val="0"/>
            <w:smallCaps w:val="0"/>
            <w:noProof/>
          </w:rPr>
          <w:tab/>
        </w:r>
        <w:r w:rsidRPr="002100F1">
          <w:rPr>
            <w:rStyle w:val="Hyperlink"/>
            <w:noProof/>
          </w:rPr>
          <w:t>Workforce Sustainability</w:t>
        </w:r>
        <w:r>
          <w:rPr>
            <w:noProof/>
            <w:webHidden/>
          </w:rPr>
          <w:tab/>
        </w:r>
        <w:r>
          <w:rPr>
            <w:noProof/>
            <w:webHidden/>
          </w:rPr>
          <w:fldChar w:fldCharType="begin"/>
        </w:r>
        <w:r>
          <w:rPr>
            <w:noProof/>
            <w:webHidden/>
          </w:rPr>
          <w:instrText xml:space="preserve"> PAGEREF _Toc25262185 \h </w:instrText>
        </w:r>
        <w:r>
          <w:rPr>
            <w:noProof/>
            <w:webHidden/>
          </w:rPr>
        </w:r>
        <w:r>
          <w:rPr>
            <w:noProof/>
            <w:webHidden/>
          </w:rPr>
          <w:fldChar w:fldCharType="separate"/>
        </w:r>
        <w:r>
          <w:rPr>
            <w:noProof/>
            <w:webHidden/>
          </w:rPr>
          <w:t>74</w:t>
        </w:r>
        <w:r>
          <w:rPr>
            <w:noProof/>
            <w:webHidden/>
          </w:rPr>
          <w:fldChar w:fldCharType="end"/>
        </w:r>
      </w:hyperlink>
    </w:p>
    <w:p w14:paraId="58C81D5C" w14:textId="77777777" w:rsidR="006F090B" w:rsidRDefault="006F090B">
      <w:pPr>
        <w:pStyle w:val="TOC2"/>
        <w:tabs>
          <w:tab w:val="left" w:pos="502"/>
          <w:tab w:val="right" w:pos="9968"/>
        </w:tabs>
        <w:rPr>
          <w:rFonts w:eastAsiaTheme="minorEastAsia" w:cstheme="minorBidi"/>
          <w:b w:val="0"/>
          <w:bCs w:val="0"/>
          <w:smallCaps w:val="0"/>
          <w:noProof/>
        </w:rPr>
      </w:pPr>
      <w:hyperlink w:anchor="_Toc25262186" w:history="1">
        <w:r w:rsidRPr="002100F1">
          <w:rPr>
            <w:rStyle w:val="Hyperlink"/>
            <w:noProof/>
          </w:rPr>
          <w:t>6.3</w:t>
        </w:r>
        <w:r>
          <w:rPr>
            <w:rFonts w:eastAsiaTheme="minorEastAsia" w:cstheme="minorBidi"/>
            <w:b w:val="0"/>
            <w:bCs w:val="0"/>
            <w:smallCaps w:val="0"/>
            <w:noProof/>
          </w:rPr>
          <w:tab/>
        </w:r>
        <w:r w:rsidRPr="002100F1">
          <w:rPr>
            <w:rStyle w:val="Hyperlink"/>
            <w:noProof/>
          </w:rPr>
          <w:t>Development and Transformation</w:t>
        </w:r>
        <w:r>
          <w:rPr>
            <w:noProof/>
            <w:webHidden/>
          </w:rPr>
          <w:tab/>
        </w:r>
        <w:r>
          <w:rPr>
            <w:noProof/>
            <w:webHidden/>
          </w:rPr>
          <w:fldChar w:fldCharType="begin"/>
        </w:r>
        <w:r>
          <w:rPr>
            <w:noProof/>
            <w:webHidden/>
          </w:rPr>
          <w:instrText xml:space="preserve"> PAGEREF _Toc25262186 \h </w:instrText>
        </w:r>
        <w:r>
          <w:rPr>
            <w:noProof/>
            <w:webHidden/>
          </w:rPr>
        </w:r>
        <w:r>
          <w:rPr>
            <w:noProof/>
            <w:webHidden/>
          </w:rPr>
          <w:fldChar w:fldCharType="separate"/>
        </w:r>
        <w:r>
          <w:rPr>
            <w:noProof/>
            <w:webHidden/>
          </w:rPr>
          <w:t>76</w:t>
        </w:r>
        <w:r>
          <w:rPr>
            <w:noProof/>
            <w:webHidden/>
          </w:rPr>
          <w:fldChar w:fldCharType="end"/>
        </w:r>
      </w:hyperlink>
    </w:p>
    <w:p w14:paraId="101B3016" w14:textId="77777777" w:rsidR="006F090B" w:rsidRDefault="006F090B">
      <w:pPr>
        <w:pStyle w:val="TOC2"/>
        <w:tabs>
          <w:tab w:val="left" w:pos="502"/>
          <w:tab w:val="right" w:pos="9968"/>
        </w:tabs>
        <w:rPr>
          <w:rFonts w:eastAsiaTheme="minorEastAsia" w:cstheme="minorBidi"/>
          <w:b w:val="0"/>
          <w:bCs w:val="0"/>
          <w:smallCaps w:val="0"/>
          <w:noProof/>
        </w:rPr>
      </w:pPr>
      <w:hyperlink w:anchor="_Toc25262187" w:history="1">
        <w:r w:rsidRPr="002100F1">
          <w:rPr>
            <w:rStyle w:val="Hyperlink"/>
            <w:noProof/>
          </w:rPr>
          <w:t>6.4</w:t>
        </w:r>
        <w:r>
          <w:rPr>
            <w:rFonts w:eastAsiaTheme="minorEastAsia" w:cstheme="minorBidi"/>
            <w:b w:val="0"/>
            <w:bCs w:val="0"/>
            <w:smallCaps w:val="0"/>
            <w:noProof/>
          </w:rPr>
          <w:tab/>
        </w:r>
        <w:r w:rsidRPr="002100F1">
          <w:rPr>
            <w:rStyle w:val="Hyperlink"/>
            <w:noProof/>
          </w:rPr>
          <w:t>Wellbeing, diverse and engaged workforce</w:t>
        </w:r>
        <w:r>
          <w:rPr>
            <w:noProof/>
            <w:webHidden/>
          </w:rPr>
          <w:tab/>
        </w:r>
        <w:r>
          <w:rPr>
            <w:noProof/>
            <w:webHidden/>
          </w:rPr>
          <w:fldChar w:fldCharType="begin"/>
        </w:r>
        <w:r>
          <w:rPr>
            <w:noProof/>
            <w:webHidden/>
          </w:rPr>
          <w:instrText xml:space="preserve"> PAGEREF _Toc25262187 \h </w:instrText>
        </w:r>
        <w:r>
          <w:rPr>
            <w:noProof/>
            <w:webHidden/>
          </w:rPr>
        </w:r>
        <w:r>
          <w:rPr>
            <w:noProof/>
            <w:webHidden/>
          </w:rPr>
          <w:fldChar w:fldCharType="separate"/>
        </w:r>
        <w:r>
          <w:rPr>
            <w:noProof/>
            <w:webHidden/>
          </w:rPr>
          <w:t>77</w:t>
        </w:r>
        <w:r>
          <w:rPr>
            <w:noProof/>
            <w:webHidden/>
          </w:rPr>
          <w:fldChar w:fldCharType="end"/>
        </w:r>
      </w:hyperlink>
    </w:p>
    <w:p w14:paraId="7E10716A" w14:textId="77777777" w:rsidR="006F090B" w:rsidRDefault="006F090B">
      <w:pPr>
        <w:pStyle w:val="TOC2"/>
        <w:tabs>
          <w:tab w:val="left" w:pos="502"/>
          <w:tab w:val="right" w:pos="9968"/>
        </w:tabs>
        <w:rPr>
          <w:rFonts w:eastAsiaTheme="minorEastAsia" w:cstheme="minorBidi"/>
          <w:b w:val="0"/>
          <w:bCs w:val="0"/>
          <w:smallCaps w:val="0"/>
          <w:noProof/>
        </w:rPr>
      </w:pPr>
      <w:hyperlink w:anchor="_Toc25262188" w:history="1">
        <w:r w:rsidRPr="002100F1">
          <w:rPr>
            <w:rStyle w:val="Hyperlink"/>
            <w:noProof/>
          </w:rPr>
          <w:t>6.5</w:t>
        </w:r>
        <w:r>
          <w:rPr>
            <w:rFonts w:eastAsiaTheme="minorEastAsia" w:cstheme="minorBidi"/>
            <w:b w:val="0"/>
            <w:bCs w:val="0"/>
            <w:smallCaps w:val="0"/>
            <w:noProof/>
          </w:rPr>
          <w:tab/>
        </w:r>
        <w:r w:rsidRPr="002100F1">
          <w:rPr>
            <w:rStyle w:val="Hyperlink"/>
            <w:noProof/>
          </w:rPr>
          <w:t>Workforce Performance Reporting</w:t>
        </w:r>
        <w:r>
          <w:rPr>
            <w:noProof/>
            <w:webHidden/>
          </w:rPr>
          <w:tab/>
        </w:r>
        <w:r>
          <w:rPr>
            <w:noProof/>
            <w:webHidden/>
          </w:rPr>
          <w:fldChar w:fldCharType="begin"/>
        </w:r>
        <w:r>
          <w:rPr>
            <w:noProof/>
            <w:webHidden/>
          </w:rPr>
          <w:instrText xml:space="preserve"> PAGEREF _Toc25262188 \h </w:instrText>
        </w:r>
        <w:r>
          <w:rPr>
            <w:noProof/>
            <w:webHidden/>
          </w:rPr>
        </w:r>
        <w:r>
          <w:rPr>
            <w:noProof/>
            <w:webHidden/>
          </w:rPr>
          <w:fldChar w:fldCharType="separate"/>
        </w:r>
        <w:r>
          <w:rPr>
            <w:noProof/>
            <w:webHidden/>
          </w:rPr>
          <w:t>80</w:t>
        </w:r>
        <w:r>
          <w:rPr>
            <w:noProof/>
            <w:webHidden/>
          </w:rPr>
          <w:fldChar w:fldCharType="end"/>
        </w:r>
      </w:hyperlink>
    </w:p>
    <w:p w14:paraId="57DBDCE7" w14:textId="77777777" w:rsidR="006F090B" w:rsidRDefault="006F090B">
      <w:pPr>
        <w:pStyle w:val="TOC1"/>
        <w:tabs>
          <w:tab w:val="left" w:pos="390"/>
          <w:tab w:val="right" w:pos="9968"/>
        </w:tabs>
        <w:rPr>
          <w:rFonts w:eastAsiaTheme="minorEastAsia" w:cstheme="minorBidi"/>
          <w:b w:val="0"/>
          <w:bCs w:val="0"/>
          <w:caps w:val="0"/>
          <w:noProof/>
          <w:u w:val="none"/>
        </w:rPr>
      </w:pPr>
      <w:hyperlink w:anchor="_Toc25262189" w:history="1">
        <w:r w:rsidRPr="002100F1">
          <w:rPr>
            <w:rStyle w:val="Hyperlink"/>
            <w:noProof/>
          </w:rPr>
          <w:t>7.</w:t>
        </w:r>
        <w:r>
          <w:rPr>
            <w:rFonts w:eastAsiaTheme="minorEastAsia" w:cstheme="minorBidi"/>
            <w:b w:val="0"/>
            <w:bCs w:val="0"/>
            <w:caps w:val="0"/>
            <w:noProof/>
            <w:u w:val="none"/>
          </w:rPr>
          <w:tab/>
        </w:r>
        <w:r w:rsidRPr="002100F1">
          <w:rPr>
            <w:rStyle w:val="Hyperlink"/>
            <w:noProof/>
          </w:rPr>
          <w:t>FINANCE - 2020/21 to 2022/23</w:t>
        </w:r>
        <w:r>
          <w:rPr>
            <w:noProof/>
            <w:webHidden/>
          </w:rPr>
          <w:tab/>
        </w:r>
        <w:r>
          <w:rPr>
            <w:noProof/>
            <w:webHidden/>
          </w:rPr>
          <w:fldChar w:fldCharType="begin"/>
        </w:r>
        <w:r>
          <w:rPr>
            <w:noProof/>
            <w:webHidden/>
          </w:rPr>
          <w:instrText xml:space="preserve"> PAGEREF _Toc25262189 \h </w:instrText>
        </w:r>
        <w:r>
          <w:rPr>
            <w:noProof/>
            <w:webHidden/>
          </w:rPr>
        </w:r>
        <w:r>
          <w:rPr>
            <w:noProof/>
            <w:webHidden/>
          </w:rPr>
          <w:fldChar w:fldCharType="separate"/>
        </w:r>
        <w:r>
          <w:rPr>
            <w:noProof/>
            <w:webHidden/>
          </w:rPr>
          <w:t>82</w:t>
        </w:r>
        <w:r>
          <w:rPr>
            <w:noProof/>
            <w:webHidden/>
          </w:rPr>
          <w:fldChar w:fldCharType="end"/>
        </w:r>
      </w:hyperlink>
    </w:p>
    <w:p w14:paraId="28B66B40" w14:textId="77777777" w:rsidR="006F090B" w:rsidRDefault="006F090B">
      <w:pPr>
        <w:pStyle w:val="TOC2"/>
        <w:tabs>
          <w:tab w:val="left" w:pos="502"/>
          <w:tab w:val="right" w:pos="9968"/>
        </w:tabs>
        <w:rPr>
          <w:rFonts w:eastAsiaTheme="minorEastAsia" w:cstheme="minorBidi"/>
          <w:b w:val="0"/>
          <w:bCs w:val="0"/>
          <w:smallCaps w:val="0"/>
          <w:noProof/>
        </w:rPr>
      </w:pPr>
      <w:hyperlink w:anchor="_Toc25262190" w:history="1">
        <w:r w:rsidRPr="002100F1">
          <w:rPr>
            <w:rStyle w:val="Hyperlink"/>
            <w:noProof/>
          </w:rPr>
          <w:t>7.1</w:t>
        </w:r>
        <w:r>
          <w:rPr>
            <w:rFonts w:eastAsiaTheme="minorEastAsia" w:cstheme="minorBidi"/>
            <w:b w:val="0"/>
            <w:bCs w:val="0"/>
            <w:smallCaps w:val="0"/>
            <w:noProof/>
          </w:rPr>
          <w:tab/>
        </w:r>
        <w:r w:rsidRPr="002100F1">
          <w:rPr>
            <w:rStyle w:val="Hyperlink"/>
            <w:noProof/>
          </w:rPr>
          <w:t>Statutory Financial Duty</w:t>
        </w:r>
        <w:r>
          <w:rPr>
            <w:noProof/>
            <w:webHidden/>
          </w:rPr>
          <w:tab/>
        </w:r>
        <w:r>
          <w:rPr>
            <w:noProof/>
            <w:webHidden/>
          </w:rPr>
          <w:fldChar w:fldCharType="begin"/>
        </w:r>
        <w:r>
          <w:rPr>
            <w:noProof/>
            <w:webHidden/>
          </w:rPr>
          <w:instrText xml:space="preserve"> PAGEREF _Toc25262190 \h </w:instrText>
        </w:r>
        <w:r>
          <w:rPr>
            <w:noProof/>
            <w:webHidden/>
          </w:rPr>
        </w:r>
        <w:r>
          <w:rPr>
            <w:noProof/>
            <w:webHidden/>
          </w:rPr>
          <w:fldChar w:fldCharType="separate"/>
        </w:r>
        <w:r>
          <w:rPr>
            <w:noProof/>
            <w:webHidden/>
          </w:rPr>
          <w:t>82</w:t>
        </w:r>
        <w:r>
          <w:rPr>
            <w:noProof/>
            <w:webHidden/>
          </w:rPr>
          <w:fldChar w:fldCharType="end"/>
        </w:r>
      </w:hyperlink>
    </w:p>
    <w:p w14:paraId="793D4E36" w14:textId="77777777" w:rsidR="006F090B" w:rsidRDefault="006F090B">
      <w:pPr>
        <w:pStyle w:val="TOC2"/>
        <w:tabs>
          <w:tab w:val="left" w:pos="502"/>
          <w:tab w:val="right" w:pos="9968"/>
        </w:tabs>
        <w:rPr>
          <w:rFonts w:eastAsiaTheme="minorEastAsia" w:cstheme="minorBidi"/>
          <w:b w:val="0"/>
          <w:bCs w:val="0"/>
          <w:smallCaps w:val="0"/>
          <w:noProof/>
        </w:rPr>
      </w:pPr>
      <w:hyperlink w:anchor="_Toc25262191" w:history="1">
        <w:r w:rsidRPr="002100F1">
          <w:rPr>
            <w:rStyle w:val="Hyperlink"/>
            <w:noProof/>
          </w:rPr>
          <w:t>7.2</w:t>
        </w:r>
        <w:r>
          <w:rPr>
            <w:rFonts w:eastAsiaTheme="minorEastAsia" w:cstheme="minorBidi"/>
            <w:b w:val="0"/>
            <w:bCs w:val="0"/>
            <w:smallCaps w:val="0"/>
            <w:noProof/>
          </w:rPr>
          <w:tab/>
        </w:r>
        <w:r w:rsidRPr="002100F1">
          <w:rPr>
            <w:rStyle w:val="Hyperlink"/>
            <w:noProof/>
          </w:rPr>
          <w:t>Update on Financial Performance in 2019/20</w:t>
        </w:r>
        <w:r>
          <w:rPr>
            <w:noProof/>
            <w:webHidden/>
          </w:rPr>
          <w:tab/>
        </w:r>
        <w:r>
          <w:rPr>
            <w:noProof/>
            <w:webHidden/>
          </w:rPr>
          <w:fldChar w:fldCharType="begin"/>
        </w:r>
        <w:r>
          <w:rPr>
            <w:noProof/>
            <w:webHidden/>
          </w:rPr>
          <w:instrText xml:space="preserve"> PAGEREF _Toc25262191 \h </w:instrText>
        </w:r>
        <w:r>
          <w:rPr>
            <w:noProof/>
            <w:webHidden/>
          </w:rPr>
        </w:r>
        <w:r>
          <w:rPr>
            <w:noProof/>
            <w:webHidden/>
          </w:rPr>
          <w:fldChar w:fldCharType="separate"/>
        </w:r>
        <w:r>
          <w:rPr>
            <w:noProof/>
            <w:webHidden/>
          </w:rPr>
          <w:t>82</w:t>
        </w:r>
        <w:r>
          <w:rPr>
            <w:noProof/>
            <w:webHidden/>
          </w:rPr>
          <w:fldChar w:fldCharType="end"/>
        </w:r>
      </w:hyperlink>
    </w:p>
    <w:p w14:paraId="3FEE7743" w14:textId="77777777" w:rsidR="006F090B" w:rsidRDefault="006F090B">
      <w:pPr>
        <w:pStyle w:val="TOC2"/>
        <w:tabs>
          <w:tab w:val="left" w:pos="502"/>
          <w:tab w:val="right" w:pos="9968"/>
        </w:tabs>
        <w:rPr>
          <w:rFonts w:eastAsiaTheme="minorEastAsia" w:cstheme="minorBidi"/>
          <w:b w:val="0"/>
          <w:bCs w:val="0"/>
          <w:smallCaps w:val="0"/>
          <w:noProof/>
        </w:rPr>
      </w:pPr>
      <w:hyperlink w:anchor="_Toc25262192" w:history="1">
        <w:r w:rsidRPr="002100F1">
          <w:rPr>
            <w:rStyle w:val="Hyperlink"/>
            <w:noProof/>
          </w:rPr>
          <w:t>7.3</w:t>
        </w:r>
        <w:r>
          <w:rPr>
            <w:rFonts w:eastAsiaTheme="minorEastAsia" w:cstheme="minorBidi"/>
            <w:b w:val="0"/>
            <w:bCs w:val="0"/>
            <w:smallCaps w:val="0"/>
            <w:noProof/>
          </w:rPr>
          <w:tab/>
        </w:r>
        <w:r w:rsidRPr="002100F1">
          <w:rPr>
            <w:rStyle w:val="Hyperlink"/>
            <w:noProof/>
          </w:rPr>
          <w:t>Overview of the Financial Plan for 2020/21 to 2022/23</w:t>
        </w:r>
        <w:r>
          <w:rPr>
            <w:noProof/>
            <w:webHidden/>
          </w:rPr>
          <w:tab/>
        </w:r>
        <w:r>
          <w:rPr>
            <w:noProof/>
            <w:webHidden/>
          </w:rPr>
          <w:fldChar w:fldCharType="begin"/>
        </w:r>
        <w:r>
          <w:rPr>
            <w:noProof/>
            <w:webHidden/>
          </w:rPr>
          <w:instrText xml:space="preserve"> PAGEREF _Toc25262192 \h </w:instrText>
        </w:r>
        <w:r>
          <w:rPr>
            <w:noProof/>
            <w:webHidden/>
          </w:rPr>
        </w:r>
        <w:r>
          <w:rPr>
            <w:noProof/>
            <w:webHidden/>
          </w:rPr>
          <w:fldChar w:fldCharType="separate"/>
        </w:r>
        <w:r>
          <w:rPr>
            <w:noProof/>
            <w:webHidden/>
          </w:rPr>
          <w:t>82</w:t>
        </w:r>
        <w:r>
          <w:rPr>
            <w:noProof/>
            <w:webHidden/>
          </w:rPr>
          <w:fldChar w:fldCharType="end"/>
        </w:r>
      </w:hyperlink>
    </w:p>
    <w:p w14:paraId="3A6212BE" w14:textId="77777777" w:rsidR="006F090B" w:rsidRDefault="006F090B">
      <w:pPr>
        <w:pStyle w:val="TOC2"/>
        <w:tabs>
          <w:tab w:val="left" w:pos="502"/>
          <w:tab w:val="right" w:pos="9968"/>
        </w:tabs>
        <w:rPr>
          <w:rFonts w:eastAsiaTheme="minorEastAsia" w:cstheme="minorBidi"/>
          <w:b w:val="0"/>
          <w:bCs w:val="0"/>
          <w:smallCaps w:val="0"/>
          <w:noProof/>
        </w:rPr>
      </w:pPr>
      <w:hyperlink w:anchor="_Toc25262193" w:history="1">
        <w:r w:rsidRPr="002100F1">
          <w:rPr>
            <w:rStyle w:val="Hyperlink"/>
            <w:noProof/>
          </w:rPr>
          <w:t>7.4</w:t>
        </w:r>
        <w:r>
          <w:rPr>
            <w:rFonts w:eastAsiaTheme="minorEastAsia" w:cstheme="minorBidi"/>
            <w:b w:val="0"/>
            <w:bCs w:val="0"/>
            <w:smallCaps w:val="0"/>
            <w:noProof/>
          </w:rPr>
          <w:tab/>
        </w:r>
        <w:r w:rsidRPr="002100F1">
          <w:rPr>
            <w:rStyle w:val="Hyperlink"/>
            <w:noProof/>
          </w:rPr>
          <w:t>Income Changes – 2020/21 TO 2022/23</w:t>
        </w:r>
        <w:r>
          <w:rPr>
            <w:noProof/>
            <w:webHidden/>
          </w:rPr>
          <w:tab/>
        </w:r>
        <w:r>
          <w:rPr>
            <w:noProof/>
            <w:webHidden/>
          </w:rPr>
          <w:fldChar w:fldCharType="begin"/>
        </w:r>
        <w:r>
          <w:rPr>
            <w:noProof/>
            <w:webHidden/>
          </w:rPr>
          <w:instrText xml:space="preserve"> PAGEREF _Toc25262193 \h </w:instrText>
        </w:r>
        <w:r>
          <w:rPr>
            <w:noProof/>
            <w:webHidden/>
          </w:rPr>
        </w:r>
        <w:r>
          <w:rPr>
            <w:noProof/>
            <w:webHidden/>
          </w:rPr>
          <w:fldChar w:fldCharType="separate"/>
        </w:r>
        <w:r>
          <w:rPr>
            <w:noProof/>
            <w:webHidden/>
          </w:rPr>
          <w:t>85</w:t>
        </w:r>
        <w:r>
          <w:rPr>
            <w:noProof/>
            <w:webHidden/>
          </w:rPr>
          <w:fldChar w:fldCharType="end"/>
        </w:r>
      </w:hyperlink>
    </w:p>
    <w:p w14:paraId="5F75CED9" w14:textId="77777777" w:rsidR="006F090B" w:rsidRDefault="006F090B">
      <w:pPr>
        <w:pStyle w:val="TOC2"/>
        <w:tabs>
          <w:tab w:val="left" w:pos="502"/>
          <w:tab w:val="right" w:pos="9968"/>
        </w:tabs>
        <w:rPr>
          <w:rFonts w:eastAsiaTheme="minorEastAsia" w:cstheme="minorBidi"/>
          <w:b w:val="0"/>
          <w:bCs w:val="0"/>
          <w:smallCaps w:val="0"/>
          <w:noProof/>
        </w:rPr>
      </w:pPr>
      <w:hyperlink w:anchor="_Toc25262194" w:history="1">
        <w:r w:rsidRPr="002100F1">
          <w:rPr>
            <w:rStyle w:val="Hyperlink"/>
            <w:noProof/>
          </w:rPr>
          <w:t>7.5</w:t>
        </w:r>
        <w:r>
          <w:rPr>
            <w:rFonts w:eastAsiaTheme="minorEastAsia" w:cstheme="minorBidi"/>
            <w:b w:val="0"/>
            <w:bCs w:val="0"/>
            <w:smallCaps w:val="0"/>
            <w:noProof/>
          </w:rPr>
          <w:tab/>
        </w:r>
        <w:r w:rsidRPr="002100F1">
          <w:rPr>
            <w:rStyle w:val="Hyperlink"/>
            <w:noProof/>
          </w:rPr>
          <w:t>Inflationary, Service Demand and Cost Pressures</w:t>
        </w:r>
        <w:r>
          <w:rPr>
            <w:noProof/>
            <w:webHidden/>
          </w:rPr>
          <w:tab/>
        </w:r>
        <w:r>
          <w:rPr>
            <w:noProof/>
            <w:webHidden/>
          </w:rPr>
          <w:fldChar w:fldCharType="begin"/>
        </w:r>
        <w:r>
          <w:rPr>
            <w:noProof/>
            <w:webHidden/>
          </w:rPr>
          <w:instrText xml:space="preserve"> PAGEREF _Toc25262194 \h </w:instrText>
        </w:r>
        <w:r>
          <w:rPr>
            <w:noProof/>
            <w:webHidden/>
          </w:rPr>
        </w:r>
        <w:r>
          <w:rPr>
            <w:noProof/>
            <w:webHidden/>
          </w:rPr>
          <w:fldChar w:fldCharType="separate"/>
        </w:r>
        <w:r>
          <w:rPr>
            <w:noProof/>
            <w:webHidden/>
          </w:rPr>
          <w:t>87</w:t>
        </w:r>
        <w:r>
          <w:rPr>
            <w:noProof/>
            <w:webHidden/>
          </w:rPr>
          <w:fldChar w:fldCharType="end"/>
        </w:r>
      </w:hyperlink>
    </w:p>
    <w:p w14:paraId="458D5424" w14:textId="77777777" w:rsidR="006F090B" w:rsidRDefault="006F090B">
      <w:pPr>
        <w:pStyle w:val="TOC2"/>
        <w:tabs>
          <w:tab w:val="left" w:pos="502"/>
          <w:tab w:val="right" w:pos="9968"/>
        </w:tabs>
        <w:rPr>
          <w:rFonts w:eastAsiaTheme="minorEastAsia" w:cstheme="minorBidi"/>
          <w:b w:val="0"/>
          <w:bCs w:val="0"/>
          <w:smallCaps w:val="0"/>
          <w:noProof/>
        </w:rPr>
      </w:pPr>
      <w:hyperlink w:anchor="_Toc25262195" w:history="1">
        <w:r w:rsidRPr="002100F1">
          <w:rPr>
            <w:rStyle w:val="Hyperlink"/>
            <w:noProof/>
          </w:rPr>
          <w:t>7.6</w:t>
        </w:r>
        <w:r>
          <w:rPr>
            <w:rFonts w:eastAsiaTheme="minorEastAsia" w:cstheme="minorBidi"/>
            <w:b w:val="0"/>
            <w:bCs w:val="0"/>
            <w:smallCaps w:val="0"/>
            <w:noProof/>
          </w:rPr>
          <w:tab/>
        </w:r>
        <w:r w:rsidRPr="002100F1">
          <w:rPr>
            <w:rStyle w:val="Hyperlink"/>
            <w:noProof/>
          </w:rPr>
          <w:t>Investment in Service Improvement</w:t>
        </w:r>
        <w:r>
          <w:rPr>
            <w:noProof/>
            <w:webHidden/>
          </w:rPr>
          <w:tab/>
        </w:r>
        <w:r>
          <w:rPr>
            <w:noProof/>
            <w:webHidden/>
          </w:rPr>
          <w:fldChar w:fldCharType="begin"/>
        </w:r>
        <w:r>
          <w:rPr>
            <w:noProof/>
            <w:webHidden/>
          </w:rPr>
          <w:instrText xml:space="preserve"> PAGEREF _Toc25262195 \h </w:instrText>
        </w:r>
        <w:r>
          <w:rPr>
            <w:noProof/>
            <w:webHidden/>
          </w:rPr>
        </w:r>
        <w:r>
          <w:rPr>
            <w:noProof/>
            <w:webHidden/>
          </w:rPr>
          <w:fldChar w:fldCharType="separate"/>
        </w:r>
        <w:r>
          <w:rPr>
            <w:noProof/>
            <w:webHidden/>
          </w:rPr>
          <w:t>90</w:t>
        </w:r>
        <w:r>
          <w:rPr>
            <w:noProof/>
            <w:webHidden/>
          </w:rPr>
          <w:fldChar w:fldCharType="end"/>
        </w:r>
      </w:hyperlink>
    </w:p>
    <w:p w14:paraId="59E1C5D7" w14:textId="77777777" w:rsidR="006F090B" w:rsidRDefault="006F090B">
      <w:pPr>
        <w:pStyle w:val="TOC2"/>
        <w:tabs>
          <w:tab w:val="left" w:pos="502"/>
          <w:tab w:val="right" w:pos="9968"/>
        </w:tabs>
        <w:rPr>
          <w:rFonts w:eastAsiaTheme="minorEastAsia" w:cstheme="minorBidi"/>
          <w:b w:val="0"/>
          <w:bCs w:val="0"/>
          <w:smallCaps w:val="0"/>
          <w:noProof/>
        </w:rPr>
      </w:pPr>
      <w:hyperlink w:anchor="_Toc25262196" w:history="1">
        <w:r w:rsidRPr="002100F1">
          <w:rPr>
            <w:rStyle w:val="Hyperlink"/>
            <w:noProof/>
          </w:rPr>
          <w:t>7.7</w:t>
        </w:r>
        <w:r>
          <w:rPr>
            <w:rFonts w:eastAsiaTheme="minorEastAsia" w:cstheme="minorBidi"/>
            <w:b w:val="0"/>
            <w:bCs w:val="0"/>
            <w:smallCaps w:val="0"/>
            <w:noProof/>
          </w:rPr>
          <w:tab/>
        </w:r>
        <w:r w:rsidRPr="002100F1">
          <w:rPr>
            <w:rStyle w:val="Hyperlink"/>
            <w:noProof/>
          </w:rPr>
          <w:t>Non Recurring Costs and Benefits</w:t>
        </w:r>
        <w:r>
          <w:rPr>
            <w:noProof/>
            <w:webHidden/>
          </w:rPr>
          <w:tab/>
        </w:r>
        <w:r>
          <w:rPr>
            <w:noProof/>
            <w:webHidden/>
          </w:rPr>
          <w:fldChar w:fldCharType="begin"/>
        </w:r>
        <w:r>
          <w:rPr>
            <w:noProof/>
            <w:webHidden/>
          </w:rPr>
          <w:instrText xml:space="preserve"> PAGEREF _Toc25262196 \h </w:instrText>
        </w:r>
        <w:r>
          <w:rPr>
            <w:noProof/>
            <w:webHidden/>
          </w:rPr>
        </w:r>
        <w:r>
          <w:rPr>
            <w:noProof/>
            <w:webHidden/>
          </w:rPr>
          <w:fldChar w:fldCharType="separate"/>
        </w:r>
        <w:r>
          <w:rPr>
            <w:noProof/>
            <w:webHidden/>
          </w:rPr>
          <w:t>91</w:t>
        </w:r>
        <w:r>
          <w:rPr>
            <w:noProof/>
            <w:webHidden/>
          </w:rPr>
          <w:fldChar w:fldCharType="end"/>
        </w:r>
      </w:hyperlink>
    </w:p>
    <w:p w14:paraId="456F9E00" w14:textId="77777777" w:rsidR="006F090B" w:rsidRDefault="006F090B">
      <w:pPr>
        <w:pStyle w:val="TOC2"/>
        <w:tabs>
          <w:tab w:val="left" w:pos="502"/>
          <w:tab w:val="right" w:pos="9968"/>
        </w:tabs>
        <w:rPr>
          <w:rFonts w:eastAsiaTheme="minorEastAsia" w:cstheme="minorBidi"/>
          <w:b w:val="0"/>
          <w:bCs w:val="0"/>
          <w:smallCaps w:val="0"/>
          <w:noProof/>
        </w:rPr>
      </w:pPr>
      <w:hyperlink w:anchor="_Toc25262197" w:history="1">
        <w:r w:rsidRPr="002100F1">
          <w:rPr>
            <w:rStyle w:val="Hyperlink"/>
            <w:noProof/>
          </w:rPr>
          <w:t>7.8</w:t>
        </w:r>
        <w:r>
          <w:rPr>
            <w:rFonts w:eastAsiaTheme="minorEastAsia" w:cstheme="minorBidi"/>
            <w:b w:val="0"/>
            <w:bCs w:val="0"/>
            <w:smallCaps w:val="0"/>
            <w:noProof/>
          </w:rPr>
          <w:tab/>
        </w:r>
        <w:r w:rsidRPr="002100F1">
          <w:rPr>
            <w:rStyle w:val="Hyperlink"/>
            <w:noProof/>
          </w:rPr>
          <w:t>Medium Term Savings Plan 2020/21 to 2022/23</w:t>
        </w:r>
        <w:r>
          <w:rPr>
            <w:noProof/>
            <w:webHidden/>
          </w:rPr>
          <w:tab/>
        </w:r>
        <w:r>
          <w:rPr>
            <w:noProof/>
            <w:webHidden/>
          </w:rPr>
          <w:fldChar w:fldCharType="begin"/>
        </w:r>
        <w:r>
          <w:rPr>
            <w:noProof/>
            <w:webHidden/>
          </w:rPr>
          <w:instrText xml:space="preserve"> PAGEREF _Toc25262197 \h </w:instrText>
        </w:r>
        <w:r>
          <w:rPr>
            <w:noProof/>
            <w:webHidden/>
          </w:rPr>
        </w:r>
        <w:r>
          <w:rPr>
            <w:noProof/>
            <w:webHidden/>
          </w:rPr>
          <w:fldChar w:fldCharType="separate"/>
        </w:r>
        <w:r>
          <w:rPr>
            <w:noProof/>
            <w:webHidden/>
          </w:rPr>
          <w:t>91</w:t>
        </w:r>
        <w:r>
          <w:rPr>
            <w:noProof/>
            <w:webHidden/>
          </w:rPr>
          <w:fldChar w:fldCharType="end"/>
        </w:r>
      </w:hyperlink>
    </w:p>
    <w:p w14:paraId="660D381F" w14:textId="77777777" w:rsidR="006F090B" w:rsidRDefault="006F090B">
      <w:pPr>
        <w:pStyle w:val="TOC2"/>
        <w:tabs>
          <w:tab w:val="left" w:pos="502"/>
          <w:tab w:val="right" w:pos="9968"/>
        </w:tabs>
        <w:rPr>
          <w:rFonts w:eastAsiaTheme="minorEastAsia" w:cstheme="minorBidi"/>
          <w:b w:val="0"/>
          <w:bCs w:val="0"/>
          <w:smallCaps w:val="0"/>
          <w:noProof/>
        </w:rPr>
      </w:pPr>
      <w:hyperlink w:anchor="_Toc25262198" w:history="1">
        <w:r w:rsidRPr="002100F1">
          <w:rPr>
            <w:rStyle w:val="Hyperlink"/>
            <w:noProof/>
          </w:rPr>
          <w:t>7.9</w:t>
        </w:r>
        <w:r>
          <w:rPr>
            <w:rFonts w:eastAsiaTheme="minorEastAsia" w:cstheme="minorBidi"/>
            <w:b w:val="0"/>
            <w:bCs w:val="0"/>
            <w:smallCaps w:val="0"/>
            <w:noProof/>
          </w:rPr>
          <w:tab/>
        </w:r>
        <w:r w:rsidRPr="002100F1">
          <w:rPr>
            <w:rStyle w:val="Hyperlink"/>
            <w:noProof/>
          </w:rPr>
          <w:t>Key Risks to the 2020/21 Financial Plan</w:t>
        </w:r>
        <w:r>
          <w:rPr>
            <w:noProof/>
            <w:webHidden/>
          </w:rPr>
          <w:tab/>
        </w:r>
        <w:r>
          <w:rPr>
            <w:noProof/>
            <w:webHidden/>
          </w:rPr>
          <w:fldChar w:fldCharType="begin"/>
        </w:r>
        <w:r>
          <w:rPr>
            <w:noProof/>
            <w:webHidden/>
          </w:rPr>
          <w:instrText xml:space="preserve"> PAGEREF _Toc25262198 \h </w:instrText>
        </w:r>
        <w:r>
          <w:rPr>
            <w:noProof/>
            <w:webHidden/>
          </w:rPr>
        </w:r>
        <w:r>
          <w:rPr>
            <w:noProof/>
            <w:webHidden/>
          </w:rPr>
          <w:fldChar w:fldCharType="separate"/>
        </w:r>
        <w:r>
          <w:rPr>
            <w:noProof/>
            <w:webHidden/>
          </w:rPr>
          <w:t>91</w:t>
        </w:r>
        <w:r>
          <w:rPr>
            <w:noProof/>
            <w:webHidden/>
          </w:rPr>
          <w:fldChar w:fldCharType="end"/>
        </w:r>
      </w:hyperlink>
    </w:p>
    <w:p w14:paraId="242EDA1A" w14:textId="77777777" w:rsidR="006F090B" w:rsidRDefault="006F090B">
      <w:pPr>
        <w:pStyle w:val="TOC2"/>
        <w:tabs>
          <w:tab w:val="left" w:pos="613"/>
          <w:tab w:val="right" w:pos="9968"/>
        </w:tabs>
        <w:rPr>
          <w:rFonts w:eastAsiaTheme="minorEastAsia" w:cstheme="minorBidi"/>
          <w:b w:val="0"/>
          <w:bCs w:val="0"/>
          <w:smallCaps w:val="0"/>
          <w:noProof/>
        </w:rPr>
      </w:pPr>
      <w:hyperlink w:anchor="_Toc25262199" w:history="1">
        <w:r w:rsidRPr="002100F1">
          <w:rPr>
            <w:rStyle w:val="Hyperlink"/>
            <w:noProof/>
          </w:rPr>
          <w:t>7.10</w:t>
        </w:r>
        <w:r>
          <w:rPr>
            <w:rFonts w:eastAsiaTheme="minorEastAsia" w:cstheme="minorBidi"/>
            <w:b w:val="0"/>
            <w:bCs w:val="0"/>
            <w:smallCaps w:val="0"/>
            <w:noProof/>
          </w:rPr>
          <w:tab/>
        </w:r>
        <w:r w:rsidRPr="002100F1">
          <w:rPr>
            <w:rStyle w:val="Hyperlink"/>
            <w:noProof/>
          </w:rPr>
          <w:t>Key Risks to the Financial Plan in Years 2 and 3</w:t>
        </w:r>
        <w:r>
          <w:rPr>
            <w:noProof/>
            <w:webHidden/>
          </w:rPr>
          <w:tab/>
        </w:r>
        <w:r>
          <w:rPr>
            <w:noProof/>
            <w:webHidden/>
          </w:rPr>
          <w:fldChar w:fldCharType="begin"/>
        </w:r>
        <w:r>
          <w:rPr>
            <w:noProof/>
            <w:webHidden/>
          </w:rPr>
          <w:instrText xml:space="preserve"> PAGEREF _Toc25262199 \h </w:instrText>
        </w:r>
        <w:r>
          <w:rPr>
            <w:noProof/>
            <w:webHidden/>
          </w:rPr>
        </w:r>
        <w:r>
          <w:rPr>
            <w:noProof/>
            <w:webHidden/>
          </w:rPr>
          <w:fldChar w:fldCharType="separate"/>
        </w:r>
        <w:r>
          <w:rPr>
            <w:noProof/>
            <w:webHidden/>
          </w:rPr>
          <w:t>92</w:t>
        </w:r>
        <w:r>
          <w:rPr>
            <w:noProof/>
            <w:webHidden/>
          </w:rPr>
          <w:fldChar w:fldCharType="end"/>
        </w:r>
      </w:hyperlink>
    </w:p>
    <w:p w14:paraId="3471CCF2" w14:textId="77777777" w:rsidR="006F090B" w:rsidRDefault="006F090B">
      <w:pPr>
        <w:pStyle w:val="TOC1"/>
        <w:tabs>
          <w:tab w:val="left" w:pos="390"/>
          <w:tab w:val="right" w:pos="9968"/>
        </w:tabs>
        <w:rPr>
          <w:rFonts w:eastAsiaTheme="minorEastAsia" w:cstheme="minorBidi"/>
          <w:b w:val="0"/>
          <w:bCs w:val="0"/>
          <w:caps w:val="0"/>
          <w:noProof/>
          <w:u w:val="none"/>
        </w:rPr>
      </w:pPr>
      <w:hyperlink w:anchor="_Toc25262200" w:history="1">
        <w:r w:rsidRPr="002100F1">
          <w:rPr>
            <w:rStyle w:val="Hyperlink"/>
            <w:noProof/>
          </w:rPr>
          <w:t>8.</w:t>
        </w:r>
        <w:r>
          <w:rPr>
            <w:rFonts w:eastAsiaTheme="minorEastAsia" w:cstheme="minorBidi"/>
            <w:b w:val="0"/>
            <w:bCs w:val="0"/>
            <w:caps w:val="0"/>
            <w:noProof/>
            <w:u w:val="none"/>
          </w:rPr>
          <w:tab/>
        </w:r>
        <w:r w:rsidRPr="002100F1">
          <w:rPr>
            <w:rStyle w:val="Hyperlink"/>
            <w:noProof/>
          </w:rPr>
          <w:t>ENABLERS</w:t>
        </w:r>
        <w:r>
          <w:rPr>
            <w:noProof/>
            <w:webHidden/>
          </w:rPr>
          <w:tab/>
        </w:r>
        <w:r>
          <w:rPr>
            <w:noProof/>
            <w:webHidden/>
          </w:rPr>
          <w:fldChar w:fldCharType="begin"/>
        </w:r>
        <w:r>
          <w:rPr>
            <w:noProof/>
            <w:webHidden/>
          </w:rPr>
          <w:instrText xml:space="preserve"> PAGEREF _Toc25262200 \h </w:instrText>
        </w:r>
        <w:r>
          <w:rPr>
            <w:noProof/>
            <w:webHidden/>
          </w:rPr>
        </w:r>
        <w:r>
          <w:rPr>
            <w:noProof/>
            <w:webHidden/>
          </w:rPr>
          <w:fldChar w:fldCharType="separate"/>
        </w:r>
        <w:r>
          <w:rPr>
            <w:noProof/>
            <w:webHidden/>
          </w:rPr>
          <w:t>92</w:t>
        </w:r>
        <w:r>
          <w:rPr>
            <w:noProof/>
            <w:webHidden/>
          </w:rPr>
          <w:fldChar w:fldCharType="end"/>
        </w:r>
      </w:hyperlink>
    </w:p>
    <w:p w14:paraId="0CD02DEB" w14:textId="77777777" w:rsidR="006F090B" w:rsidRDefault="006F090B">
      <w:pPr>
        <w:pStyle w:val="TOC2"/>
        <w:tabs>
          <w:tab w:val="left" w:pos="502"/>
          <w:tab w:val="right" w:pos="9968"/>
        </w:tabs>
        <w:rPr>
          <w:rFonts w:eastAsiaTheme="minorEastAsia" w:cstheme="minorBidi"/>
          <w:b w:val="0"/>
          <w:bCs w:val="0"/>
          <w:smallCaps w:val="0"/>
          <w:noProof/>
        </w:rPr>
      </w:pPr>
      <w:hyperlink w:anchor="_Toc25262201" w:history="1">
        <w:r w:rsidRPr="002100F1">
          <w:rPr>
            <w:rStyle w:val="Hyperlink"/>
            <w:noProof/>
          </w:rPr>
          <w:t>8.1</w:t>
        </w:r>
        <w:r>
          <w:rPr>
            <w:rFonts w:eastAsiaTheme="minorEastAsia" w:cstheme="minorBidi"/>
            <w:b w:val="0"/>
            <w:bCs w:val="0"/>
            <w:smallCaps w:val="0"/>
            <w:noProof/>
          </w:rPr>
          <w:tab/>
        </w:r>
        <w:r w:rsidRPr="002100F1">
          <w:rPr>
            <w:rStyle w:val="Hyperlink"/>
            <w:noProof/>
          </w:rPr>
          <w:t>Innovation, Learning and Purposeful Collaboration</w:t>
        </w:r>
        <w:r>
          <w:rPr>
            <w:noProof/>
            <w:webHidden/>
          </w:rPr>
          <w:tab/>
        </w:r>
        <w:r>
          <w:rPr>
            <w:noProof/>
            <w:webHidden/>
          </w:rPr>
          <w:fldChar w:fldCharType="begin"/>
        </w:r>
        <w:r>
          <w:rPr>
            <w:noProof/>
            <w:webHidden/>
          </w:rPr>
          <w:instrText xml:space="preserve"> PAGEREF _Toc25262201 \h </w:instrText>
        </w:r>
        <w:r>
          <w:rPr>
            <w:noProof/>
            <w:webHidden/>
          </w:rPr>
        </w:r>
        <w:r>
          <w:rPr>
            <w:noProof/>
            <w:webHidden/>
          </w:rPr>
          <w:fldChar w:fldCharType="separate"/>
        </w:r>
        <w:r>
          <w:rPr>
            <w:noProof/>
            <w:webHidden/>
          </w:rPr>
          <w:t>92</w:t>
        </w:r>
        <w:r>
          <w:rPr>
            <w:noProof/>
            <w:webHidden/>
          </w:rPr>
          <w:fldChar w:fldCharType="end"/>
        </w:r>
      </w:hyperlink>
    </w:p>
    <w:p w14:paraId="297E4738" w14:textId="77777777" w:rsidR="006F090B" w:rsidRDefault="006F090B">
      <w:pPr>
        <w:pStyle w:val="TOC2"/>
        <w:tabs>
          <w:tab w:val="left" w:pos="502"/>
          <w:tab w:val="right" w:pos="9968"/>
        </w:tabs>
        <w:rPr>
          <w:rFonts w:eastAsiaTheme="minorEastAsia" w:cstheme="minorBidi"/>
          <w:b w:val="0"/>
          <w:bCs w:val="0"/>
          <w:smallCaps w:val="0"/>
          <w:noProof/>
        </w:rPr>
      </w:pPr>
      <w:hyperlink w:anchor="_Toc25262202" w:history="1">
        <w:r w:rsidRPr="002100F1">
          <w:rPr>
            <w:rStyle w:val="Hyperlink"/>
            <w:noProof/>
          </w:rPr>
          <w:t>8.2</w:t>
        </w:r>
        <w:r>
          <w:rPr>
            <w:rFonts w:eastAsiaTheme="minorEastAsia" w:cstheme="minorBidi"/>
            <w:b w:val="0"/>
            <w:bCs w:val="0"/>
            <w:smallCaps w:val="0"/>
            <w:noProof/>
          </w:rPr>
          <w:tab/>
        </w:r>
        <w:r w:rsidRPr="002100F1">
          <w:rPr>
            <w:rStyle w:val="Hyperlink"/>
            <w:noProof/>
          </w:rPr>
          <w:t>Information and Communications Technology (ICT)</w:t>
        </w:r>
        <w:r>
          <w:rPr>
            <w:noProof/>
            <w:webHidden/>
          </w:rPr>
          <w:tab/>
        </w:r>
        <w:r>
          <w:rPr>
            <w:noProof/>
            <w:webHidden/>
          </w:rPr>
          <w:fldChar w:fldCharType="begin"/>
        </w:r>
        <w:r>
          <w:rPr>
            <w:noProof/>
            <w:webHidden/>
          </w:rPr>
          <w:instrText xml:space="preserve"> PAGEREF _Toc25262202 \h </w:instrText>
        </w:r>
        <w:r>
          <w:rPr>
            <w:noProof/>
            <w:webHidden/>
          </w:rPr>
        </w:r>
        <w:r>
          <w:rPr>
            <w:noProof/>
            <w:webHidden/>
          </w:rPr>
          <w:fldChar w:fldCharType="separate"/>
        </w:r>
        <w:r>
          <w:rPr>
            <w:noProof/>
            <w:webHidden/>
          </w:rPr>
          <w:t>97</w:t>
        </w:r>
        <w:r>
          <w:rPr>
            <w:noProof/>
            <w:webHidden/>
          </w:rPr>
          <w:fldChar w:fldCharType="end"/>
        </w:r>
      </w:hyperlink>
    </w:p>
    <w:p w14:paraId="6C7F07AF" w14:textId="77777777" w:rsidR="006F090B" w:rsidRDefault="006F090B">
      <w:pPr>
        <w:pStyle w:val="TOC2"/>
        <w:tabs>
          <w:tab w:val="left" w:pos="502"/>
          <w:tab w:val="right" w:pos="9968"/>
        </w:tabs>
        <w:rPr>
          <w:rFonts w:eastAsiaTheme="minorEastAsia" w:cstheme="minorBidi"/>
          <w:b w:val="0"/>
          <w:bCs w:val="0"/>
          <w:smallCaps w:val="0"/>
          <w:noProof/>
        </w:rPr>
      </w:pPr>
      <w:hyperlink w:anchor="_Toc25262203" w:history="1">
        <w:r w:rsidRPr="002100F1">
          <w:rPr>
            <w:rStyle w:val="Hyperlink"/>
            <w:noProof/>
          </w:rPr>
          <w:t>8.3</w:t>
        </w:r>
        <w:r>
          <w:rPr>
            <w:rFonts w:eastAsiaTheme="minorEastAsia" w:cstheme="minorBidi"/>
            <w:b w:val="0"/>
            <w:bCs w:val="0"/>
            <w:smallCaps w:val="0"/>
            <w:noProof/>
          </w:rPr>
          <w:tab/>
        </w:r>
        <w:r w:rsidRPr="002100F1">
          <w:rPr>
            <w:rStyle w:val="Hyperlink"/>
            <w:noProof/>
          </w:rPr>
          <w:t>Estates and Capital</w:t>
        </w:r>
        <w:r>
          <w:rPr>
            <w:noProof/>
            <w:webHidden/>
          </w:rPr>
          <w:tab/>
        </w:r>
        <w:r>
          <w:rPr>
            <w:noProof/>
            <w:webHidden/>
          </w:rPr>
          <w:fldChar w:fldCharType="begin"/>
        </w:r>
        <w:r>
          <w:rPr>
            <w:noProof/>
            <w:webHidden/>
          </w:rPr>
          <w:instrText xml:space="preserve"> PAGEREF _Toc25262203 \h </w:instrText>
        </w:r>
        <w:r>
          <w:rPr>
            <w:noProof/>
            <w:webHidden/>
          </w:rPr>
        </w:r>
        <w:r>
          <w:rPr>
            <w:noProof/>
            <w:webHidden/>
          </w:rPr>
          <w:fldChar w:fldCharType="separate"/>
        </w:r>
        <w:r>
          <w:rPr>
            <w:noProof/>
            <w:webHidden/>
          </w:rPr>
          <w:t>101</w:t>
        </w:r>
        <w:r>
          <w:rPr>
            <w:noProof/>
            <w:webHidden/>
          </w:rPr>
          <w:fldChar w:fldCharType="end"/>
        </w:r>
      </w:hyperlink>
    </w:p>
    <w:p w14:paraId="6056A455" w14:textId="77777777" w:rsidR="006F090B" w:rsidRDefault="006F090B">
      <w:pPr>
        <w:pStyle w:val="TOC1"/>
        <w:tabs>
          <w:tab w:val="left" w:pos="390"/>
          <w:tab w:val="right" w:pos="9968"/>
        </w:tabs>
        <w:rPr>
          <w:rFonts w:eastAsiaTheme="minorEastAsia" w:cstheme="minorBidi"/>
          <w:b w:val="0"/>
          <w:bCs w:val="0"/>
          <w:caps w:val="0"/>
          <w:noProof/>
          <w:u w:val="none"/>
        </w:rPr>
      </w:pPr>
      <w:hyperlink w:anchor="_Toc25262204" w:history="1">
        <w:r w:rsidRPr="002100F1">
          <w:rPr>
            <w:rStyle w:val="Hyperlink"/>
            <w:noProof/>
          </w:rPr>
          <w:t>9.</w:t>
        </w:r>
        <w:r>
          <w:rPr>
            <w:rFonts w:eastAsiaTheme="minorEastAsia" w:cstheme="minorBidi"/>
            <w:b w:val="0"/>
            <w:bCs w:val="0"/>
            <w:caps w:val="0"/>
            <w:noProof/>
            <w:u w:val="none"/>
          </w:rPr>
          <w:tab/>
        </w:r>
        <w:r w:rsidRPr="002100F1">
          <w:rPr>
            <w:rStyle w:val="Hyperlink"/>
            <w:noProof/>
          </w:rPr>
          <w:t>DELIVERY, STEWARDSHIP and GOVERNANCE</w:t>
        </w:r>
        <w:r>
          <w:rPr>
            <w:noProof/>
            <w:webHidden/>
          </w:rPr>
          <w:tab/>
        </w:r>
        <w:r>
          <w:rPr>
            <w:noProof/>
            <w:webHidden/>
          </w:rPr>
          <w:fldChar w:fldCharType="begin"/>
        </w:r>
        <w:r>
          <w:rPr>
            <w:noProof/>
            <w:webHidden/>
          </w:rPr>
          <w:instrText xml:space="preserve"> PAGEREF _Toc25262204 \h </w:instrText>
        </w:r>
        <w:r>
          <w:rPr>
            <w:noProof/>
            <w:webHidden/>
          </w:rPr>
        </w:r>
        <w:r>
          <w:rPr>
            <w:noProof/>
            <w:webHidden/>
          </w:rPr>
          <w:fldChar w:fldCharType="separate"/>
        </w:r>
        <w:r>
          <w:rPr>
            <w:noProof/>
            <w:webHidden/>
          </w:rPr>
          <w:t>106</w:t>
        </w:r>
        <w:r>
          <w:rPr>
            <w:noProof/>
            <w:webHidden/>
          </w:rPr>
          <w:fldChar w:fldCharType="end"/>
        </w:r>
      </w:hyperlink>
    </w:p>
    <w:p w14:paraId="76EB301C" w14:textId="77777777" w:rsidR="006F090B" w:rsidRDefault="006F090B">
      <w:pPr>
        <w:pStyle w:val="TOC2"/>
        <w:tabs>
          <w:tab w:val="left" w:pos="502"/>
          <w:tab w:val="right" w:pos="9968"/>
        </w:tabs>
        <w:rPr>
          <w:rFonts w:eastAsiaTheme="minorEastAsia" w:cstheme="minorBidi"/>
          <w:b w:val="0"/>
          <w:bCs w:val="0"/>
          <w:smallCaps w:val="0"/>
          <w:noProof/>
        </w:rPr>
      </w:pPr>
      <w:hyperlink w:anchor="_Toc25262205" w:history="1">
        <w:r w:rsidRPr="002100F1">
          <w:rPr>
            <w:rStyle w:val="Hyperlink"/>
            <w:noProof/>
          </w:rPr>
          <w:t>9.1</w:t>
        </w:r>
        <w:r>
          <w:rPr>
            <w:rFonts w:eastAsiaTheme="minorEastAsia" w:cstheme="minorBidi"/>
            <w:b w:val="0"/>
            <w:bCs w:val="0"/>
            <w:smallCaps w:val="0"/>
            <w:noProof/>
          </w:rPr>
          <w:tab/>
        </w:r>
        <w:r w:rsidRPr="002100F1">
          <w:rPr>
            <w:rStyle w:val="Hyperlink"/>
            <w:noProof/>
          </w:rPr>
          <w:t>Delivery Model</w:t>
        </w:r>
        <w:r>
          <w:rPr>
            <w:noProof/>
            <w:webHidden/>
          </w:rPr>
          <w:tab/>
        </w:r>
        <w:r>
          <w:rPr>
            <w:noProof/>
            <w:webHidden/>
          </w:rPr>
          <w:fldChar w:fldCharType="begin"/>
        </w:r>
        <w:r>
          <w:rPr>
            <w:noProof/>
            <w:webHidden/>
          </w:rPr>
          <w:instrText xml:space="preserve"> PAGEREF _Toc25262205 \h </w:instrText>
        </w:r>
        <w:r>
          <w:rPr>
            <w:noProof/>
            <w:webHidden/>
          </w:rPr>
        </w:r>
        <w:r>
          <w:rPr>
            <w:noProof/>
            <w:webHidden/>
          </w:rPr>
          <w:fldChar w:fldCharType="separate"/>
        </w:r>
        <w:r>
          <w:rPr>
            <w:noProof/>
            <w:webHidden/>
          </w:rPr>
          <w:t>106</w:t>
        </w:r>
        <w:r>
          <w:rPr>
            <w:noProof/>
            <w:webHidden/>
          </w:rPr>
          <w:fldChar w:fldCharType="end"/>
        </w:r>
      </w:hyperlink>
    </w:p>
    <w:p w14:paraId="37A19D34" w14:textId="77777777" w:rsidR="006F090B" w:rsidRDefault="006F090B">
      <w:pPr>
        <w:pStyle w:val="TOC2"/>
        <w:tabs>
          <w:tab w:val="left" w:pos="502"/>
          <w:tab w:val="right" w:pos="9968"/>
        </w:tabs>
        <w:rPr>
          <w:rFonts w:eastAsiaTheme="minorEastAsia" w:cstheme="minorBidi"/>
          <w:b w:val="0"/>
          <w:bCs w:val="0"/>
          <w:smallCaps w:val="0"/>
          <w:noProof/>
        </w:rPr>
      </w:pPr>
      <w:hyperlink w:anchor="_Toc25262206" w:history="1">
        <w:r w:rsidRPr="002100F1">
          <w:rPr>
            <w:rStyle w:val="Hyperlink"/>
            <w:noProof/>
          </w:rPr>
          <w:t>9.2</w:t>
        </w:r>
        <w:r>
          <w:rPr>
            <w:rFonts w:eastAsiaTheme="minorEastAsia" w:cstheme="minorBidi"/>
            <w:b w:val="0"/>
            <w:bCs w:val="0"/>
            <w:smallCaps w:val="0"/>
            <w:noProof/>
          </w:rPr>
          <w:tab/>
        </w:r>
        <w:r w:rsidRPr="002100F1">
          <w:rPr>
            <w:rStyle w:val="Hyperlink"/>
            <w:noProof/>
          </w:rPr>
          <w:t>Governance</w:t>
        </w:r>
        <w:r>
          <w:rPr>
            <w:noProof/>
            <w:webHidden/>
          </w:rPr>
          <w:tab/>
        </w:r>
        <w:r>
          <w:rPr>
            <w:noProof/>
            <w:webHidden/>
          </w:rPr>
          <w:fldChar w:fldCharType="begin"/>
        </w:r>
        <w:r>
          <w:rPr>
            <w:noProof/>
            <w:webHidden/>
          </w:rPr>
          <w:instrText xml:space="preserve"> PAGEREF _Toc25262206 \h </w:instrText>
        </w:r>
        <w:r>
          <w:rPr>
            <w:noProof/>
            <w:webHidden/>
          </w:rPr>
        </w:r>
        <w:r>
          <w:rPr>
            <w:noProof/>
            <w:webHidden/>
          </w:rPr>
          <w:fldChar w:fldCharType="separate"/>
        </w:r>
        <w:r>
          <w:rPr>
            <w:noProof/>
            <w:webHidden/>
          </w:rPr>
          <w:t>109</w:t>
        </w:r>
        <w:r>
          <w:rPr>
            <w:noProof/>
            <w:webHidden/>
          </w:rPr>
          <w:fldChar w:fldCharType="end"/>
        </w:r>
      </w:hyperlink>
    </w:p>
    <w:p w14:paraId="4E18B79F" w14:textId="77777777" w:rsidR="006F090B" w:rsidRDefault="006F090B">
      <w:pPr>
        <w:pStyle w:val="TOC2"/>
        <w:tabs>
          <w:tab w:val="left" w:pos="502"/>
          <w:tab w:val="right" w:pos="9968"/>
        </w:tabs>
        <w:rPr>
          <w:rFonts w:eastAsiaTheme="minorEastAsia" w:cstheme="minorBidi"/>
          <w:b w:val="0"/>
          <w:bCs w:val="0"/>
          <w:smallCaps w:val="0"/>
          <w:noProof/>
        </w:rPr>
      </w:pPr>
      <w:hyperlink w:anchor="_Toc25262207" w:history="1">
        <w:r w:rsidRPr="002100F1">
          <w:rPr>
            <w:rStyle w:val="Hyperlink"/>
            <w:noProof/>
          </w:rPr>
          <w:t>9.3</w:t>
        </w:r>
        <w:r>
          <w:rPr>
            <w:rFonts w:eastAsiaTheme="minorEastAsia" w:cstheme="minorBidi"/>
            <w:b w:val="0"/>
            <w:bCs w:val="0"/>
            <w:smallCaps w:val="0"/>
            <w:noProof/>
          </w:rPr>
          <w:tab/>
        </w:r>
        <w:r w:rsidRPr="002100F1">
          <w:rPr>
            <w:rStyle w:val="Hyperlink"/>
            <w:noProof/>
          </w:rPr>
          <w:t>Principal Risks to Delivery and Mitigating Actions</w:t>
        </w:r>
        <w:r>
          <w:rPr>
            <w:noProof/>
            <w:webHidden/>
          </w:rPr>
          <w:tab/>
        </w:r>
        <w:r>
          <w:rPr>
            <w:noProof/>
            <w:webHidden/>
          </w:rPr>
          <w:fldChar w:fldCharType="begin"/>
        </w:r>
        <w:r>
          <w:rPr>
            <w:noProof/>
            <w:webHidden/>
          </w:rPr>
          <w:instrText xml:space="preserve"> PAGEREF _Toc25262207 \h </w:instrText>
        </w:r>
        <w:r>
          <w:rPr>
            <w:noProof/>
            <w:webHidden/>
          </w:rPr>
        </w:r>
        <w:r>
          <w:rPr>
            <w:noProof/>
            <w:webHidden/>
          </w:rPr>
          <w:fldChar w:fldCharType="separate"/>
        </w:r>
        <w:r>
          <w:rPr>
            <w:noProof/>
            <w:webHidden/>
          </w:rPr>
          <w:t>112</w:t>
        </w:r>
        <w:r>
          <w:rPr>
            <w:noProof/>
            <w:webHidden/>
          </w:rPr>
          <w:fldChar w:fldCharType="end"/>
        </w:r>
      </w:hyperlink>
    </w:p>
    <w:p w14:paraId="765D55D7" w14:textId="11EE8369" w:rsidR="00612EDC" w:rsidRDefault="00611BEB" w:rsidP="00124FEC">
      <w:r>
        <w:fldChar w:fldCharType="end"/>
      </w:r>
    </w:p>
    <w:p w14:paraId="1D59730C" w14:textId="7FDF9571" w:rsidR="009E519F" w:rsidRPr="0014558C" w:rsidRDefault="006E3B07" w:rsidP="00E33F23">
      <w:pPr>
        <w:rPr>
          <w:b/>
          <w:szCs w:val="22"/>
        </w:rPr>
      </w:pPr>
      <w:r>
        <w:rPr>
          <w:b/>
          <w:szCs w:val="22"/>
        </w:rPr>
        <w:t>LOCAL ANNEXES (A1 to A4</w:t>
      </w:r>
      <w:r w:rsidR="006E69AE" w:rsidRPr="0014558C">
        <w:rPr>
          <w:b/>
          <w:szCs w:val="22"/>
        </w:rPr>
        <w:t>)</w:t>
      </w:r>
    </w:p>
    <w:p w14:paraId="0B9F4438" w14:textId="77777777" w:rsidR="006E69AE" w:rsidRPr="0014558C" w:rsidRDefault="006E69AE" w:rsidP="00E33F23">
      <w:pPr>
        <w:rPr>
          <w:b/>
          <w:szCs w:val="22"/>
        </w:rPr>
      </w:pPr>
    </w:p>
    <w:p w14:paraId="7808C453" w14:textId="06724C7B" w:rsidR="006E69AE" w:rsidRPr="0014558C" w:rsidRDefault="00735293" w:rsidP="00EC7D85">
      <w:pPr>
        <w:tabs>
          <w:tab w:val="left" w:pos="357"/>
        </w:tabs>
        <w:rPr>
          <w:b/>
          <w:szCs w:val="22"/>
        </w:rPr>
      </w:pPr>
      <w:r w:rsidRPr="0014558C">
        <w:rPr>
          <w:b/>
          <w:szCs w:val="22"/>
        </w:rPr>
        <w:t>Book A1</w:t>
      </w:r>
      <w:r w:rsidR="00EC7D85" w:rsidRPr="0014558C">
        <w:rPr>
          <w:b/>
          <w:szCs w:val="22"/>
        </w:rPr>
        <w:tab/>
      </w:r>
      <w:r w:rsidRPr="0014558C">
        <w:rPr>
          <w:b/>
          <w:szCs w:val="22"/>
        </w:rPr>
        <w:t>Lo</w:t>
      </w:r>
      <w:r w:rsidR="006E69AE" w:rsidRPr="0014558C">
        <w:rPr>
          <w:b/>
          <w:szCs w:val="22"/>
        </w:rPr>
        <w:t xml:space="preserve">cal Population Health Needs </w:t>
      </w:r>
      <w:r w:rsidR="00876289" w:rsidRPr="0014558C">
        <w:rPr>
          <w:b/>
          <w:szCs w:val="22"/>
        </w:rPr>
        <w:t>and</w:t>
      </w:r>
      <w:r w:rsidR="006E69AE" w:rsidRPr="0014558C">
        <w:rPr>
          <w:b/>
          <w:szCs w:val="22"/>
        </w:rPr>
        <w:t xml:space="preserve"> Challenges</w:t>
      </w:r>
    </w:p>
    <w:p w14:paraId="036095E6" w14:textId="35812522" w:rsidR="006E69AE" w:rsidRPr="0014558C" w:rsidRDefault="00735293" w:rsidP="00E33F23">
      <w:pPr>
        <w:rPr>
          <w:b/>
          <w:szCs w:val="22"/>
        </w:rPr>
      </w:pPr>
      <w:r w:rsidRPr="0014558C">
        <w:rPr>
          <w:b/>
          <w:szCs w:val="22"/>
        </w:rPr>
        <w:t>Book A2</w:t>
      </w:r>
      <w:r w:rsidR="00EC7D85" w:rsidRPr="0014558C">
        <w:rPr>
          <w:b/>
          <w:szCs w:val="22"/>
        </w:rPr>
        <w:tab/>
      </w:r>
      <w:r w:rsidR="006E69AE" w:rsidRPr="0014558C">
        <w:rPr>
          <w:b/>
          <w:szCs w:val="22"/>
        </w:rPr>
        <w:t xml:space="preserve">Research </w:t>
      </w:r>
      <w:r w:rsidR="00876289" w:rsidRPr="0014558C">
        <w:rPr>
          <w:b/>
          <w:szCs w:val="22"/>
        </w:rPr>
        <w:t>and</w:t>
      </w:r>
      <w:r w:rsidR="006F090B">
        <w:rPr>
          <w:b/>
          <w:szCs w:val="22"/>
        </w:rPr>
        <w:t xml:space="preserve"> Development</w:t>
      </w:r>
    </w:p>
    <w:p w14:paraId="2B6341D7" w14:textId="42B3A270" w:rsidR="006E69AE" w:rsidRDefault="00735293" w:rsidP="00EC7D85">
      <w:pPr>
        <w:ind w:left="1429" w:hanging="1429"/>
        <w:jc w:val="left"/>
        <w:rPr>
          <w:b/>
          <w:szCs w:val="22"/>
        </w:rPr>
      </w:pPr>
      <w:r w:rsidRPr="0014558C">
        <w:rPr>
          <w:b/>
          <w:szCs w:val="22"/>
        </w:rPr>
        <w:t>Book A3</w:t>
      </w:r>
      <w:r w:rsidR="00EC7D85" w:rsidRPr="0014558C">
        <w:rPr>
          <w:b/>
          <w:szCs w:val="22"/>
        </w:rPr>
        <w:tab/>
      </w:r>
      <w:r w:rsidR="00EC7D85" w:rsidRPr="0014558C">
        <w:rPr>
          <w:b/>
          <w:szCs w:val="22"/>
        </w:rPr>
        <w:tab/>
      </w:r>
      <w:r w:rsidR="006E69AE" w:rsidRPr="0014558C">
        <w:rPr>
          <w:b/>
          <w:szCs w:val="22"/>
        </w:rPr>
        <w:t>Service Delivery Plans</w:t>
      </w:r>
    </w:p>
    <w:p w14:paraId="24783842" w14:textId="2DAE78F8" w:rsidR="00DB09C0" w:rsidRPr="006F090B" w:rsidRDefault="00DB09C0" w:rsidP="00EC7D85">
      <w:pPr>
        <w:ind w:left="1429" w:hanging="1429"/>
        <w:jc w:val="left"/>
        <w:rPr>
          <w:b/>
          <w:color w:val="943634" w:themeColor="accent2" w:themeShade="BF"/>
          <w:szCs w:val="22"/>
        </w:rPr>
      </w:pPr>
      <w:r w:rsidRPr="006F090B">
        <w:rPr>
          <w:b/>
          <w:color w:val="943634" w:themeColor="accent2" w:themeShade="BF"/>
          <w:szCs w:val="22"/>
        </w:rPr>
        <w:t>Book A4</w:t>
      </w:r>
      <w:r w:rsidRPr="006F090B">
        <w:rPr>
          <w:b/>
          <w:color w:val="943634" w:themeColor="accent2" w:themeShade="BF"/>
          <w:szCs w:val="22"/>
        </w:rPr>
        <w:tab/>
        <w:t>Workforce and Organisation</w:t>
      </w:r>
      <w:r w:rsidR="00324F58" w:rsidRPr="006F090B">
        <w:rPr>
          <w:b/>
          <w:color w:val="943634" w:themeColor="accent2" w:themeShade="BF"/>
          <w:szCs w:val="22"/>
        </w:rPr>
        <w:t>al</w:t>
      </w:r>
      <w:r w:rsidRPr="006F090B">
        <w:rPr>
          <w:b/>
          <w:color w:val="943634" w:themeColor="accent2" w:themeShade="BF"/>
          <w:szCs w:val="22"/>
        </w:rPr>
        <w:t xml:space="preserve"> Development</w:t>
      </w:r>
    </w:p>
    <w:p w14:paraId="19E1B22B" w14:textId="77777777" w:rsidR="006E69AE" w:rsidRPr="0014558C" w:rsidRDefault="006E69AE" w:rsidP="00E33F23">
      <w:pPr>
        <w:rPr>
          <w:b/>
          <w:szCs w:val="22"/>
        </w:rPr>
      </w:pPr>
    </w:p>
    <w:p w14:paraId="027CE607" w14:textId="0272FFCA" w:rsidR="006E69AE" w:rsidRPr="0014558C" w:rsidRDefault="006E69AE" w:rsidP="00E33F23">
      <w:pPr>
        <w:rPr>
          <w:b/>
          <w:szCs w:val="22"/>
        </w:rPr>
      </w:pPr>
      <w:r w:rsidRPr="0014558C">
        <w:rPr>
          <w:b/>
          <w:szCs w:val="22"/>
        </w:rPr>
        <w:t>SU</w:t>
      </w:r>
      <w:r w:rsidR="00C72DE9" w:rsidRPr="0014558C">
        <w:rPr>
          <w:b/>
          <w:szCs w:val="22"/>
        </w:rPr>
        <w:t>P</w:t>
      </w:r>
      <w:r w:rsidR="009D7691">
        <w:rPr>
          <w:b/>
          <w:szCs w:val="22"/>
        </w:rPr>
        <w:t>PLEMENTARY INFORMATION (B1 to 14</w:t>
      </w:r>
      <w:r w:rsidRPr="0014558C">
        <w:rPr>
          <w:b/>
          <w:szCs w:val="22"/>
        </w:rPr>
        <w:t>)</w:t>
      </w:r>
    </w:p>
    <w:p w14:paraId="0C915C2F" w14:textId="77777777" w:rsidR="00BA4A9C" w:rsidRPr="0014558C" w:rsidRDefault="00BA4A9C" w:rsidP="00E33F23">
      <w:pPr>
        <w:rPr>
          <w:b/>
          <w:szCs w:val="22"/>
        </w:rPr>
      </w:pPr>
    </w:p>
    <w:p w14:paraId="11A13A5E" w14:textId="77777777" w:rsidR="00C0322C" w:rsidRPr="006F090B" w:rsidRDefault="00C0322C" w:rsidP="00EC7D85">
      <w:pPr>
        <w:ind w:left="1429" w:hanging="1429"/>
        <w:rPr>
          <w:b/>
          <w:color w:val="943634" w:themeColor="accent2" w:themeShade="BF"/>
          <w:szCs w:val="22"/>
        </w:rPr>
      </w:pPr>
      <w:r w:rsidRPr="006F090B">
        <w:rPr>
          <w:b/>
          <w:color w:val="943634" w:themeColor="accent2" w:themeShade="BF"/>
          <w:szCs w:val="22"/>
        </w:rPr>
        <w:t>Annex B1</w:t>
      </w:r>
      <w:r w:rsidRPr="006F090B">
        <w:rPr>
          <w:b/>
          <w:color w:val="943634" w:themeColor="accent2" w:themeShade="BF"/>
          <w:szCs w:val="22"/>
        </w:rPr>
        <w:tab/>
        <w:t xml:space="preserve">Cwm Taf Integrated Performance Report at a Glance </w:t>
      </w:r>
    </w:p>
    <w:p w14:paraId="7456FCD0" w14:textId="46202879" w:rsidR="00C0322C" w:rsidRPr="006F090B" w:rsidRDefault="00C0322C" w:rsidP="006774FE">
      <w:pPr>
        <w:ind w:left="1429" w:hanging="1429"/>
        <w:rPr>
          <w:b/>
          <w:color w:val="943634" w:themeColor="accent2" w:themeShade="BF"/>
          <w:szCs w:val="22"/>
        </w:rPr>
      </w:pPr>
      <w:r w:rsidRPr="006F090B">
        <w:rPr>
          <w:b/>
          <w:color w:val="943634" w:themeColor="accent2" w:themeShade="BF"/>
          <w:szCs w:val="22"/>
        </w:rPr>
        <w:t>Annex B2</w:t>
      </w:r>
      <w:r w:rsidRPr="006F090B">
        <w:rPr>
          <w:b/>
          <w:color w:val="943634" w:themeColor="accent2" w:themeShade="BF"/>
          <w:szCs w:val="22"/>
        </w:rPr>
        <w:tab/>
        <w:t>Well-Being Statement 201</w:t>
      </w:r>
      <w:r w:rsidR="006E4769" w:rsidRPr="006F090B">
        <w:rPr>
          <w:b/>
          <w:color w:val="943634" w:themeColor="accent2" w:themeShade="BF"/>
          <w:szCs w:val="22"/>
        </w:rPr>
        <w:t>9</w:t>
      </w:r>
      <w:r w:rsidRPr="006F090B">
        <w:rPr>
          <w:b/>
          <w:color w:val="943634" w:themeColor="accent2" w:themeShade="BF"/>
          <w:szCs w:val="22"/>
        </w:rPr>
        <w:t>-2</w:t>
      </w:r>
      <w:r w:rsidR="006E4769" w:rsidRPr="006F090B">
        <w:rPr>
          <w:b/>
          <w:color w:val="943634" w:themeColor="accent2" w:themeShade="BF"/>
          <w:szCs w:val="22"/>
        </w:rPr>
        <w:t>2</w:t>
      </w:r>
    </w:p>
    <w:p w14:paraId="482DB657" w14:textId="53FF567A" w:rsidR="00C0322C" w:rsidRPr="006F090B" w:rsidRDefault="00C0322C" w:rsidP="00EC7D85">
      <w:pPr>
        <w:ind w:left="1429" w:hanging="1429"/>
        <w:rPr>
          <w:b/>
          <w:color w:val="943634" w:themeColor="accent2" w:themeShade="BF"/>
          <w:szCs w:val="22"/>
        </w:rPr>
      </w:pPr>
      <w:r w:rsidRPr="006F090B">
        <w:rPr>
          <w:b/>
          <w:color w:val="943634" w:themeColor="accent2" w:themeShade="BF"/>
          <w:szCs w:val="22"/>
        </w:rPr>
        <w:t>Annex B3</w:t>
      </w:r>
      <w:r w:rsidRPr="006F090B">
        <w:rPr>
          <w:b/>
          <w:color w:val="943634" w:themeColor="accent2" w:themeShade="BF"/>
          <w:szCs w:val="22"/>
        </w:rPr>
        <w:tab/>
        <w:t xml:space="preserve">Making Prudent </w:t>
      </w:r>
      <w:r w:rsidR="007E4D4E" w:rsidRPr="006F090B">
        <w:rPr>
          <w:b/>
          <w:color w:val="943634" w:themeColor="accent2" w:themeShade="BF"/>
          <w:szCs w:val="22"/>
        </w:rPr>
        <w:t>Healthcare Happen 2019</w:t>
      </w:r>
      <w:r w:rsidRPr="006F090B">
        <w:rPr>
          <w:b/>
          <w:color w:val="943634" w:themeColor="accent2" w:themeShade="BF"/>
          <w:szCs w:val="22"/>
        </w:rPr>
        <w:t>-2</w:t>
      </w:r>
      <w:r w:rsidR="007E4D4E" w:rsidRPr="006F090B">
        <w:rPr>
          <w:b/>
          <w:color w:val="943634" w:themeColor="accent2" w:themeShade="BF"/>
          <w:szCs w:val="22"/>
        </w:rPr>
        <w:t>2</w:t>
      </w:r>
    </w:p>
    <w:p w14:paraId="1CB90E56" w14:textId="77777777" w:rsidR="00C0322C" w:rsidRPr="006F090B" w:rsidRDefault="00C0322C" w:rsidP="00EC7D85">
      <w:pPr>
        <w:ind w:left="1429" w:hanging="1429"/>
        <w:rPr>
          <w:b/>
          <w:color w:val="943634" w:themeColor="accent2" w:themeShade="BF"/>
          <w:szCs w:val="22"/>
        </w:rPr>
      </w:pPr>
      <w:r w:rsidRPr="006F090B">
        <w:rPr>
          <w:b/>
          <w:color w:val="943634" w:themeColor="accent2" w:themeShade="BF"/>
          <w:szCs w:val="22"/>
        </w:rPr>
        <w:t>Annex B4</w:t>
      </w:r>
      <w:r w:rsidRPr="006F090B">
        <w:rPr>
          <w:b/>
          <w:color w:val="943634" w:themeColor="accent2" w:themeShade="BF"/>
          <w:szCs w:val="22"/>
        </w:rPr>
        <w:tab/>
        <w:t>Stay Well in your Community</w:t>
      </w:r>
    </w:p>
    <w:p w14:paraId="04939494" w14:textId="2936C864" w:rsidR="008558E0" w:rsidRPr="006F090B" w:rsidRDefault="008558E0" w:rsidP="00E33F23">
      <w:pPr>
        <w:rPr>
          <w:b/>
          <w:color w:val="943634" w:themeColor="accent2" w:themeShade="BF"/>
          <w:szCs w:val="22"/>
        </w:rPr>
      </w:pPr>
      <w:r w:rsidRPr="006F090B">
        <w:rPr>
          <w:b/>
          <w:color w:val="943634" w:themeColor="accent2" w:themeShade="BF"/>
          <w:szCs w:val="22"/>
        </w:rPr>
        <w:t>Annex B5</w:t>
      </w:r>
      <w:r w:rsidRPr="006F090B">
        <w:rPr>
          <w:b/>
          <w:color w:val="943634" w:themeColor="accent2" w:themeShade="BF"/>
          <w:szCs w:val="22"/>
        </w:rPr>
        <w:tab/>
      </w:r>
      <w:r w:rsidR="00303EB7" w:rsidRPr="006F090B">
        <w:rPr>
          <w:b/>
          <w:color w:val="943634" w:themeColor="accent2" w:themeShade="BF"/>
          <w:szCs w:val="22"/>
        </w:rPr>
        <w:t xml:space="preserve">Cwm Taf </w:t>
      </w:r>
      <w:r w:rsidR="000547D3" w:rsidRPr="006F090B">
        <w:rPr>
          <w:b/>
          <w:color w:val="943634" w:themeColor="accent2" w:themeShade="BF"/>
          <w:szCs w:val="22"/>
        </w:rPr>
        <w:t xml:space="preserve">UHB </w:t>
      </w:r>
      <w:r w:rsidRPr="006F090B">
        <w:rPr>
          <w:b/>
          <w:color w:val="943634" w:themeColor="accent2" w:themeShade="BF"/>
          <w:szCs w:val="22"/>
        </w:rPr>
        <w:t xml:space="preserve">Strategic Transformation Programme </w:t>
      </w:r>
      <w:r w:rsidR="000547D3" w:rsidRPr="006F090B">
        <w:rPr>
          <w:b/>
          <w:color w:val="943634" w:themeColor="accent2" w:themeShade="BF"/>
          <w:szCs w:val="22"/>
        </w:rPr>
        <w:t>Investment Plan</w:t>
      </w:r>
      <w:r w:rsidRPr="006F090B">
        <w:rPr>
          <w:b/>
          <w:color w:val="943634" w:themeColor="accent2" w:themeShade="BF"/>
          <w:szCs w:val="22"/>
        </w:rPr>
        <w:t xml:space="preserve"> </w:t>
      </w:r>
    </w:p>
    <w:p w14:paraId="0267ADD9" w14:textId="67DFD49D" w:rsidR="00C0322C" w:rsidRPr="006F090B" w:rsidRDefault="00C0322C" w:rsidP="00E33F23">
      <w:pPr>
        <w:rPr>
          <w:b/>
          <w:color w:val="943634" w:themeColor="accent2" w:themeShade="BF"/>
          <w:szCs w:val="22"/>
        </w:rPr>
      </w:pPr>
      <w:r w:rsidRPr="006F090B">
        <w:rPr>
          <w:b/>
          <w:color w:val="943634" w:themeColor="accent2" w:themeShade="BF"/>
          <w:szCs w:val="22"/>
        </w:rPr>
        <w:t>Annex B</w:t>
      </w:r>
      <w:r w:rsidR="001E4399" w:rsidRPr="006F090B">
        <w:rPr>
          <w:b/>
          <w:color w:val="943634" w:themeColor="accent2" w:themeShade="BF"/>
          <w:szCs w:val="22"/>
        </w:rPr>
        <w:t>6</w:t>
      </w:r>
      <w:r w:rsidRPr="006F090B">
        <w:rPr>
          <w:b/>
          <w:color w:val="943634" w:themeColor="accent2" w:themeShade="BF"/>
          <w:szCs w:val="22"/>
        </w:rPr>
        <w:tab/>
        <w:t>Demand and Capacity Planning</w:t>
      </w:r>
    </w:p>
    <w:p w14:paraId="5E84FE93" w14:textId="26E32D90" w:rsidR="00C0322C" w:rsidRPr="006F090B" w:rsidRDefault="001E4399" w:rsidP="006774FE">
      <w:pPr>
        <w:rPr>
          <w:b/>
          <w:color w:val="943634" w:themeColor="accent2" w:themeShade="BF"/>
          <w:szCs w:val="22"/>
        </w:rPr>
      </w:pPr>
      <w:r w:rsidRPr="006F090B">
        <w:rPr>
          <w:b/>
          <w:color w:val="943634" w:themeColor="accent2" w:themeShade="BF"/>
          <w:szCs w:val="22"/>
        </w:rPr>
        <w:t>Annex B7</w:t>
      </w:r>
      <w:r w:rsidR="00C0322C" w:rsidRPr="006F090B">
        <w:rPr>
          <w:b/>
          <w:color w:val="943634" w:themeColor="accent2" w:themeShade="BF"/>
          <w:szCs w:val="22"/>
        </w:rPr>
        <w:tab/>
        <w:t>EMS Commissioning Intentions</w:t>
      </w:r>
    </w:p>
    <w:p w14:paraId="2F2735B5" w14:textId="63FC11CF" w:rsidR="00C0322C" w:rsidRPr="006F090B" w:rsidRDefault="001E4399" w:rsidP="006774FE">
      <w:pPr>
        <w:rPr>
          <w:b/>
          <w:color w:val="943634" w:themeColor="accent2" w:themeShade="BF"/>
          <w:szCs w:val="22"/>
        </w:rPr>
      </w:pPr>
      <w:r w:rsidRPr="006F090B">
        <w:rPr>
          <w:b/>
          <w:color w:val="943634" w:themeColor="accent2" w:themeShade="BF"/>
          <w:szCs w:val="22"/>
        </w:rPr>
        <w:t>Annex B8</w:t>
      </w:r>
      <w:r w:rsidR="00C0322C" w:rsidRPr="006F090B">
        <w:rPr>
          <w:b/>
          <w:color w:val="943634" w:themeColor="accent2" w:themeShade="BF"/>
          <w:szCs w:val="22"/>
        </w:rPr>
        <w:tab/>
        <w:t>NEPTS Commissioning Intentions</w:t>
      </w:r>
    </w:p>
    <w:p w14:paraId="0E44253E" w14:textId="67175A3D" w:rsidR="00C0322C" w:rsidRPr="006F090B" w:rsidRDefault="00C0322C" w:rsidP="00EC7D85">
      <w:pPr>
        <w:ind w:left="1429" w:hanging="1429"/>
        <w:rPr>
          <w:b/>
          <w:color w:val="943634" w:themeColor="accent2" w:themeShade="BF"/>
          <w:szCs w:val="22"/>
        </w:rPr>
      </w:pPr>
      <w:r w:rsidRPr="006F090B">
        <w:rPr>
          <w:b/>
          <w:color w:val="943634" w:themeColor="accent2" w:themeShade="BF"/>
          <w:szCs w:val="22"/>
        </w:rPr>
        <w:t>Annex B</w:t>
      </w:r>
      <w:r w:rsidR="001E4399" w:rsidRPr="006F090B">
        <w:rPr>
          <w:b/>
          <w:color w:val="943634" w:themeColor="accent2" w:themeShade="BF"/>
          <w:szCs w:val="22"/>
        </w:rPr>
        <w:t>9</w:t>
      </w:r>
      <w:r w:rsidRPr="006F090B">
        <w:rPr>
          <w:b/>
          <w:color w:val="943634" w:themeColor="accent2" w:themeShade="BF"/>
          <w:szCs w:val="22"/>
        </w:rPr>
        <w:tab/>
        <w:t>WAST and Cwm Taf Scheme Tables</w:t>
      </w:r>
    </w:p>
    <w:p w14:paraId="67556FBF" w14:textId="0BBC33B5" w:rsidR="00C0322C" w:rsidRPr="006F090B" w:rsidRDefault="00C0322C" w:rsidP="00E33F23">
      <w:pPr>
        <w:rPr>
          <w:b/>
          <w:color w:val="943634" w:themeColor="accent2" w:themeShade="BF"/>
          <w:szCs w:val="22"/>
        </w:rPr>
      </w:pPr>
      <w:r w:rsidRPr="006F090B">
        <w:rPr>
          <w:b/>
          <w:color w:val="943634" w:themeColor="accent2" w:themeShade="BF"/>
          <w:szCs w:val="22"/>
        </w:rPr>
        <w:t>Annex B</w:t>
      </w:r>
      <w:r w:rsidR="001E4399" w:rsidRPr="006F090B">
        <w:rPr>
          <w:b/>
          <w:color w:val="943634" w:themeColor="accent2" w:themeShade="BF"/>
          <w:szCs w:val="22"/>
        </w:rPr>
        <w:t>10</w:t>
      </w:r>
      <w:r w:rsidRPr="006F090B">
        <w:rPr>
          <w:b/>
          <w:color w:val="943634" w:themeColor="accent2" w:themeShade="BF"/>
          <w:szCs w:val="22"/>
        </w:rPr>
        <w:tab/>
        <w:t>Equality Impact Assessment</w:t>
      </w:r>
    </w:p>
    <w:p w14:paraId="0AF65513" w14:textId="47363A5C" w:rsidR="00C0322C" w:rsidRPr="006F090B" w:rsidRDefault="001E4399" w:rsidP="00C0322C">
      <w:pPr>
        <w:rPr>
          <w:b/>
          <w:color w:val="943634" w:themeColor="accent2" w:themeShade="BF"/>
          <w:szCs w:val="22"/>
        </w:rPr>
      </w:pPr>
      <w:r w:rsidRPr="006F090B">
        <w:rPr>
          <w:b/>
          <w:color w:val="943634" w:themeColor="accent2" w:themeShade="BF"/>
          <w:szCs w:val="22"/>
        </w:rPr>
        <w:t>Annex B11</w:t>
      </w:r>
      <w:r w:rsidR="00C0322C" w:rsidRPr="006F090B">
        <w:rPr>
          <w:b/>
          <w:color w:val="943634" w:themeColor="accent2" w:themeShade="BF"/>
          <w:szCs w:val="22"/>
        </w:rPr>
        <w:tab/>
        <w:t>ICT Key Priorities 201</w:t>
      </w:r>
      <w:r w:rsidR="006E4769" w:rsidRPr="006F090B">
        <w:rPr>
          <w:b/>
          <w:color w:val="943634" w:themeColor="accent2" w:themeShade="BF"/>
          <w:szCs w:val="22"/>
        </w:rPr>
        <w:t>9</w:t>
      </w:r>
      <w:r w:rsidR="00C0322C" w:rsidRPr="006F090B">
        <w:rPr>
          <w:b/>
          <w:color w:val="943634" w:themeColor="accent2" w:themeShade="BF"/>
          <w:szCs w:val="22"/>
        </w:rPr>
        <w:t>-2</w:t>
      </w:r>
      <w:r w:rsidR="006E4769" w:rsidRPr="006F090B">
        <w:rPr>
          <w:b/>
          <w:color w:val="943634" w:themeColor="accent2" w:themeShade="BF"/>
          <w:szCs w:val="22"/>
        </w:rPr>
        <w:t>2</w:t>
      </w:r>
    </w:p>
    <w:p w14:paraId="272A60CB" w14:textId="64678805" w:rsidR="00C0322C" w:rsidRPr="006F090B" w:rsidRDefault="001E4399" w:rsidP="00C0322C">
      <w:pPr>
        <w:rPr>
          <w:b/>
          <w:color w:val="943634" w:themeColor="accent2" w:themeShade="BF"/>
          <w:szCs w:val="22"/>
        </w:rPr>
      </w:pPr>
      <w:r w:rsidRPr="006F090B">
        <w:rPr>
          <w:b/>
          <w:color w:val="943634" w:themeColor="accent2" w:themeShade="BF"/>
          <w:szCs w:val="22"/>
        </w:rPr>
        <w:t>Annex B12</w:t>
      </w:r>
      <w:r w:rsidR="00C0322C" w:rsidRPr="006F090B">
        <w:rPr>
          <w:b/>
          <w:color w:val="943634" w:themeColor="accent2" w:themeShade="BF"/>
          <w:szCs w:val="22"/>
        </w:rPr>
        <w:tab/>
        <w:t>IMTP Communication and Engagement Plan</w:t>
      </w:r>
    </w:p>
    <w:p w14:paraId="1FD009A4" w14:textId="2472F3B3" w:rsidR="00C0322C" w:rsidRPr="006F090B" w:rsidRDefault="001E4399" w:rsidP="00C0322C">
      <w:pPr>
        <w:rPr>
          <w:b/>
          <w:color w:val="943634" w:themeColor="accent2" w:themeShade="BF"/>
          <w:szCs w:val="22"/>
        </w:rPr>
      </w:pPr>
      <w:r w:rsidRPr="006F090B">
        <w:rPr>
          <w:b/>
          <w:color w:val="943634" w:themeColor="accent2" w:themeShade="BF"/>
          <w:szCs w:val="22"/>
        </w:rPr>
        <w:t>Annex B13</w:t>
      </w:r>
      <w:r w:rsidR="00C0322C" w:rsidRPr="006F090B">
        <w:rPr>
          <w:b/>
          <w:color w:val="943634" w:themeColor="accent2" w:themeShade="BF"/>
          <w:szCs w:val="22"/>
        </w:rPr>
        <w:tab/>
        <w:t>Local IMTP Planning Timetable 2018/19</w:t>
      </w:r>
    </w:p>
    <w:p w14:paraId="0B0E8D68" w14:textId="271BD831" w:rsidR="00C0322C" w:rsidRPr="006F090B" w:rsidRDefault="001E4399" w:rsidP="00C0322C">
      <w:pPr>
        <w:rPr>
          <w:b/>
          <w:color w:val="943634" w:themeColor="accent2" w:themeShade="BF"/>
          <w:szCs w:val="22"/>
        </w:rPr>
      </w:pPr>
      <w:r w:rsidRPr="006F090B">
        <w:rPr>
          <w:b/>
          <w:color w:val="943634" w:themeColor="accent2" w:themeShade="BF"/>
          <w:szCs w:val="22"/>
        </w:rPr>
        <w:t>Annex B14</w:t>
      </w:r>
      <w:r w:rsidR="00C0322C" w:rsidRPr="006F090B">
        <w:rPr>
          <w:b/>
          <w:color w:val="943634" w:themeColor="accent2" w:themeShade="BF"/>
          <w:szCs w:val="22"/>
        </w:rPr>
        <w:tab/>
        <w:t>Organisational Risk Register</w:t>
      </w:r>
    </w:p>
    <w:p w14:paraId="4FC3024E" w14:textId="77777777" w:rsidR="00AE2753" w:rsidRPr="0014558C" w:rsidRDefault="00AE2753" w:rsidP="00E33F23">
      <w:pPr>
        <w:rPr>
          <w:szCs w:val="22"/>
          <w:u w:val="single"/>
        </w:rPr>
      </w:pPr>
    </w:p>
    <w:p w14:paraId="073C374B" w14:textId="706299EF" w:rsidR="00AE2753" w:rsidRPr="0014558C" w:rsidRDefault="00AE2753" w:rsidP="00E33F23">
      <w:pPr>
        <w:rPr>
          <w:b/>
          <w:szCs w:val="22"/>
        </w:rPr>
      </w:pPr>
      <w:r w:rsidRPr="0014558C">
        <w:rPr>
          <w:b/>
          <w:szCs w:val="22"/>
        </w:rPr>
        <w:t>WE</w:t>
      </w:r>
      <w:r w:rsidR="00AC1CB8" w:rsidRPr="0014558C">
        <w:rPr>
          <w:b/>
          <w:szCs w:val="22"/>
        </w:rPr>
        <w:t>L</w:t>
      </w:r>
      <w:r w:rsidR="004551AB" w:rsidRPr="0014558C">
        <w:rPr>
          <w:b/>
          <w:szCs w:val="22"/>
        </w:rPr>
        <w:t>SH GOVERNMENT ANNEXES (C1 TO C21</w:t>
      </w:r>
      <w:r w:rsidRPr="0014558C">
        <w:rPr>
          <w:b/>
          <w:szCs w:val="22"/>
        </w:rPr>
        <w:t>)</w:t>
      </w:r>
    </w:p>
    <w:p w14:paraId="2C21DA44" w14:textId="77777777" w:rsidR="00AE2753" w:rsidRPr="0014558C" w:rsidRDefault="00AE2753" w:rsidP="00E33F23">
      <w:pPr>
        <w:rPr>
          <w:b/>
          <w:szCs w:val="22"/>
        </w:rPr>
      </w:pPr>
    </w:p>
    <w:p w14:paraId="29BF2803" w14:textId="77777777" w:rsidR="00EC7D85" w:rsidRPr="006F090B" w:rsidRDefault="00EC7D85" w:rsidP="00EC7D85">
      <w:pPr>
        <w:rPr>
          <w:b/>
          <w:color w:val="943634" w:themeColor="accent2" w:themeShade="BF"/>
          <w:szCs w:val="22"/>
        </w:rPr>
      </w:pPr>
      <w:r w:rsidRPr="006F090B">
        <w:rPr>
          <w:b/>
          <w:color w:val="943634" w:themeColor="accent2" w:themeShade="BF"/>
          <w:szCs w:val="22"/>
        </w:rPr>
        <w:t>C1</w:t>
      </w:r>
      <w:r w:rsidRPr="006F090B">
        <w:rPr>
          <w:b/>
          <w:color w:val="943634" w:themeColor="accent2" w:themeShade="BF"/>
          <w:szCs w:val="22"/>
        </w:rPr>
        <w:tab/>
        <w:t xml:space="preserve">Outcomes Framework - Delivery of Measures </w:t>
      </w:r>
    </w:p>
    <w:p w14:paraId="256ED59B" w14:textId="77777777" w:rsidR="00EC7D85" w:rsidRPr="006F090B" w:rsidRDefault="00AC1CB8" w:rsidP="00AC1CB8">
      <w:pPr>
        <w:ind w:left="720" w:hanging="720"/>
        <w:rPr>
          <w:b/>
          <w:color w:val="943634" w:themeColor="accent2" w:themeShade="BF"/>
          <w:szCs w:val="22"/>
        </w:rPr>
      </w:pPr>
      <w:r w:rsidRPr="006F090B">
        <w:rPr>
          <w:b/>
          <w:color w:val="943634" w:themeColor="accent2" w:themeShade="BF"/>
          <w:szCs w:val="22"/>
        </w:rPr>
        <w:t>C2</w:t>
      </w:r>
      <w:r w:rsidRPr="006F090B">
        <w:rPr>
          <w:b/>
          <w:color w:val="943634" w:themeColor="accent2" w:themeShade="BF"/>
          <w:szCs w:val="22"/>
        </w:rPr>
        <w:tab/>
      </w:r>
      <w:r w:rsidR="00EC7D85" w:rsidRPr="006F090B">
        <w:rPr>
          <w:b/>
          <w:color w:val="943634" w:themeColor="accent2" w:themeShade="BF"/>
          <w:szCs w:val="22"/>
        </w:rPr>
        <w:t>Service Shift from Secondar</w:t>
      </w:r>
      <w:r w:rsidR="00FE43E7" w:rsidRPr="006F090B">
        <w:rPr>
          <w:b/>
          <w:color w:val="943634" w:themeColor="accent2" w:themeShade="BF"/>
          <w:szCs w:val="22"/>
        </w:rPr>
        <w:t>y to Primary and Community Care</w:t>
      </w:r>
    </w:p>
    <w:p w14:paraId="28055EF8" w14:textId="28CAEB0E" w:rsidR="00EC7D85" w:rsidRPr="006F090B" w:rsidRDefault="00BD2600" w:rsidP="00EC7D85">
      <w:pPr>
        <w:rPr>
          <w:b/>
          <w:color w:val="943634" w:themeColor="accent2" w:themeShade="BF"/>
          <w:szCs w:val="22"/>
        </w:rPr>
      </w:pPr>
      <w:r w:rsidRPr="006F090B">
        <w:rPr>
          <w:b/>
          <w:color w:val="943634" w:themeColor="accent2" w:themeShade="BF"/>
          <w:szCs w:val="22"/>
        </w:rPr>
        <w:t>C3</w:t>
      </w:r>
      <w:r w:rsidRPr="006F090B">
        <w:rPr>
          <w:b/>
          <w:color w:val="943634" w:themeColor="accent2" w:themeShade="BF"/>
          <w:szCs w:val="22"/>
        </w:rPr>
        <w:tab/>
      </w:r>
      <w:r w:rsidR="003A3DF2" w:rsidRPr="006F090B">
        <w:rPr>
          <w:b/>
          <w:color w:val="943634" w:themeColor="accent2" w:themeShade="BF"/>
          <w:szCs w:val="22"/>
        </w:rPr>
        <w:t>Finance – Statement of Comprehensiv</w:t>
      </w:r>
      <w:r w:rsidR="00115D29" w:rsidRPr="006F090B">
        <w:rPr>
          <w:b/>
          <w:color w:val="943634" w:themeColor="accent2" w:themeShade="BF"/>
          <w:szCs w:val="22"/>
        </w:rPr>
        <w:t xml:space="preserve">e Net Income/Expenditure – </w:t>
      </w:r>
      <w:r w:rsidR="00347D38" w:rsidRPr="006F090B">
        <w:rPr>
          <w:b/>
          <w:color w:val="943634" w:themeColor="accent2" w:themeShade="BF"/>
          <w:szCs w:val="22"/>
        </w:rPr>
        <w:t>3</w:t>
      </w:r>
      <w:r w:rsidR="004551AB" w:rsidRPr="006F090B">
        <w:rPr>
          <w:b/>
          <w:color w:val="943634" w:themeColor="accent2" w:themeShade="BF"/>
          <w:szCs w:val="22"/>
        </w:rPr>
        <w:t xml:space="preserve"> years</w:t>
      </w:r>
    </w:p>
    <w:p w14:paraId="71192AC1" w14:textId="0BA83887" w:rsidR="00EC7D85" w:rsidRPr="006F090B" w:rsidRDefault="00BD2600" w:rsidP="00EC7D85">
      <w:pPr>
        <w:rPr>
          <w:b/>
          <w:color w:val="943634" w:themeColor="accent2" w:themeShade="BF"/>
          <w:szCs w:val="22"/>
        </w:rPr>
      </w:pPr>
      <w:r w:rsidRPr="006F090B">
        <w:rPr>
          <w:b/>
          <w:color w:val="943634" w:themeColor="accent2" w:themeShade="BF"/>
          <w:szCs w:val="22"/>
        </w:rPr>
        <w:t>C4</w:t>
      </w:r>
      <w:r w:rsidRPr="006F090B">
        <w:rPr>
          <w:b/>
          <w:color w:val="943634" w:themeColor="accent2" w:themeShade="BF"/>
          <w:szCs w:val="22"/>
        </w:rPr>
        <w:tab/>
      </w:r>
      <w:r w:rsidR="003A3DF2" w:rsidRPr="006F090B">
        <w:rPr>
          <w:b/>
          <w:color w:val="943634" w:themeColor="accent2" w:themeShade="BF"/>
          <w:szCs w:val="22"/>
        </w:rPr>
        <w:t xml:space="preserve">Finance – Statement of Comprehensive Net Income/Expenditure NET profile </w:t>
      </w:r>
    </w:p>
    <w:p w14:paraId="6D8A2612" w14:textId="7DF755DC" w:rsidR="00EC7D85" w:rsidRPr="006F090B" w:rsidRDefault="00BD2600" w:rsidP="00EC7D85">
      <w:pPr>
        <w:rPr>
          <w:b/>
          <w:color w:val="943634" w:themeColor="accent2" w:themeShade="BF"/>
          <w:szCs w:val="22"/>
        </w:rPr>
      </w:pPr>
      <w:r w:rsidRPr="006F090B">
        <w:rPr>
          <w:b/>
          <w:color w:val="943634" w:themeColor="accent2" w:themeShade="BF"/>
          <w:szCs w:val="22"/>
        </w:rPr>
        <w:t>C5</w:t>
      </w:r>
      <w:r w:rsidRPr="006F090B">
        <w:rPr>
          <w:b/>
          <w:color w:val="943634" w:themeColor="accent2" w:themeShade="BF"/>
          <w:szCs w:val="22"/>
        </w:rPr>
        <w:tab/>
      </w:r>
      <w:r w:rsidR="003A3DF2" w:rsidRPr="006F090B">
        <w:rPr>
          <w:b/>
          <w:color w:val="943634" w:themeColor="accent2" w:themeShade="BF"/>
          <w:szCs w:val="22"/>
        </w:rPr>
        <w:t>Finance – Financial Plan Summary</w:t>
      </w:r>
    </w:p>
    <w:p w14:paraId="67E37965" w14:textId="5654B2B8" w:rsidR="00EC7D85" w:rsidRPr="006F090B" w:rsidRDefault="00BD2600" w:rsidP="00EC7D85">
      <w:pPr>
        <w:rPr>
          <w:b/>
          <w:color w:val="943634" w:themeColor="accent2" w:themeShade="BF"/>
          <w:szCs w:val="22"/>
        </w:rPr>
      </w:pPr>
      <w:r w:rsidRPr="006F090B">
        <w:rPr>
          <w:b/>
          <w:color w:val="943634" w:themeColor="accent2" w:themeShade="BF"/>
          <w:szCs w:val="22"/>
        </w:rPr>
        <w:t>C6</w:t>
      </w:r>
      <w:r w:rsidRPr="006F090B">
        <w:rPr>
          <w:b/>
          <w:color w:val="943634" w:themeColor="accent2" w:themeShade="BF"/>
          <w:szCs w:val="22"/>
        </w:rPr>
        <w:tab/>
      </w:r>
      <w:r w:rsidR="003A3DF2" w:rsidRPr="006F090B">
        <w:rPr>
          <w:b/>
          <w:color w:val="943634" w:themeColor="accent2" w:themeShade="BF"/>
          <w:szCs w:val="22"/>
        </w:rPr>
        <w:t>Finance – RP Assumptions</w:t>
      </w:r>
    </w:p>
    <w:p w14:paraId="1CB51772" w14:textId="5DBFE291" w:rsidR="00EC7D85" w:rsidRPr="006F090B" w:rsidRDefault="00BD2600" w:rsidP="00EC7D85">
      <w:pPr>
        <w:rPr>
          <w:b/>
          <w:color w:val="943634" w:themeColor="accent2" w:themeShade="BF"/>
          <w:szCs w:val="22"/>
        </w:rPr>
      </w:pPr>
      <w:r w:rsidRPr="006F090B">
        <w:rPr>
          <w:b/>
          <w:color w:val="943634" w:themeColor="accent2" w:themeShade="BF"/>
          <w:szCs w:val="22"/>
        </w:rPr>
        <w:t>C7</w:t>
      </w:r>
      <w:r w:rsidRPr="006F090B">
        <w:rPr>
          <w:b/>
          <w:color w:val="943634" w:themeColor="accent2" w:themeShade="BF"/>
          <w:szCs w:val="22"/>
        </w:rPr>
        <w:tab/>
      </w:r>
      <w:r w:rsidR="003A3DF2" w:rsidRPr="006F090B">
        <w:rPr>
          <w:b/>
          <w:color w:val="943634" w:themeColor="accent2" w:themeShade="BF"/>
          <w:szCs w:val="22"/>
        </w:rPr>
        <w:t>Finance – Revenue Resource Limit Assumptions</w:t>
      </w:r>
    </w:p>
    <w:p w14:paraId="6A513EA3" w14:textId="77777777" w:rsidR="00EC7D85" w:rsidRPr="006F090B" w:rsidRDefault="00BD2600" w:rsidP="00EC7D85">
      <w:pPr>
        <w:rPr>
          <w:b/>
          <w:color w:val="943634" w:themeColor="accent2" w:themeShade="BF"/>
          <w:szCs w:val="22"/>
        </w:rPr>
      </w:pPr>
      <w:r w:rsidRPr="006F090B">
        <w:rPr>
          <w:b/>
          <w:color w:val="943634" w:themeColor="accent2" w:themeShade="BF"/>
          <w:szCs w:val="22"/>
        </w:rPr>
        <w:t>C8</w:t>
      </w:r>
      <w:r w:rsidRPr="006F090B">
        <w:rPr>
          <w:b/>
          <w:color w:val="943634" w:themeColor="accent2" w:themeShade="BF"/>
          <w:szCs w:val="22"/>
        </w:rPr>
        <w:tab/>
      </w:r>
      <w:r w:rsidR="00EC7D85" w:rsidRPr="006F090B">
        <w:rPr>
          <w:b/>
          <w:color w:val="943634" w:themeColor="accent2" w:themeShade="BF"/>
          <w:szCs w:val="22"/>
        </w:rPr>
        <w:t xml:space="preserve">Income and Expenditure Assumptions (Wales NHS) </w:t>
      </w:r>
    </w:p>
    <w:p w14:paraId="49DCE555" w14:textId="77777777" w:rsidR="00EC7D85" w:rsidRPr="006F090B" w:rsidRDefault="00BD2600" w:rsidP="00EC7D85">
      <w:pPr>
        <w:rPr>
          <w:b/>
          <w:color w:val="943634" w:themeColor="accent2" w:themeShade="BF"/>
          <w:szCs w:val="22"/>
        </w:rPr>
      </w:pPr>
      <w:r w:rsidRPr="006F090B">
        <w:rPr>
          <w:b/>
          <w:color w:val="943634" w:themeColor="accent2" w:themeShade="BF"/>
          <w:szCs w:val="22"/>
        </w:rPr>
        <w:t>C9</w:t>
      </w:r>
      <w:r w:rsidRPr="006F090B">
        <w:rPr>
          <w:b/>
          <w:color w:val="943634" w:themeColor="accent2" w:themeShade="BF"/>
          <w:szCs w:val="22"/>
        </w:rPr>
        <w:tab/>
      </w:r>
      <w:r w:rsidR="00EC7D85" w:rsidRPr="006F090B">
        <w:rPr>
          <w:b/>
          <w:color w:val="943634" w:themeColor="accent2" w:themeShade="BF"/>
          <w:szCs w:val="22"/>
        </w:rPr>
        <w:t xml:space="preserve">Finance – Year 1 Savings Plan </w:t>
      </w:r>
    </w:p>
    <w:p w14:paraId="3A56B9DB" w14:textId="584F0502" w:rsidR="00EC7D85" w:rsidRPr="006F090B" w:rsidRDefault="00BD2600" w:rsidP="00EC7D85">
      <w:pPr>
        <w:rPr>
          <w:b/>
          <w:color w:val="943634" w:themeColor="accent2" w:themeShade="BF"/>
          <w:szCs w:val="22"/>
        </w:rPr>
      </w:pPr>
      <w:r w:rsidRPr="006F090B">
        <w:rPr>
          <w:b/>
          <w:color w:val="943634" w:themeColor="accent2" w:themeShade="BF"/>
          <w:szCs w:val="22"/>
        </w:rPr>
        <w:lastRenderedPageBreak/>
        <w:t>C10</w:t>
      </w:r>
      <w:r w:rsidRPr="006F090B">
        <w:rPr>
          <w:b/>
          <w:color w:val="943634" w:themeColor="accent2" w:themeShade="BF"/>
          <w:szCs w:val="22"/>
        </w:rPr>
        <w:tab/>
      </w:r>
      <w:r w:rsidR="00EC7D85" w:rsidRPr="006F090B">
        <w:rPr>
          <w:b/>
          <w:color w:val="943634" w:themeColor="accent2" w:themeShade="BF"/>
          <w:szCs w:val="22"/>
        </w:rPr>
        <w:t xml:space="preserve">Finance – Years 2 </w:t>
      </w:r>
      <w:r w:rsidR="00876289" w:rsidRPr="006F090B">
        <w:rPr>
          <w:b/>
          <w:color w:val="943634" w:themeColor="accent2" w:themeShade="BF"/>
          <w:szCs w:val="22"/>
        </w:rPr>
        <w:t>and</w:t>
      </w:r>
      <w:r w:rsidR="00EC7D85" w:rsidRPr="006F090B">
        <w:rPr>
          <w:b/>
          <w:color w:val="943634" w:themeColor="accent2" w:themeShade="BF"/>
          <w:szCs w:val="22"/>
        </w:rPr>
        <w:t xml:space="preserve"> 3 Savings Plan </w:t>
      </w:r>
    </w:p>
    <w:p w14:paraId="2C24E771" w14:textId="612C92E8" w:rsidR="00EC7D85" w:rsidRPr="006F090B" w:rsidRDefault="00BD2600" w:rsidP="00EC7D85">
      <w:pPr>
        <w:rPr>
          <w:b/>
          <w:color w:val="943634" w:themeColor="accent2" w:themeShade="BF"/>
          <w:szCs w:val="22"/>
        </w:rPr>
      </w:pPr>
      <w:r w:rsidRPr="006F090B">
        <w:rPr>
          <w:b/>
          <w:color w:val="943634" w:themeColor="accent2" w:themeShade="BF"/>
          <w:szCs w:val="22"/>
        </w:rPr>
        <w:t>C11</w:t>
      </w:r>
      <w:r w:rsidRPr="006F090B">
        <w:rPr>
          <w:b/>
          <w:color w:val="943634" w:themeColor="accent2" w:themeShade="BF"/>
          <w:szCs w:val="22"/>
        </w:rPr>
        <w:tab/>
      </w:r>
      <w:r w:rsidR="003A3DF2" w:rsidRPr="006F090B">
        <w:rPr>
          <w:b/>
          <w:color w:val="943634" w:themeColor="accent2" w:themeShade="BF"/>
          <w:szCs w:val="22"/>
        </w:rPr>
        <w:t>Finance – Risks and Opportunities</w:t>
      </w:r>
    </w:p>
    <w:p w14:paraId="1ECFAE92" w14:textId="77777777" w:rsidR="00EC7D85" w:rsidRPr="006F090B" w:rsidRDefault="00BD2600" w:rsidP="00EC7D85">
      <w:pPr>
        <w:rPr>
          <w:b/>
          <w:color w:val="943634" w:themeColor="accent2" w:themeShade="BF"/>
          <w:szCs w:val="22"/>
        </w:rPr>
      </w:pPr>
      <w:r w:rsidRPr="006F090B">
        <w:rPr>
          <w:b/>
          <w:color w:val="943634" w:themeColor="accent2" w:themeShade="BF"/>
          <w:szCs w:val="22"/>
        </w:rPr>
        <w:t>C12</w:t>
      </w:r>
      <w:r w:rsidRPr="006F090B">
        <w:rPr>
          <w:b/>
          <w:color w:val="943634" w:themeColor="accent2" w:themeShade="BF"/>
          <w:szCs w:val="22"/>
        </w:rPr>
        <w:tab/>
      </w:r>
      <w:r w:rsidR="00EC7D85" w:rsidRPr="006F090B">
        <w:rPr>
          <w:b/>
          <w:color w:val="943634" w:themeColor="accent2" w:themeShade="BF"/>
          <w:szCs w:val="22"/>
        </w:rPr>
        <w:t xml:space="preserve">Asset Investment Summary </w:t>
      </w:r>
    </w:p>
    <w:p w14:paraId="2068ECAF" w14:textId="13CC2E83" w:rsidR="00EC7D85" w:rsidRPr="006F090B" w:rsidRDefault="00BD2600" w:rsidP="00EC7D85">
      <w:pPr>
        <w:rPr>
          <w:b/>
          <w:color w:val="943634" w:themeColor="accent2" w:themeShade="BF"/>
          <w:szCs w:val="22"/>
        </w:rPr>
      </w:pPr>
      <w:r w:rsidRPr="006F090B">
        <w:rPr>
          <w:b/>
          <w:color w:val="943634" w:themeColor="accent2" w:themeShade="BF"/>
          <w:szCs w:val="22"/>
        </w:rPr>
        <w:t>C13</w:t>
      </w:r>
      <w:r w:rsidRPr="006F090B">
        <w:rPr>
          <w:b/>
          <w:color w:val="943634" w:themeColor="accent2" w:themeShade="BF"/>
          <w:szCs w:val="22"/>
        </w:rPr>
        <w:tab/>
      </w:r>
      <w:r w:rsidR="003A3DF2" w:rsidRPr="006F090B">
        <w:rPr>
          <w:b/>
          <w:color w:val="943634" w:themeColor="accent2" w:themeShade="BF"/>
          <w:szCs w:val="22"/>
        </w:rPr>
        <w:t>Asset Investment Approved</w:t>
      </w:r>
    </w:p>
    <w:p w14:paraId="1B2122AC" w14:textId="3C4B2FD0" w:rsidR="003A3DF2" w:rsidRPr="006F090B" w:rsidRDefault="003A3DF2" w:rsidP="00EC7D85">
      <w:pPr>
        <w:rPr>
          <w:b/>
          <w:color w:val="943634" w:themeColor="accent2" w:themeShade="BF"/>
          <w:szCs w:val="22"/>
        </w:rPr>
      </w:pPr>
      <w:r w:rsidRPr="006F090B">
        <w:rPr>
          <w:b/>
          <w:color w:val="943634" w:themeColor="accent2" w:themeShade="BF"/>
          <w:szCs w:val="22"/>
        </w:rPr>
        <w:t>C14</w:t>
      </w:r>
      <w:r w:rsidRPr="006F090B">
        <w:rPr>
          <w:b/>
          <w:color w:val="943634" w:themeColor="accent2" w:themeShade="BF"/>
          <w:szCs w:val="22"/>
        </w:rPr>
        <w:tab/>
        <w:t>Asset Investment Unapproved</w:t>
      </w:r>
    </w:p>
    <w:p w14:paraId="744CC0A6" w14:textId="4160D46F" w:rsidR="00EC7D85" w:rsidRPr="006F090B" w:rsidRDefault="00756967" w:rsidP="00EC7D85">
      <w:pPr>
        <w:rPr>
          <w:b/>
          <w:color w:val="943634" w:themeColor="accent2" w:themeShade="BF"/>
          <w:szCs w:val="22"/>
        </w:rPr>
      </w:pPr>
      <w:r w:rsidRPr="006F090B">
        <w:rPr>
          <w:b/>
          <w:color w:val="943634" w:themeColor="accent2" w:themeShade="BF"/>
          <w:szCs w:val="22"/>
        </w:rPr>
        <w:t>C15</w:t>
      </w:r>
      <w:r w:rsidR="00BD2600" w:rsidRPr="006F090B">
        <w:rPr>
          <w:b/>
          <w:color w:val="943634" w:themeColor="accent2" w:themeShade="BF"/>
          <w:szCs w:val="22"/>
        </w:rPr>
        <w:tab/>
      </w:r>
      <w:r w:rsidR="00EC7D85" w:rsidRPr="006F090B">
        <w:rPr>
          <w:b/>
          <w:color w:val="943634" w:themeColor="accent2" w:themeShade="BF"/>
          <w:szCs w:val="22"/>
        </w:rPr>
        <w:t xml:space="preserve">Revenue Funded Infrastructure </w:t>
      </w:r>
    </w:p>
    <w:p w14:paraId="3F87A0A8" w14:textId="4FF87CBE" w:rsidR="00EC7D85" w:rsidRPr="006F090B" w:rsidRDefault="00756967" w:rsidP="00EC7D85">
      <w:pPr>
        <w:rPr>
          <w:b/>
          <w:color w:val="943634" w:themeColor="accent2" w:themeShade="BF"/>
          <w:szCs w:val="22"/>
        </w:rPr>
      </w:pPr>
      <w:r w:rsidRPr="006F090B">
        <w:rPr>
          <w:b/>
          <w:color w:val="943634" w:themeColor="accent2" w:themeShade="BF"/>
          <w:szCs w:val="22"/>
        </w:rPr>
        <w:t>C16</w:t>
      </w:r>
      <w:r w:rsidR="00BD2600" w:rsidRPr="006F090B">
        <w:rPr>
          <w:b/>
          <w:color w:val="943634" w:themeColor="accent2" w:themeShade="BF"/>
          <w:szCs w:val="22"/>
        </w:rPr>
        <w:tab/>
      </w:r>
      <w:r w:rsidR="00EC7D85" w:rsidRPr="006F090B">
        <w:rPr>
          <w:b/>
          <w:color w:val="943634" w:themeColor="accent2" w:themeShade="BF"/>
          <w:szCs w:val="22"/>
        </w:rPr>
        <w:t xml:space="preserve">Workforce - WTE </w:t>
      </w:r>
    </w:p>
    <w:p w14:paraId="512B2CB7" w14:textId="5F637A8A" w:rsidR="00EC7D85" w:rsidRPr="006F090B" w:rsidRDefault="00756967" w:rsidP="00EC7D85">
      <w:pPr>
        <w:rPr>
          <w:b/>
          <w:color w:val="943634" w:themeColor="accent2" w:themeShade="BF"/>
          <w:szCs w:val="22"/>
        </w:rPr>
      </w:pPr>
      <w:r w:rsidRPr="006F090B">
        <w:rPr>
          <w:b/>
          <w:color w:val="943634" w:themeColor="accent2" w:themeShade="BF"/>
          <w:szCs w:val="22"/>
        </w:rPr>
        <w:t>C17</w:t>
      </w:r>
      <w:r w:rsidR="00BD2600" w:rsidRPr="006F090B">
        <w:rPr>
          <w:b/>
          <w:color w:val="943634" w:themeColor="accent2" w:themeShade="BF"/>
          <w:szCs w:val="22"/>
        </w:rPr>
        <w:tab/>
      </w:r>
      <w:r w:rsidR="00EC7D85" w:rsidRPr="006F090B">
        <w:rPr>
          <w:b/>
          <w:color w:val="943634" w:themeColor="accent2" w:themeShade="BF"/>
          <w:szCs w:val="22"/>
        </w:rPr>
        <w:t xml:space="preserve">Workforce - £'000 </w:t>
      </w:r>
    </w:p>
    <w:p w14:paraId="005F409A" w14:textId="4DD328E7" w:rsidR="00EC7D85" w:rsidRPr="006F090B" w:rsidRDefault="00756967" w:rsidP="00EC7D85">
      <w:pPr>
        <w:rPr>
          <w:b/>
          <w:color w:val="943634" w:themeColor="accent2" w:themeShade="BF"/>
          <w:szCs w:val="22"/>
        </w:rPr>
      </w:pPr>
      <w:r w:rsidRPr="006F090B">
        <w:rPr>
          <w:b/>
          <w:color w:val="943634" w:themeColor="accent2" w:themeShade="BF"/>
          <w:szCs w:val="22"/>
        </w:rPr>
        <w:t>C18</w:t>
      </w:r>
      <w:r w:rsidR="00BD2600" w:rsidRPr="006F090B">
        <w:rPr>
          <w:b/>
          <w:color w:val="943634" w:themeColor="accent2" w:themeShade="BF"/>
          <w:szCs w:val="22"/>
        </w:rPr>
        <w:tab/>
      </w:r>
      <w:r w:rsidR="00EC7D85" w:rsidRPr="006F090B">
        <w:rPr>
          <w:b/>
          <w:color w:val="943634" w:themeColor="accent2" w:themeShade="BF"/>
          <w:szCs w:val="22"/>
        </w:rPr>
        <w:t xml:space="preserve">Workforce - Recruitment Difficulties </w:t>
      </w:r>
    </w:p>
    <w:p w14:paraId="613DF86F" w14:textId="02D85A2D" w:rsidR="00EC7D85" w:rsidRPr="006F090B" w:rsidRDefault="00756967" w:rsidP="00EC7D85">
      <w:pPr>
        <w:rPr>
          <w:b/>
          <w:color w:val="943634" w:themeColor="accent2" w:themeShade="BF"/>
          <w:szCs w:val="22"/>
        </w:rPr>
      </w:pPr>
      <w:r w:rsidRPr="006F090B">
        <w:rPr>
          <w:b/>
          <w:color w:val="943634" w:themeColor="accent2" w:themeShade="BF"/>
          <w:szCs w:val="22"/>
        </w:rPr>
        <w:t>C19</w:t>
      </w:r>
      <w:r w:rsidR="00BD2600" w:rsidRPr="006F090B">
        <w:rPr>
          <w:b/>
          <w:color w:val="943634" w:themeColor="accent2" w:themeShade="BF"/>
          <w:szCs w:val="22"/>
        </w:rPr>
        <w:tab/>
      </w:r>
      <w:r w:rsidR="00EC7D85" w:rsidRPr="006F090B">
        <w:rPr>
          <w:b/>
          <w:color w:val="943634" w:themeColor="accent2" w:themeShade="BF"/>
          <w:szCs w:val="22"/>
        </w:rPr>
        <w:t xml:space="preserve">Educational </w:t>
      </w:r>
      <w:r w:rsidR="00347D38" w:rsidRPr="006F090B">
        <w:rPr>
          <w:b/>
          <w:color w:val="943634" w:themeColor="accent2" w:themeShade="BF"/>
          <w:szCs w:val="22"/>
        </w:rPr>
        <w:t>C</w:t>
      </w:r>
      <w:r w:rsidR="00E23FB4" w:rsidRPr="006F090B">
        <w:rPr>
          <w:b/>
          <w:color w:val="943634" w:themeColor="accent2" w:themeShade="BF"/>
          <w:szCs w:val="22"/>
        </w:rPr>
        <w:t>ommissioning</w:t>
      </w:r>
      <w:r w:rsidR="00347D38" w:rsidRPr="006F090B">
        <w:rPr>
          <w:b/>
          <w:color w:val="943634" w:themeColor="accent2" w:themeShade="BF"/>
          <w:szCs w:val="22"/>
        </w:rPr>
        <w:t xml:space="preserve"> I</w:t>
      </w:r>
      <w:r w:rsidR="00EC7D85" w:rsidRPr="006F090B">
        <w:rPr>
          <w:b/>
          <w:color w:val="943634" w:themeColor="accent2" w:themeShade="BF"/>
          <w:szCs w:val="22"/>
        </w:rPr>
        <w:t xml:space="preserve">nformation </w:t>
      </w:r>
    </w:p>
    <w:p w14:paraId="2170A5C6" w14:textId="4911731F" w:rsidR="00EC7D85" w:rsidRPr="006F090B" w:rsidRDefault="00756967" w:rsidP="00EC7D85">
      <w:pPr>
        <w:rPr>
          <w:b/>
          <w:color w:val="943634" w:themeColor="accent2" w:themeShade="BF"/>
          <w:szCs w:val="22"/>
        </w:rPr>
      </w:pPr>
      <w:r w:rsidRPr="006F090B">
        <w:rPr>
          <w:b/>
          <w:color w:val="943634" w:themeColor="accent2" w:themeShade="BF"/>
          <w:szCs w:val="22"/>
        </w:rPr>
        <w:t>C19</w:t>
      </w:r>
      <w:r w:rsidR="00BD2600" w:rsidRPr="006F090B">
        <w:rPr>
          <w:b/>
          <w:color w:val="943634" w:themeColor="accent2" w:themeShade="BF"/>
          <w:szCs w:val="22"/>
        </w:rPr>
        <w:t>.1</w:t>
      </w:r>
      <w:r w:rsidR="00BD2600" w:rsidRPr="006F090B">
        <w:rPr>
          <w:b/>
          <w:color w:val="943634" w:themeColor="accent2" w:themeShade="BF"/>
          <w:szCs w:val="22"/>
        </w:rPr>
        <w:tab/>
      </w:r>
      <w:r w:rsidR="00347D38" w:rsidRPr="006F090B">
        <w:rPr>
          <w:b/>
          <w:color w:val="943634" w:themeColor="accent2" w:themeShade="BF"/>
          <w:szCs w:val="22"/>
        </w:rPr>
        <w:t>Nursing &amp; Midwifery</w:t>
      </w:r>
    </w:p>
    <w:p w14:paraId="799470EC" w14:textId="16AC6773" w:rsidR="00EC7D85" w:rsidRPr="006F090B" w:rsidRDefault="00756967" w:rsidP="00EC7D85">
      <w:pPr>
        <w:rPr>
          <w:b/>
          <w:color w:val="943634" w:themeColor="accent2" w:themeShade="BF"/>
          <w:szCs w:val="22"/>
        </w:rPr>
      </w:pPr>
      <w:r w:rsidRPr="006F090B">
        <w:rPr>
          <w:b/>
          <w:color w:val="943634" w:themeColor="accent2" w:themeShade="BF"/>
          <w:szCs w:val="22"/>
        </w:rPr>
        <w:t>C19</w:t>
      </w:r>
      <w:r w:rsidR="00BD2600" w:rsidRPr="006F090B">
        <w:rPr>
          <w:b/>
          <w:color w:val="943634" w:themeColor="accent2" w:themeShade="BF"/>
          <w:szCs w:val="22"/>
        </w:rPr>
        <w:t>.2</w:t>
      </w:r>
      <w:r w:rsidR="00BD2600" w:rsidRPr="006F090B">
        <w:rPr>
          <w:b/>
          <w:color w:val="943634" w:themeColor="accent2" w:themeShade="BF"/>
          <w:szCs w:val="22"/>
        </w:rPr>
        <w:tab/>
      </w:r>
      <w:r w:rsidR="00347D38" w:rsidRPr="006F090B">
        <w:rPr>
          <w:b/>
          <w:color w:val="943634" w:themeColor="accent2" w:themeShade="BF"/>
          <w:szCs w:val="22"/>
        </w:rPr>
        <w:t>AHPs</w:t>
      </w:r>
      <w:r w:rsidR="00EC7D85" w:rsidRPr="006F090B">
        <w:rPr>
          <w:b/>
          <w:color w:val="943634" w:themeColor="accent2" w:themeShade="BF"/>
          <w:szCs w:val="22"/>
        </w:rPr>
        <w:t xml:space="preserve"> </w:t>
      </w:r>
    </w:p>
    <w:p w14:paraId="4EBCFF53" w14:textId="54654675" w:rsidR="00EC7D85" w:rsidRPr="006F090B" w:rsidRDefault="00756967" w:rsidP="00EC7D85">
      <w:pPr>
        <w:rPr>
          <w:b/>
          <w:color w:val="943634" w:themeColor="accent2" w:themeShade="BF"/>
          <w:szCs w:val="22"/>
        </w:rPr>
      </w:pPr>
      <w:r w:rsidRPr="006F090B">
        <w:rPr>
          <w:b/>
          <w:color w:val="943634" w:themeColor="accent2" w:themeShade="BF"/>
          <w:szCs w:val="22"/>
        </w:rPr>
        <w:t>C19</w:t>
      </w:r>
      <w:r w:rsidR="00BD2600" w:rsidRPr="006F090B">
        <w:rPr>
          <w:b/>
          <w:color w:val="943634" w:themeColor="accent2" w:themeShade="BF"/>
          <w:szCs w:val="22"/>
        </w:rPr>
        <w:t>.3</w:t>
      </w:r>
      <w:r w:rsidR="00BD2600" w:rsidRPr="006F090B">
        <w:rPr>
          <w:b/>
          <w:color w:val="943634" w:themeColor="accent2" w:themeShade="BF"/>
          <w:szCs w:val="22"/>
        </w:rPr>
        <w:tab/>
      </w:r>
      <w:r w:rsidR="00347D38" w:rsidRPr="006F090B">
        <w:rPr>
          <w:b/>
          <w:color w:val="943634" w:themeColor="accent2" w:themeShade="BF"/>
          <w:szCs w:val="22"/>
        </w:rPr>
        <w:t>HCS</w:t>
      </w:r>
      <w:r w:rsidR="00EC7D85" w:rsidRPr="006F090B">
        <w:rPr>
          <w:b/>
          <w:color w:val="943634" w:themeColor="accent2" w:themeShade="BF"/>
          <w:szCs w:val="22"/>
        </w:rPr>
        <w:t xml:space="preserve"> </w:t>
      </w:r>
    </w:p>
    <w:p w14:paraId="3B8AFE80" w14:textId="77777777" w:rsidR="00347D38" w:rsidRPr="006F090B" w:rsidRDefault="00756967" w:rsidP="00EC7D85">
      <w:pPr>
        <w:rPr>
          <w:b/>
          <w:color w:val="943634" w:themeColor="accent2" w:themeShade="BF"/>
          <w:szCs w:val="22"/>
        </w:rPr>
      </w:pPr>
      <w:r w:rsidRPr="006F090B">
        <w:rPr>
          <w:b/>
          <w:color w:val="943634" w:themeColor="accent2" w:themeShade="BF"/>
          <w:szCs w:val="22"/>
        </w:rPr>
        <w:t>C19</w:t>
      </w:r>
      <w:r w:rsidR="00BD2600" w:rsidRPr="006F090B">
        <w:rPr>
          <w:b/>
          <w:color w:val="943634" w:themeColor="accent2" w:themeShade="BF"/>
          <w:szCs w:val="22"/>
        </w:rPr>
        <w:t>.4</w:t>
      </w:r>
      <w:r w:rsidR="00BD2600" w:rsidRPr="006F090B">
        <w:rPr>
          <w:b/>
          <w:color w:val="943634" w:themeColor="accent2" w:themeShade="BF"/>
          <w:szCs w:val="22"/>
        </w:rPr>
        <w:tab/>
      </w:r>
      <w:r w:rsidR="00347D38" w:rsidRPr="006F090B">
        <w:rPr>
          <w:b/>
          <w:color w:val="943634" w:themeColor="accent2" w:themeShade="BF"/>
          <w:szCs w:val="22"/>
        </w:rPr>
        <w:t>Pharmacy</w:t>
      </w:r>
    </w:p>
    <w:p w14:paraId="439BFB14" w14:textId="7998653E" w:rsidR="00EC7D85" w:rsidRPr="006F090B" w:rsidRDefault="00347D38" w:rsidP="00EC7D85">
      <w:pPr>
        <w:rPr>
          <w:b/>
          <w:color w:val="943634" w:themeColor="accent2" w:themeShade="BF"/>
          <w:szCs w:val="22"/>
        </w:rPr>
      </w:pPr>
      <w:r w:rsidRPr="006F090B">
        <w:rPr>
          <w:b/>
          <w:color w:val="943634" w:themeColor="accent2" w:themeShade="BF"/>
          <w:szCs w:val="22"/>
        </w:rPr>
        <w:t>C19.5</w:t>
      </w:r>
      <w:r w:rsidRPr="006F090B">
        <w:rPr>
          <w:b/>
          <w:color w:val="943634" w:themeColor="accent2" w:themeShade="BF"/>
          <w:szCs w:val="22"/>
        </w:rPr>
        <w:tab/>
        <w:t>Other Professions</w:t>
      </w:r>
    </w:p>
    <w:p w14:paraId="0E51F7B4" w14:textId="6670E5D8" w:rsidR="00347D38" w:rsidRPr="006F090B" w:rsidRDefault="00347D38" w:rsidP="00EC7D85">
      <w:pPr>
        <w:rPr>
          <w:b/>
          <w:color w:val="943634" w:themeColor="accent2" w:themeShade="BF"/>
          <w:szCs w:val="22"/>
        </w:rPr>
      </w:pPr>
      <w:r w:rsidRPr="006F090B">
        <w:rPr>
          <w:b/>
          <w:color w:val="943634" w:themeColor="accent2" w:themeShade="BF"/>
          <w:szCs w:val="22"/>
        </w:rPr>
        <w:t>C19.6</w:t>
      </w:r>
      <w:r w:rsidRPr="006F090B">
        <w:rPr>
          <w:b/>
          <w:color w:val="943634" w:themeColor="accent2" w:themeShade="BF"/>
          <w:szCs w:val="22"/>
        </w:rPr>
        <w:tab/>
        <w:t>Medical &amp; Dental</w:t>
      </w:r>
    </w:p>
    <w:p w14:paraId="51FC05A2" w14:textId="03938662" w:rsidR="00EC7D85" w:rsidRPr="006F090B" w:rsidRDefault="00756967" w:rsidP="00EC7D85">
      <w:pPr>
        <w:rPr>
          <w:b/>
          <w:color w:val="943634" w:themeColor="accent2" w:themeShade="BF"/>
          <w:szCs w:val="22"/>
        </w:rPr>
      </w:pPr>
      <w:r w:rsidRPr="006F090B">
        <w:rPr>
          <w:b/>
          <w:color w:val="943634" w:themeColor="accent2" w:themeShade="BF"/>
          <w:szCs w:val="22"/>
        </w:rPr>
        <w:t>C21</w:t>
      </w:r>
      <w:r w:rsidRPr="006F090B">
        <w:rPr>
          <w:b/>
          <w:color w:val="943634" w:themeColor="accent2" w:themeShade="BF"/>
          <w:szCs w:val="22"/>
        </w:rPr>
        <w:tab/>
      </w:r>
      <w:r w:rsidR="00347D38" w:rsidRPr="006F090B">
        <w:rPr>
          <w:b/>
          <w:color w:val="943634" w:themeColor="accent2" w:themeShade="BF"/>
          <w:szCs w:val="22"/>
        </w:rPr>
        <w:t>Finance – Supplementary Master Savings Review Template</w:t>
      </w:r>
    </w:p>
    <w:p w14:paraId="4C70E9BF" w14:textId="3E9F70FE" w:rsidR="00AE2753" w:rsidRPr="006F090B" w:rsidRDefault="00756967" w:rsidP="00E33F23">
      <w:pPr>
        <w:rPr>
          <w:b/>
          <w:color w:val="943634" w:themeColor="accent2" w:themeShade="BF"/>
          <w:szCs w:val="22"/>
        </w:rPr>
      </w:pPr>
      <w:r w:rsidRPr="006F090B">
        <w:rPr>
          <w:b/>
          <w:color w:val="943634" w:themeColor="accent2" w:themeShade="BF"/>
          <w:szCs w:val="22"/>
        </w:rPr>
        <w:t>C22</w:t>
      </w:r>
      <w:r w:rsidRPr="006F090B">
        <w:rPr>
          <w:b/>
          <w:color w:val="943634" w:themeColor="accent2" w:themeShade="BF"/>
          <w:szCs w:val="22"/>
        </w:rPr>
        <w:tab/>
        <w:t>Hyperlinks</w:t>
      </w:r>
    </w:p>
    <w:p w14:paraId="74FF9B22" w14:textId="55B4B4EF" w:rsidR="00445534" w:rsidRPr="00926C0B" w:rsidRDefault="00445534" w:rsidP="00B61ADD"/>
    <w:p w14:paraId="174B4281" w14:textId="4D2B3400" w:rsidR="00672E1C" w:rsidRPr="00926C0B" w:rsidRDefault="00672E1C" w:rsidP="00672E1C"/>
    <w:p w14:paraId="21E4DD4A" w14:textId="77777777" w:rsidR="00611327" w:rsidRPr="00926C0B" w:rsidRDefault="00611327" w:rsidP="00372E13">
      <w:pPr>
        <w:sectPr w:rsidR="00611327" w:rsidRPr="00926C0B" w:rsidSect="00611BEB">
          <w:pgSz w:w="11906" w:h="16838"/>
          <w:pgMar w:top="964" w:right="964" w:bottom="964" w:left="964" w:header="709" w:footer="709" w:gutter="0"/>
          <w:pgNumType w:fmt="lowerRoman"/>
          <w:cols w:space="708"/>
          <w:titlePg/>
          <w:docGrid w:linePitch="360"/>
        </w:sectPr>
      </w:pPr>
    </w:p>
    <w:p w14:paraId="5948DDF5" w14:textId="3A049B3C" w:rsidR="003A1F82" w:rsidRPr="00E07712" w:rsidRDefault="000739DC" w:rsidP="00A97FE5">
      <w:pPr>
        <w:pStyle w:val="Heading1"/>
        <w:rPr>
          <w:szCs w:val="26"/>
        </w:rPr>
      </w:pPr>
      <w:bookmarkStart w:id="4" w:name="_Toc536195543"/>
      <w:bookmarkStart w:id="5" w:name="_Toc25262158"/>
      <w:r w:rsidRPr="00E07712">
        <w:rPr>
          <w:szCs w:val="26"/>
        </w:rPr>
        <w:lastRenderedPageBreak/>
        <w:t>STRATEGIC CONTEXT</w:t>
      </w:r>
      <w:bookmarkEnd w:id="4"/>
      <w:bookmarkEnd w:id="5"/>
    </w:p>
    <w:p w14:paraId="2FF10E46" w14:textId="19A2666F" w:rsidR="000739DC" w:rsidRPr="00F85ADB" w:rsidRDefault="000739DC" w:rsidP="000739DC">
      <w:pPr>
        <w:rPr>
          <w:i/>
          <w:color w:val="000000" w:themeColor="text1"/>
          <w:szCs w:val="22"/>
        </w:rPr>
      </w:pPr>
      <w:r w:rsidRPr="00F85ADB">
        <w:rPr>
          <w:i/>
          <w:color w:val="000000" w:themeColor="text1"/>
          <w:szCs w:val="22"/>
        </w:rPr>
        <w:t xml:space="preserve">This chapter sets out the strategic context in which we intend to operate as a Health Board during the delivery of this Plan and includes an overview of our </w:t>
      </w:r>
      <w:r w:rsidR="00782241" w:rsidRPr="00F85ADB">
        <w:rPr>
          <w:i/>
          <w:color w:val="000000" w:themeColor="text1"/>
          <w:szCs w:val="22"/>
        </w:rPr>
        <w:t>Integrated Health and Care</w:t>
      </w:r>
      <w:r w:rsidRPr="00F85ADB">
        <w:rPr>
          <w:i/>
          <w:color w:val="000000" w:themeColor="text1"/>
          <w:szCs w:val="22"/>
        </w:rPr>
        <w:t xml:space="preserve"> Strategy and our delivery priorities.</w:t>
      </w:r>
      <w:r w:rsidR="00280487" w:rsidRPr="00F85ADB">
        <w:rPr>
          <w:i/>
          <w:color w:val="000000" w:themeColor="text1"/>
          <w:szCs w:val="22"/>
        </w:rPr>
        <w:t xml:space="preserve">  </w:t>
      </w:r>
      <w:r w:rsidRPr="00F85ADB">
        <w:rPr>
          <w:i/>
          <w:color w:val="000000" w:themeColor="text1"/>
          <w:szCs w:val="22"/>
        </w:rPr>
        <w:t xml:space="preserve">The vison, values and well-being objectives </w:t>
      </w:r>
      <w:r w:rsidR="00782241" w:rsidRPr="00F85ADB">
        <w:rPr>
          <w:i/>
          <w:color w:val="000000" w:themeColor="text1"/>
          <w:szCs w:val="22"/>
        </w:rPr>
        <w:t>for the organisation are being engaged on but will appear in draft within the final plan.</w:t>
      </w:r>
      <w:r w:rsidRPr="00F85ADB">
        <w:rPr>
          <w:i/>
          <w:color w:val="000000" w:themeColor="text1"/>
          <w:szCs w:val="22"/>
        </w:rPr>
        <w:t xml:space="preserve">  Over the course of the Plan, as set out in Chapter 6 Workforce and Organisational Development, the Health B</w:t>
      </w:r>
      <w:r w:rsidR="00280487" w:rsidRPr="00F85ADB">
        <w:rPr>
          <w:i/>
          <w:color w:val="000000" w:themeColor="text1"/>
          <w:szCs w:val="22"/>
        </w:rPr>
        <w:t>oard will build</w:t>
      </w:r>
      <w:r w:rsidRPr="00F85ADB">
        <w:rPr>
          <w:i/>
          <w:color w:val="000000" w:themeColor="text1"/>
          <w:szCs w:val="22"/>
        </w:rPr>
        <w:t xml:space="preserve"> on the staff engagement work, to aligning the values, culture and behaviour </w:t>
      </w:r>
      <w:r w:rsidR="00F85ADB" w:rsidRPr="00F85ADB">
        <w:rPr>
          <w:i/>
          <w:color w:val="000000" w:themeColor="text1"/>
          <w:szCs w:val="22"/>
        </w:rPr>
        <w:t xml:space="preserve">for the new </w:t>
      </w:r>
      <w:r w:rsidR="00792C74" w:rsidRPr="00F85ADB">
        <w:rPr>
          <w:i/>
          <w:color w:val="000000" w:themeColor="text1"/>
          <w:szCs w:val="22"/>
        </w:rPr>
        <w:t>organisation</w:t>
      </w:r>
      <w:r w:rsidR="00F85ADB" w:rsidRPr="00F85ADB">
        <w:rPr>
          <w:i/>
          <w:color w:val="000000" w:themeColor="text1"/>
          <w:szCs w:val="22"/>
        </w:rPr>
        <w:t>.</w:t>
      </w:r>
    </w:p>
    <w:p w14:paraId="5904CBE2" w14:textId="32F00E47" w:rsidR="005D34A5" w:rsidRPr="00E07712" w:rsidRDefault="006B31E5" w:rsidP="00D73B8A">
      <w:pPr>
        <w:pStyle w:val="Heading2"/>
        <w:rPr>
          <w:szCs w:val="22"/>
        </w:rPr>
      </w:pPr>
      <w:bookmarkStart w:id="6" w:name="_Toc532299665"/>
      <w:bookmarkStart w:id="7" w:name="_Toc532463937"/>
      <w:bookmarkStart w:id="8" w:name="_Toc536195544"/>
      <w:bookmarkStart w:id="9" w:name="_Toc441757215"/>
      <w:bookmarkStart w:id="10" w:name="_Toc447195619"/>
      <w:bookmarkStart w:id="11" w:name="_Toc471829970"/>
      <w:bookmarkStart w:id="12" w:name="_Toc473290288"/>
      <w:bookmarkStart w:id="13" w:name="_Toc478738512"/>
      <w:bookmarkStart w:id="14" w:name="_Toc25262159"/>
      <w:r w:rsidRPr="00E07712">
        <w:rPr>
          <w:szCs w:val="22"/>
        </w:rPr>
        <w:t>H</w:t>
      </w:r>
      <w:r w:rsidR="0005692A" w:rsidRPr="00E07712">
        <w:rPr>
          <w:szCs w:val="22"/>
        </w:rPr>
        <w:t>ealth</w:t>
      </w:r>
      <w:r w:rsidRPr="00E07712">
        <w:rPr>
          <w:szCs w:val="22"/>
        </w:rPr>
        <w:t xml:space="preserve"> Board P</w:t>
      </w:r>
      <w:r w:rsidR="0005692A" w:rsidRPr="00E07712">
        <w:rPr>
          <w:szCs w:val="22"/>
        </w:rPr>
        <w:t>rofile</w:t>
      </w:r>
      <w:bookmarkEnd w:id="6"/>
      <w:bookmarkEnd w:id="7"/>
      <w:bookmarkEnd w:id="8"/>
      <w:bookmarkEnd w:id="14"/>
    </w:p>
    <w:p w14:paraId="6376414A" w14:textId="77777777" w:rsidR="002E3731" w:rsidRDefault="002E3731" w:rsidP="002E3731">
      <w:pPr>
        <w:rPr>
          <w:rFonts w:cs="Calibri"/>
          <w:szCs w:val="22"/>
        </w:rPr>
      </w:pPr>
      <w:bookmarkStart w:id="15" w:name="_Toc532463938"/>
      <w:r>
        <w:t>The Health Board, from 1 April 2019, provides and commissions a full range of hospital and community based services for the residents of Rhondda Cynon Taf, Merthyr Tydfil and Bridgend.  This includes the provision of local primary care services; GP Practices, Dental Practices, Optometry Practices and Community Pharmacy and the running of hospitals, health centres and community health teams.  The Health Board is also responsible for making arrangements for residents to access more specialised health services where these are not provided within the Health Board boundary.</w:t>
      </w:r>
    </w:p>
    <w:p w14:paraId="4AB3A194" w14:textId="77777777" w:rsidR="002E3731" w:rsidRDefault="002E3731" w:rsidP="002E3731">
      <w:pPr>
        <w:rPr>
          <w:lang w:eastAsia="en-US"/>
        </w:rPr>
      </w:pPr>
    </w:p>
    <w:p w14:paraId="684A819B" w14:textId="77777777" w:rsidR="002E3731" w:rsidRDefault="002E3731" w:rsidP="002E3731">
      <w:pPr>
        <w:rPr>
          <w:b/>
          <w:bCs/>
        </w:rPr>
      </w:pPr>
      <w:r>
        <w:t xml:space="preserve">The resident population of Merthyr Tydfil, Rhondda Cynon Taf and Bridgend was estimated to be 441,293 in 2016 accounting for just over 14% of the Welsh population.  Just over 54% of the population live in Rhondda Cynon Taf Local Authority, 13.5% in Merthyr Tydfil and almost 32.5% reside in Bridgend.  The Health Board’s catchment population increases to approximately 530,000 when including patient flow from the Upper Rhymney Valley, South Powys, North Cardiff, Neath Port Talbot and Vale of Glamorgan. </w:t>
      </w:r>
    </w:p>
    <w:p w14:paraId="0D5B0528" w14:textId="77777777" w:rsidR="002E3731" w:rsidRDefault="002E3731" w:rsidP="002E3731"/>
    <w:p w14:paraId="77E18DF2" w14:textId="77777777" w:rsidR="002E3731" w:rsidRDefault="002E3731" w:rsidP="002E3731">
      <w:r>
        <w:t>In the primary care sector, Merthyr Tydfil, Rhondda Cynon Taf and Bridgend have 110 Community Pharmacies, 58 Dental Practices, 54 General Medical Practices and 46 Optometrist Practices.  The Health Board manages three District General Hospitals and 46 other sites made up of community hospitals, health centres/clinics and support facilities.  Several of our hospitals are now amongst the most modern in Wales.</w:t>
      </w:r>
    </w:p>
    <w:p w14:paraId="230F6285" w14:textId="77777777" w:rsidR="002E3731" w:rsidRDefault="002E3731" w:rsidP="002E3731"/>
    <w:p w14:paraId="2043477C" w14:textId="1420E535" w:rsidR="002E3731" w:rsidRDefault="002E3731" w:rsidP="002E3731">
      <w:r>
        <w:t>The Health Board currently employs on average 7,215</w:t>
      </w:r>
      <w:r>
        <w:rPr>
          <w:i/>
          <w:iCs/>
        </w:rPr>
        <w:t xml:space="preserve"> </w:t>
      </w:r>
      <w:r>
        <w:t>whole time equivalent staff, with a headcount of approximately 8,225 and a current pay bill of approximately £542m.  As the second largest employer in the area, a significant number of our workforce live and work within the communities that we serve.</w:t>
      </w:r>
    </w:p>
    <w:p w14:paraId="4D05DE32" w14:textId="77777777" w:rsidR="002E3731" w:rsidRDefault="002E3731" w:rsidP="002E3731"/>
    <w:p w14:paraId="532ACB4C" w14:textId="27D589F4" w:rsidR="00074CEA" w:rsidRPr="00074CEA" w:rsidRDefault="002E3731" w:rsidP="00074CEA">
      <w:pPr>
        <w:rPr>
          <w:rFonts w:asciiTheme="minorHAnsi" w:hAnsiTheme="minorHAnsi"/>
          <w:szCs w:val="22"/>
        </w:rPr>
      </w:pPr>
      <w:r w:rsidRPr="002E3731">
        <w:rPr>
          <w:rFonts w:asciiTheme="minorHAnsi" w:hAnsiTheme="minorHAnsi"/>
          <w:szCs w:val="22"/>
        </w:rPr>
        <w:t xml:space="preserve">Detailed information about the services we provide and our facilities can be found on our website in the section under </w:t>
      </w:r>
      <w:hyperlink r:id="rId30" w:history="1">
        <w:r w:rsidRPr="002E3731">
          <w:rPr>
            <w:rStyle w:val="Hyperlink"/>
            <w:rFonts w:asciiTheme="minorHAnsi" w:hAnsiTheme="minorHAnsi" w:cs="Tahoma"/>
            <w:color w:val="auto"/>
            <w:szCs w:val="22"/>
          </w:rPr>
          <w:t>'Services'</w:t>
        </w:r>
      </w:hyperlink>
      <w:r w:rsidRPr="002E3731">
        <w:rPr>
          <w:rFonts w:asciiTheme="minorHAnsi" w:hAnsiTheme="minorHAnsi"/>
          <w:szCs w:val="22"/>
        </w:rPr>
        <w:t xml:space="preserve">.  The Health Board reports regularly on its performance including the </w:t>
      </w:r>
      <w:hyperlink r:id="rId31" w:history="1">
        <w:r w:rsidRPr="002E3731">
          <w:rPr>
            <w:rStyle w:val="Hyperlink"/>
            <w:rFonts w:asciiTheme="minorHAnsi" w:hAnsiTheme="minorHAnsi" w:cs="Tahoma"/>
            <w:color w:val="auto"/>
            <w:szCs w:val="22"/>
          </w:rPr>
          <w:t>Delivery Framework</w:t>
        </w:r>
      </w:hyperlink>
      <w:r w:rsidRPr="002E3731">
        <w:rPr>
          <w:rFonts w:asciiTheme="minorHAnsi" w:hAnsiTheme="minorHAnsi"/>
          <w:szCs w:val="22"/>
        </w:rPr>
        <w:t xml:space="preserve"> targets set by Welsh Government.  The key reporting mechanisms are through the Health Board, Executive Board, the Quality, Safety and Risk Committee, Finance, Performance and Workforce Committee and through other Health Board meetings</w:t>
      </w:r>
      <w:r w:rsidR="00074CEA">
        <w:rPr>
          <w:rFonts w:asciiTheme="minorHAnsi" w:hAnsiTheme="minorHAnsi"/>
          <w:szCs w:val="22"/>
        </w:rPr>
        <w:t>.</w:t>
      </w:r>
    </w:p>
    <w:p w14:paraId="2BC5FD20" w14:textId="5E14D96C" w:rsidR="00074CEA" w:rsidRPr="00E07712" w:rsidRDefault="00074CEA" w:rsidP="00074CEA">
      <w:pPr>
        <w:pStyle w:val="Heading2"/>
        <w:rPr>
          <w:szCs w:val="22"/>
        </w:rPr>
      </w:pPr>
      <w:bookmarkStart w:id="16" w:name="_Toc25262160"/>
      <w:r>
        <w:rPr>
          <w:szCs w:val="22"/>
        </w:rPr>
        <w:t>D</w:t>
      </w:r>
      <w:r w:rsidR="00A32A85">
        <w:rPr>
          <w:szCs w:val="22"/>
        </w:rPr>
        <w:t>elivering For The Well-Being of Future Generations</w:t>
      </w:r>
      <w:bookmarkEnd w:id="16"/>
    </w:p>
    <w:p w14:paraId="29A81321" w14:textId="63BBB352" w:rsidR="00074CEA" w:rsidRPr="007B2784" w:rsidRDefault="00074CEA" w:rsidP="00074CEA">
      <w:bookmarkStart w:id="17" w:name="_Toc532299668"/>
      <w:bookmarkStart w:id="18" w:name="_Toc532463943"/>
      <w:bookmarkStart w:id="19" w:name="_Toc536195545"/>
      <w:bookmarkEnd w:id="15"/>
      <w:r>
        <w:rPr>
          <w:noProof/>
        </w:rPr>
        <w:drawing>
          <wp:anchor distT="0" distB="0" distL="114300" distR="114300" simplePos="0" relativeHeight="252839936" behindDoc="0" locked="0" layoutInCell="1" allowOverlap="1" wp14:anchorId="72BCD3AB" wp14:editId="1E4F4BDF">
            <wp:simplePos x="0" y="0"/>
            <wp:positionH relativeFrom="margin">
              <wp:align>right</wp:align>
            </wp:positionH>
            <wp:positionV relativeFrom="paragraph">
              <wp:posOffset>10160</wp:posOffset>
            </wp:positionV>
            <wp:extent cx="1013460" cy="1023429"/>
            <wp:effectExtent l="0" t="0" r="0" b="5715"/>
            <wp:wrapSquare wrapText="bothSides"/>
            <wp:docPr id="45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013460" cy="1023429"/>
                    </a:xfrm>
                    <a:prstGeom prst="rect">
                      <a:avLst/>
                    </a:prstGeom>
                    <a:noFill/>
                    <a:ln>
                      <a:noFill/>
                    </a:ln>
                    <a:extLst/>
                  </pic:spPr>
                </pic:pic>
              </a:graphicData>
            </a:graphic>
          </wp:anchor>
        </w:drawing>
      </w:r>
      <w:r w:rsidRPr="00525EE5">
        <w:rPr>
          <w:szCs w:val="22"/>
        </w:rPr>
        <w:t>The well-being objectives of the former Cwm Taf University Health Board are set out below.  Th</w:t>
      </w:r>
      <w:r>
        <w:rPr>
          <w:szCs w:val="22"/>
        </w:rPr>
        <w:t>ese</w:t>
      </w:r>
      <w:r w:rsidRPr="00525EE5">
        <w:rPr>
          <w:szCs w:val="22"/>
        </w:rPr>
        <w:t xml:space="preserve"> will be review and updated to reflect the ambition of Cwm Taf Morgannwg</w:t>
      </w:r>
      <w:r>
        <w:rPr>
          <w:szCs w:val="22"/>
        </w:rPr>
        <w:t xml:space="preserve"> University Health Board</w:t>
      </w:r>
      <w:r w:rsidRPr="00525EE5">
        <w:rPr>
          <w:szCs w:val="22"/>
        </w:rPr>
        <w:t>.</w:t>
      </w:r>
    </w:p>
    <w:p w14:paraId="2FF2A2B8" w14:textId="77777777" w:rsidR="00074CEA" w:rsidRPr="00BF1BAB" w:rsidRDefault="00074CEA" w:rsidP="00074CEA">
      <w:pPr>
        <w:pStyle w:val="NormalBullet"/>
        <w:rPr>
          <w:szCs w:val="22"/>
        </w:rPr>
      </w:pPr>
      <w:r w:rsidRPr="00221F64">
        <w:rPr>
          <w:szCs w:val="22"/>
        </w:rPr>
        <w:t>We will work with communities to prevent ill-health, protect good health and promote better health and well-being.</w:t>
      </w:r>
    </w:p>
    <w:p w14:paraId="0A593C7F" w14:textId="77777777" w:rsidR="00074CEA" w:rsidRPr="00221F64" w:rsidRDefault="00074CEA" w:rsidP="00074CEA">
      <w:pPr>
        <w:pStyle w:val="NormalBullet"/>
        <w:rPr>
          <w:szCs w:val="22"/>
        </w:rPr>
      </w:pPr>
      <w:r w:rsidRPr="00221F64">
        <w:rPr>
          <w:szCs w:val="22"/>
        </w:rPr>
        <w:t>We will provide high quality care as locally as possible wherever it is safe and sustainable.</w:t>
      </w:r>
    </w:p>
    <w:p w14:paraId="1C728AD6" w14:textId="77777777" w:rsidR="00074CEA" w:rsidRPr="00221F64" w:rsidRDefault="00074CEA" w:rsidP="00074CEA">
      <w:pPr>
        <w:pStyle w:val="NormalBullet"/>
        <w:rPr>
          <w:szCs w:val="22"/>
        </w:rPr>
      </w:pPr>
      <w:r w:rsidRPr="00221F64">
        <w:rPr>
          <w:szCs w:val="22"/>
        </w:rPr>
        <w:t>Our service delivery will be innovative, reflect the principles of prudent health care and promote better value for users.</w:t>
      </w:r>
    </w:p>
    <w:p w14:paraId="7144FE25" w14:textId="77777777" w:rsidR="00074CEA" w:rsidRPr="00221F64" w:rsidRDefault="00074CEA" w:rsidP="00074CEA">
      <w:pPr>
        <w:pStyle w:val="NormalBullet"/>
        <w:rPr>
          <w:szCs w:val="22"/>
        </w:rPr>
      </w:pPr>
      <w:r w:rsidRPr="00221F64">
        <w:rPr>
          <w:szCs w:val="22"/>
        </w:rPr>
        <w:t>We will work collaboratively with our public service partners and a broader range of partners to join up health and other services where this potentially represents better value for our residents and care users.</w:t>
      </w:r>
    </w:p>
    <w:p w14:paraId="7ED6B970" w14:textId="77777777" w:rsidR="00074CEA" w:rsidRPr="00BF1BAB" w:rsidRDefault="00074CEA" w:rsidP="00074CEA">
      <w:pPr>
        <w:pStyle w:val="NormalBullet"/>
        <w:rPr>
          <w:szCs w:val="22"/>
        </w:rPr>
      </w:pPr>
      <w:r w:rsidRPr="00221F64">
        <w:rPr>
          <w:szCs w:val="22"/>
        </w:rPr>
        <w:t xml:space="preserve">Through our commitment to corporate social responsibility and to improving health and social equity, we will work with our staff, partners and communities to build upon strong local relationships and solid </w:t>
      </w:r>
      <w:r w:rsidRPr="00BF1BAB">
        <w:rPr>
          <w:szCs w:val="22"/>
        </w:rPr>
        <w:t>foundations of the past.</w:t>
      </w:r>
    </w:p>
    <w:p w14:paraId="0E950264" w14:textId="77777777" w:rsidR="00074CEA" w:rsidRPr="00BF1BAB" w:rsidRDefault="00074CEA" w:rsidP="00074CEA">
      <w:pPr>
        <w:pStyle w:val="NormalBullet"/>
        <w:numPr>
          <w:ilvl w:val="0"/>
          <w:numId w:val="0"/>
        </w:numPr>
        <w:ind w:left="357" w:hanging="357"/>
        <w:rPr>
          <w:szCs w:val="22"/>
        </w:rPr>
      </w:pPr>
    </w:p>
    <w:p w14:paraId="3818F167" w14:textId="4706B5A3" w:rsidR="00BF1BAB" w:rsidRPr="00BF1BAB" w:rsidRDefault="00ED3450" w:rsidP="00BF1BAB">
      <w:pPr>
        <w:pStyle w:val="NormalBullet"/>
        <w:numPr>
          <w:ilvl w:val="0"/>
          <w:numId w:val="0"/>
        </w:numPr>
        <w:rPr>
          <w:szCs w:val="22"/>
        </w:rPr>
      </w:pPr>
      <w:r>
        <w:rPr>
          <w:szCs w:val="22"/>
        </w:rPr>
        <w:lastRenderedPageBreak/>
        <w:t>E</w:t>
      </w:r>
      <w:r w:rsidR="00074CEA" w:rsidRPr="00DA1072">
        <w:rPr>
          <w:szCs w:val="22"/>
        </w:rPr>
        <w:t>xamples</w:t>
      </w:r>
      <w:r w:rsidR="00074CEA" w:rsidRPr="00BF1BAB">
        <w:rPr>
          <w:szCs w:val="22"/>
        </w:rPr>
        <w:t xml:space="preserve"> of how the Sus</w:t>
      </w:r>
      <w:r w:rsidR="00074CEA">
        <w:rPr>
          <w:szCs w:val="22"/>
        </w:rPr>
        <w:t>tainable</w:t>
      </w:r>
      <w:r w:rsidR="00074CEA" w:rsidRPr="00BF1BAB">
        <w:rPr>
          <w:szCs w:val="22"/>
        </w:rPr>
        <w:t xml:space="preserve"> Development Principle</w:t>
      </w:r>
      <w:r w:rsidR="00074CEA">
        <w:rPr>
          <w:szCs w:val="22"/>
        </w:rPr>
        <w:t xml:space="preserve"> has been and continues to underpin planning and delivery in the Health Board is set out below:</w:t>
      </w:r>
      <w:bookmarkStart w:id="20" w:name="_Toc471829971"/>
      <w:bookmarkStart w:id="21" w:name="_Toc473290289"/>
      <w:bookmarkEnd w:id="9"/>
      <w:bookmarkEnd w:id="10"/>
      <w:bookmarkEnd w:id="11"/>
      <w:bookmarkEnd w:id="12"/>
      <w:bookmarkEnd w:id="13"/>
      <w:bookmarkEnd w:id="17"/>
      <w:bookmarkEnd w:id="18"/>
      <w:bookmarkEnd w:id="19"/>
    </w:p>
    <w:p w14:paraId="16D608A6" w14:textId="4FD80F26" w:rsidR="00BF1BAB" w:rsidRPr="00221F64" w:rsidRDefault="00BF1BAB" w:rsidP="00BF1BAB">
      <w:pPr>
        <w:pStyle w:val="NormalBullet"/>
        <w:numPr>
          <w:ilvl w:val="0"/>
          <w:numId w:val="0"/>
        </w:numPr>
        <w:ind w:left="357" w:hanging="357"/>
        <w:rPr>
          <w:szCs w:val="22"/>
        </w:rPr>
      </w:pPr>
    </w:p>
    <w:tbl>
      <w:tblPr>
        <w:tblStyle w:val="TableGrid"/>
        <w:tblpPr w:leftFromText="180" w:rightFromText="180" w:vertAnchor="text" w:horzAnchor="margin" w:tblpY="197"/>
        <w:tblW w:w="0" w:type="auto"/>
        <w:tblLook w:val="04A0" w:firstRow="1" w:lastRow="0" w:firstColumn="1" w:lastColumn="0" w:noHBand="0" w:noVBand="1"/>
      </w:tblPr>
      <w:tblGrid>
        <w:gridCol w:w="2346"/>
        <w:gridCol w:w="1426"/>
        <w:gridCol w:w="6201"/>
      </w:tblGrid>
      <w:tr w:rsidR="00DA1072" w14:paraId="725945B2" w14:textId="77777777" w:rsidTr="00074CEA">
        <w:tc>
          <w:tcPr>
            <w:tcW w:w="2346" w:type="dxa"/>
            <w:tcBorders>
              <w:top w:val="nil"/>
              <w:left w:val="nil"/>
              <w:bottom w:val="nil"/>
              <w:right w:val="nil"/>
            </w:tcBorders>
          </w:tcPr>
          <w:p w14:paraId="4EFE250F" w14:textId="40E4F9C5" w:rsidR="00DA1072" w:rsidRDefault="00DA1072" w:rsidP="00DA1072">
            <w:pPr>
              <w:pStyle w:val="NormalBullet"/>
              <w:numPr>
                <w:ilvl w:val="0"/>
                <w:numId w:val="0"/>
              </w:numPr>
              <w:jc w:val="left"/>
              <w:rPr>
                <w:szCs w:val="22"/>
              </w:rPr>
            </w:pPr>
            <w:r>
              <w:rPr>
                <w:noProof/>
                <w:szCs w:val="22"/>
              </w:rPr>
              <w:drawing>
                <wp:inline distT="0" distB="0" distL="0" distR="0" wp14:anchorId="16BC282E" wp14:editId="75F9F81D">
                  <wp:extent cx="1352550" cy="1352550"/>
                  <wp:effectExtent l="0" t="0" r="0" b="0"/>
                  <wp:docPr id="454" name="Picture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 name="5ways Prevention.png"/>
                          <pic:cNvPicPr/>
                        </pic:nvPicPr>
                        <pic:blipFill>
                          <a:blip r:embed="rId33">
                            <a:extLst>
                              <a:ext uri="{28A0092B-C50C-407E-A947-70E740481C1C}">
                                <a14:useLocalDpi xmlns:a14="http://schemas.microsoft.com/office/drawing/2010/main" val="0"/>
                              </a:ext>
                            </a:extLst>
                          </a:blip>
                          <a:stretch>
                            <a:fillRect/>
                          </a:stretch>
                        </pic:blipFill>
                        <pic:spPr>
                          <a:xfrm>
                            <a:off x="0" y="0"/>
                            <a:ext cx="1352550" cy="1352550"/>
                          </a:xfrm>
                          <a:prstGeom prst="rect">
                            <a:avLst/>
                          </a:prstGeom>
                        </pic:spPr>
                      </pic:pic>
                    </a:graphicData>
                  </a:graphic>
                </wp:inline>
              </w:drawing>
            </w:r>
          </w:p>
        </w:tc>
        <w:tc>
          <w:tcPr>
            <w:tcW w:w="1335" w:type="dxa"/>
            <w:tcBorders>
              <w:top w:val="nil"/>
              <w:left w:val="nil"/>
              <w:bottom w:val="nil"/>
              <w:right w:val="single" w:sz="4" w:space="0" w:color="BFBFBF" w:themeColor="background1" w:themeShade="BF"/>
            </w:tcBorders>
            <w:vAlign w:val="center"/>
          </w:tcPr>
          <w:p w14:paraId="38C1663E" w14:textId="51DB0794" w:rsidR="00DA1072" w:rsidRPr="00074CEA" w:rsidRDefault="00DA1072" w:rsidP="00DA1072">
            <w:pPr>
              <w:pStyle w:val="NormalBullet"/>
              <w:numPr>
                <w:ilvl w:val="0"/>
                <w:numId w:val="0"/>
              </w:numPr>
              <w:jc w:val="center"/>
              <w:rPr>
                <w:sz w:val="22"/>
                <w:szCs w:val="22"/>
              </w:rPr>
            </w:pPr>
            <w:r w:rsidRPr="00074CEA">
              <w:rPr>
                <w:sz w:val="22"/>
                <w:szCs w:val="22"/>
              </w:rPr>
              <w:t>Prevention</w:t>
            </w:r>
          </w:p>
        </w:tc>
        <w:tc>
          <w:tcPr>
            <w:tcW w:w="628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6E09FA6" w14:textId="7C0A7898" w:rsidR="00DA1072" w:rsidRDefault="00DA1072" w:rsidP="007B2784">
            <w:pPr>
              <w:pStyle w:val="NormalBullet"/>
              <w:ind w:left="0" w:firstLine="0"/>
              <w:rPr>
                <w:szCs w:val="22"/>
              </w:rPr>
            </w:pPr>
          </w:p>
        </w:tc>
      </w:tr>
      <w:tr w:rsidR="00DA1072" w14:paraId="549E7F04" w14:textId="77777777" w:rsidTr="00074CEA">
        <w:tc>
          <w:tcPr>
            <w:tcW w:w="2346" w:type="dxa"/>
            <w:tcBorders>
              <w:top w:val="nil"/>
              <w:left w:val="nil"/>
              <w:bottom w:val="nil"/>
              <w:right w:val="nil"/>
            </w:tcBorders>
          </w:tcPr>
          <w:p w14:paraId="65D3A5D0" w14:textId="2B4ED1A2" w:rsidR="00DA1072" w:rsidRDefault="00DA1072" w:rsidP="00DA1072">
            <w:pPr>
              <w:pStyle w:val="NormalBullet"/>
              <w:numPr>
                <w:ilvl w:val="0"/>
                <w:numId w:val="0"/>
              </w:numPr>
              <w:rPr>
                <w:szCs w:val="22"/>
              </w:rPr>
            </w:pPr>
            <w:r>
              <w:rPr>
                <w:noProof/>
                <w:szCs w:val="22"/>
              </w:rPr>
              <w:drawing>
                <wp:inline distT="0" distB="0" distL="0" distR="0" wp14:anchorId="588D27FD" wp14:editId="5F979A77">
                  <wp:extent cx="1352550" cy="1352550"/>
                  <wp:effectExtent l="0" t="0" r="0" b="0"/>
                  <wp:docPr id="455" name="Picture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5" name="5ways Long Term.png"/>
                          <pic:cNvPicPr/>
                        </pic:nvPicPr>
                        <pic:blipFill>
                          <a:blip r:embed="rId34">
                            <a:extLst>
                              <a:ext uri="{28A0092B-C50C-407E-A947-70E740481C1C}">
                                <a14:useLocalDpi xmlns:a14="http://schemas.microsoft.com/office/drawing/2010/main" val="0"/>
                              </a:ext>
                            </a:extLst>
                          </a:blip>
                          <a:stretch>
                            <a:fillRect/>
                          </a:stretch>
                        </pic:blipFill>
                        <pic:spPr>
                          <a:xfrm>
                            <a:off x="0" y="0"/>
                            <a:ext cx="1352550" cy="1352550"/>
                          </a:xfrm>
                          <a:prstGeom prst="rect">
                            <a:avLst/>
                          </a:prstGeom>
                        </pic:spPr>
                      </pic:pic>
                    </a:graphicData>
                  </a:graphic>
                </wp:inline>
              </w:drawing>
            </w:r>
          </w:p>
        </w:tc>
        <w:tc>
          <w:tcPr>
            <w:tcW w:w="1335" w:type="dxa"/>
            <w:tcBorders>
              <w:top w:val="nil"/>
              <w:left w:val="nil"/>
              <w:bottom w:val="nil"/>
              <w:right w:val="single" w:sz="4" w:space="0" w:color="BFBFBF" w:themeColor="background1" w:themeShade="BF"/>
            </w:tcBorders>
            <w:vAlign w:val="center"/>
          </w:tcPr>
          <w:p w14:paraId="29BC9877" w14:textId="6C21D7CD" w:rsidR="00DA1072" w:rsidRPr="00074CEA" w:rsidRDefault="00DA1072" w:rsidP="00DA1072">
            <w:pPr>
              <w:pStyle w:val="NormalBullet"/>
              <w:numPr>
                <w:ilvl w:val="0"/>
                <w:numId w:val="0"/>
              </w:numPr>
              <w:jc w:val="center"/>
              <w:rPr>
                <w:sz w:val="22"/>
                <w:szCs w:val="22"/>
              </w:rPr>
            </w:pPr>
            <w:r w:rsidRPr="00074CEA">
              <w:rPr>
                <w:sz w:val="22"/>
                <w:szCs w:val="22"/>
              </w:rPr>
              <w:t>Long Term Planning</w:t>
            </w:r>
          </w:p>
        </w:tc>
        <w:tc>
          <w:tcPr>
            <w:tcW w:w="628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8D08FD" w14:textId="6E7C1849" w:rsidR="00DA1072" w:rsidRDefault="00DA1072" w:rsidP="007B2784">
            <w:pPr>
              <w:pStyle w:val="NormalBullet"/>
              <w:ind w:left="0" w:firstLine="0"/>
              <w:rPr>
                <w:szCs w:val="22"/>
              </w:rPr>
            </w:pPr>
          </w:p>
        </w:tc>
      </w:tr>
      <w:tr w:rsidR="00DA1072" w14:paraId="51BD8D4C" w14:textId="77777777" w:rsidTr="00074CEA">
        <w:tc>
          <w:tcPr>
            <w:tcW w:w="2346" w:type="dxa"/>
            <w:tcBorders>
              <w:top w:val="nil"/>
              <w:left w:val="nil"/>
              <w:bottom w:val="nil"/>
              <w:right w:val="nil"/>
            </w:tcBorders>
          </w:tcPr>
          <w:p w14:paraId="5F7BA3A1" w14:textId="3EE66EF4" w:rsidR="00DA1072" w:rsidRDefault="00DA1072" w:rsidP="00DA1072">
            <w:pPr>
              <w:pStyle w:val="NormalBullet"/>
              <w:numPr>
                <w:ilvl w:val="0"/>
                <w:numId w:val="0"/>
              </w:numPr>
              <w:rPr>
                <w:szCs w:val="22"/>
              </w:rPr>
            </w:pPr>
            <w:r>
              <w:rPr>
                <w:noProof/>
                <w:szCs w:val="22"/>
              </w:rPr>
              <w:drawing>
                <wp:inline distT="0" distB="0" distL="0" distR="0" wp14:anchorId="7264F0D4" wp14:editId="062115DB">
                  <wp:extent cx="1352550" cy="1352550"/>
                  <wp:effectExtent l="0" t="0" r="0" b="0"/>
                  <wp:docPr id="456" name="Picture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6" name="5ways Integration.png"/>
                          <pic:cNvPicPr/>
                        </pic:nvPicPr>
                        <pic:blipFill>
                          <a:blip r:embed="rId35">
                            <a:extLst>
                              <a:ext uri="{28A0092B-C50C-407E-A947-70E740481C1C}">
                                <a14:useLocalDpi xmlns:a14="http://schemas.microsoft.com/office/drawing/2010/main" val="0"/>
                              </a:ext>
                            </a:extLst>
                          </a:blip>
                          <a:stretch>
                            <a:fillRect/>
                          </a:stretch>
                        </pic:blipFill>
                        <pic:spPr>
                          <a:xfrm>
                            <a:off x="0" y="0"/>
                            <a:ext cx="1352550" cy="1352550"/>
                          </a:xfrm>
                          <a:prstGeom prst="rect">
                            <a:avLst/>
                          </a:prstGeom>
                        </pic:spPr>
                      </pic:pic>
                    </a:graphicData>
                  </a:graphic>
                </wp:inline>
              </w:drawing>
            </w:r>
          </w:p>
        </w:tc>
        <w:tc>
          <w:tcPr>
            <w:tcW w:w="1335" w:type="dxa"/>
            <w:tcBorders>
              <w:top w:val="nil"/>
              <w:left w:val="nil"/>
              <w:bottom w:val="nil"/>
              <w:right w:val="single" w:sz="4" w:space="0" w:color="BFBFBF" w:themeColor="background1" w:themeShade="BF"/>
            </w:tcBorders>
            <w:vAlign w:val="center"/>
          </w:tcPr>
          <w:p w14:paraId="68E29898" w14:textId="3C590A21" w:rsidR="00DA1072" w:rsidRPr="00074CEA" w:rsidRDefault="00DA1072" w:rsidP="00DA1072">
            <w:pPr>
              <w:pStyle w:val="NormalBullet"/>
              <w:numPr>
                <w:ilvl w:val="0"/>
                <w:numId w:val="0"/>
              </w:numPr>
              <w:jc w:val="center"/>
              <w:rPr>
                <w:sz w:val="22"/>
                <w:szCs w:val="22"/>
              </w:rPr>
            </w:pPr>
            <w:r w:rsidRPr="00074CEA">
              <w:rPr>
                <w:sz w:val="22"/>
                <w:szCs w:val="22"/>
              </w:rPr>
              <w:t>Integration</w:t>
            </w:r>
          </w:p>
        </w:tc>
        <w:tc>
          <w:tcPr>
            <w:tcW w:w="628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4135E6" w14:textId="4331CF18" w:rsidR="00DA1072" w:rsidRDefault="00DA1072" w:rsidP="007B2784">
            <w:pPr>
              <w:pStyle w:val="NormalBullet"/>
              <w:ind w:left="0" w:firstLine="0"/>
              <w:rPr>
                <w:szCs w:val="22"/>
              </w:rPr>
            </w:pPr>
          </w:p>
        </w:tc>
      </w:tr>
      <w:tr w:rsidR="00DA1072" w14:paraId="0E39B1DD" w14:textId="77777777" w:rsidTr="00074CEA">
        <w:tc>
          <w:tcPr>
            <w:tcW w:w="2346" w:type="dxa"/>
            <w:tcBorders>
              <w:top w:val="nil"/>
              <w:left w:val="nil"/>
              <w:bottom w:val="nil"/>
              <w:right w:val="nil"/>
            </w:tcBorders>
          </w:tcPr>
          <w:p w14:paraId="6FE28728" w14:textId="1890E350" w:rsidR="00DA1072" w:rsidRDefault="00DA1072" w:rsidP="00DA1072">
            <w:pPr>
              <w:pStyle w:val="NormalBullet"/>
              <w:numPr>
                <w:ilvl w:val="0"/>
                <w:numId w:val="0"/>
              </w:numPr>
              <w:rPr>
                <w:szCs w:val="22"/>
              </w:rPr>
            </w:pPr>
            <w:r>
              <w:rPr>
                <w:noProof/>
                <w:szCs w:val="22"/>
              </w:rPr>
              <w:drawing>
                <wp:inline distT="0" distB="0" distL="0" distR="0" wp14:anchorId="616C814C" wp14:editId="666B084C">
                  <wp:extent cx="1352550" cy="1352550"/>
                  <wp:effectExtent l="0" t="0" r="0" b="0"/>
                  <wp:docPr id="457" name="Picture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7" name="5ways Collaboration.png"/>
                          <pic:cNvPicPr/>
                        </pic:nvPicPr>
                        <pic:blipFill>
                          <a:blip r:embed="rId36">
                            <a:extLst>
                              <a:ext uri="{28A0092B-C50C-407E-A947-70E740481C1C}">
                                <a14:useLocalDpi xmlns:a14="http://schemas.microsoft.com/office/drawing/2010/main" val="0"/>
                              </a:ext>
                            </a:extLst>
                          </a:blip>
                          <a:stretch>
                            <a:fillRect/>
                          </a:stretch>
                        </pic:blipFill>
                        <pic:spPr>
                          <a:xfrm>
                            <a:off x="0" y="0"/>
                            <a:ext cx="1352550" cy="1352550"/>
                          </a:xfrm>
                          <a:prstGeom prst="rect">
                            <a:avLst/>
                          </a:prstGeom>
                        </pic:spPr>
                      </pic:pic>
                    </a:graphicData>
                  </a:graphic>
                </wp:inline>
              </w:drawing>
            </w:r>
          </w:p>
        </w:tc>
        <w:tc>
          <w:tcPr>
            <w:tcW w:w="1335" w:type="dxa"/>
            <w:tcBorders>
              <w:top w:val="nil"/>
              <w:left w:val="nil"/>
              <w:bottom w:val="nil"/>
              <w:right w:val="single" w:sz="4" w:space="0" w:color="BFBFBF" w:themeColor="background1" w:themeShade="BF"/>
            </w:tcBorders>
            <w:vAlign w:val="center"/>
          </w:tcPr>
          <w:p w14:paraId="4F1E8E11" w14:textId="3DAFB3C8" w:rsidR="00DA1072" w:rsidRPr="00074CEA" w:rsidRDefault="00DA1072" w:rsidP="00DA1072">
            <w:pPr>
              <w:pStyle w:val="NormalBullet"/>
              <w:numPr>
                <w:ilvl w:val="0"/>
                <w:numId w:val="0"/>
              </w:numPr>
              <w:jc w:val="center"/>
              <w:rPr>
                <w:sz w:val="22"/>
                <w:szCs w:val="22"/>
              </w:rPr>
            </w:pPr>
            <w:r w:rsidRPr="00074CEA">
              <w:rPr>
                <w:sz w:val="22"/>
                <w:szCs w:val="22"/>
              </w:rPr>
              <w:t>Collaboration</w:t>
            </w:r>
          </w:p>
        </w:tc>
        <w:tc>
          <w:tcPr>
            <w:tcW w:w="628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067EE9C" w14:textId="5804E6FE" w:rsidR="00DA1072" w:rsidRDefault="00DA1072" w:rsidP="007B2784">
            <w:pPr>
              <w:pStyle w:val="NormalBullet"/>
              <w:ind w:left="0" w:firstLine="0"/>
              <w:rPr>
                <w:szCs w:val="22"/>
              </w:rPr>
            </w:pPr>
          </w:p>
        </w:tc>
      </w:tr>
      <w:tr w:rsidR="00DA1072" w14:paraId="259A3C1B" w14:textId="77777777" w:rsidTr="00074CEA">
        <w:tc>
          <w:tcPr>
            <w:tcW w:w="2346" w:type="dxa"/>
            <w:tcBorders>
              <w:top w:val="nil"/>
              <w:left w:val="nil"/>
              <w:bottom w:val="nil"/>
              <w:right w:val="nil"/>
            </w:tcBorders>
          </w:tcPr>
          <w:p w14:paraId="39949BBD" w14:textId="31C62DB9" w:rsidR="00DA1072" w:rsidRDefault="00DA1072" w:rsidP="00DA1072">
            <w:pPr>
              <w:pStyle w:val="NormalBullet"/>
              <w:numPr>
                <w:ilvl w:val="0"/>
                <w:numId w:val="0"/>
              </w:numPr>
              <w:rPr>
                <w:szCs w:val="22"/>
              </w:rPr>
            </w:pPr>
            <w:r>
              <w:rPr>
                <w:noProof/>
                <w:szCs w:val="22"/>
              </w:rPr>
              <w:drawing>
                <wp:inline distT="0" distB="0" distL="0" distR="0" wp14:anchorId="605DC2A2" wp14:editId="1D1B28DE">
                  <wp:extent cx="1352550" cy="1352550"/>
                  <wp:effectExtent l="0" t="0" r="0" b="0"/>
                  <wp:docPr id="458" name="Picture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8" name="5ways Involvement.png"/>
                          <pic:cNvPicPr/>
                        </pic:nvPicPr>
                        <pic:blipFill>
                          <a:blip r:embed="rId37">
                            <a:extLst>
                              <a:ext uri="{28A0092B-C50C-407E-A947-70E740481C1C}">
                                <a14:useLocalDpi xmlns:a14="http://schemas.microsoft.com/office/drawing/2010/main" val="0"/>
                              </a:ext>
                            </a:extLst>
                          </a:blip>
                          <a:stretch>
                            <a:fillRect/>
                          </a:stretch>
                        </pic:blipFill>
                        <pic:spPr>
                          <a:xfrm>
                            <a:off x="0" y="0"/>
                            <a:ext cx="1352550" cy="1352550"/>
                          </a:xfrm>
                          <a:prstGeom prst="rect">
                            <a:avLst/>
                          </a:prstGeom>
                        </pic:spPr>
                      </pic:pic>
                    </a:graphicData>
                  </a:graphic>
                </wp:inline>
              </w:drawing>
            </w:r>
          </w:p>
        </w:tc>
        <w:tc>
          <w:tcPr>
            <w:tcW w:w="1335" w:type="dxa"/>
            <w:tcBorders>
              <w:top w:val="nil"/>
              <w:left w:val="nil"/>
              <w:bottom w:val="nil"/>
              <w:right w:val="single" w:sz="4" w:space="0" w:color="BFBFBF" w:themeColor="background1" w:themeShade="BF"/>
            </w:tcBorders>
            <w:vAlign w:val="center"/>
          </w:tcPr>
          <w:p w14:paraId="58A8769B" w14:textId="62A6BDA4" w:rsidR="00DA1072" w:rsidRPr="00074CEA" w:rsidRDefault="00DA1072" w:rsidP="00DA1072">
            <w:pPr>
              <w:pStyle w:val="NormalBullet"/>
              <w:numPr>
                <w:ilvl w:val="0"/>
                <w:numId w:val="0"/>
              </w:numPr>
              <w:jc w:val="center"/>
              <w:rPr>
                <w:sz w:val="22"/>
                <w:szCs w:val="22"/>
              </w:rPr>
            </w:pPr>
            <w:r w:rsidRPr="00074CEA">
              <w:rPr>
                <w:sz w:val="22"/>
                <w:szCs w:val="22"/>
              </w:rPr>
              <w:t>Involvement</w:t>
            </w:r>
          </w:p>
        </w:tc>
        <w:tc>
          <w:tcPr>
            <w:tcW w:w="628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5277402" w14:textId="623CFC50" w:rsidR="00DA1072" w:rsidRDefault="00DA1072" w:rsidP="007B2784">
            <w:pPr>
              <w:pStyle w:val="NormalBullet"/>
              <w:ind w:left="0" w:firstLine="0"/>
              <w:rPr>
                <w:szCs w:val="22"/>
              </w:rPr>
            </w:pPr>
          </w:p>
        </w:tc>
      </w:tr>
    </w:tbl>
    <w:p w14:paraId="48BB414D" w14:textId="4EB5D855" w:rsidR="007B2784" w:rsidRDefault="007B2784">
      <w:pPr>
        <w:jc w:val="left"/>
      </w:pPr>
      <w:r>
        <w:br w:type="page"/>
      </w:r>
    </w:p>
    <w:p w14:paraId="26A5BE7A" w14:textId="3F2D920A" w:rsidR="00074CEA" w:rsidRPr="00E07712" w:rsidRDefault="00074CEA" w:rsidP="00074CEA">
      <w:pPr>
        <w:pStyle w:val="Heading2"/>
        <w:rPr>
          <w:szCs w:val="22"/>
        </w:rPr>
      </w:pPr>
      <w:bookmarkStart w:id="22" w:name="_Toc25262161"/>
      <w:r w:rsidRPr="00E07712">
        <w:rPr>
          <w:szCs w:val="22"/>
        </w:rPr>
        <w:lastRenderedPageBreak/>
        <w:t>Values, Vision</w:t>
      </w:r>
      <w:r>
        <w:rPr>
          <w:szCs w:val="22"/>
        </w:rPr>
        <w:t xml:space="preserve"> </w:t>
      </w:r>
      <w:r w:rsidR="00A32A85">
        <w:rPr>
          <w:szCs w:val="22"/>
        </w:rPr>
        <w:t>And</w:t>
      </w:r>
      <w:r>
        <w:rPr>
          <w:szCs w:val="22"/>
        </w:rPr>
        <w:t xml:space="preserve"> S</w:t>
      </w:r>
      <w:r w:rsidR="00A32A85">
        <w:rPr>
          <w:szCs w:val="22"/>
        </w:rPr>
        <w:t>trategic Objectives</w:t>
      </w:r>
      <w:bookmarkEnd w:id="22"/>
    </w:p>
    <w:p w14:paraId="3CD71464" w14:textId="5F0F6FA0" w:rsidR="00653D3A" w:rsidRPr="00931EA6" w:rsidRDefault="00931EA6" w:rsidP="00931EA6">
      <w:pPr>
        <w:pStyle w:val="NormalWeb"/>
        <w:spacing w:before="0" w:beforeAutospacing="0" w:after="0" w:afterAutospacing="0"/>
        <w:rPr>
          <w:rFonts w:ascii="Calibri" w:hAnsi="Calibri" w:cs="Tahoma"/>
          <w:szCs w:val="22"/>
        </w:rPr>
      </w:pPr>
      <w:r w:rsidRPr="00931EA6">
        <w:rPr>
          <w:rFonts w:ascii="Calibri" w:hAnsi="Calibri" w:cs="Tahoma"/>
          <w:szCs w:val="22"/>
        </w:rPr>
        <w:t>In April 2019, the boundary between Cwm Taf University Health Board and Abertawe Bro Morgannwg University Health Board changed resulting in the establishment of Cwm Taf Morgannwg University Health Board</w:t>
      </w:r>
      <w:r>
        <w:rPr>
          <w:rFonts w:ascii="Calibri" w:hAnsi="Calibri" w:cs="Tahoma"/>
          <w:szCs w:val="22"/>
        </w:rPr>
        <w:t xml:space="preserve">. </w:t>
      </w:r>
      <w:r w:rsidRPr="00931EA6">
        <w:rPr>
          <w:rFonts w:ascii="Calibri" w:hAnsi="Calibri" w:cs="Tahoma"/>
          <w:szCs w:val="22"/>
        </w:rPr>
        <w:t xml:space="preserve"> </w:t>
      </w:r>
      <w:r w:rsidR="0059444E" w:rsidRPr="00931EA6">
        <w:rPr>
          <w:rFonts w:ascii="Calibri" w:hAnsi="Calibri" w:cs="Tahoma"/>
          <w:szCs w:val="22"/>
        </w:rPr>
        <w:t xml:space="preserve">Values and behaviours, a </w:t>
      </w:r>
      <w:r w:rsidR="00653D3A" w:rsidRPr="00931EA6">
        <w:rPr>
          <w:rFonts w:ascii="Calibri" w:hAnsi="Calibri" w:cs="Tahoma"/>
          <w:szCs w:val="22"/>
        </w:rPr>
        <w:t xml:space="preserve">mission, vision and strategic objectives are required for </w:t>
      </w:r>
      <w:r w:rsidR="00C11691">
        <w:rPr>
          <w:rFonts w:ascii="Calibri" w:hAnsi="Calibri" w:cs="Tahoma"/>
          <w:szCs w:val="22"/>
        </w:rPr>
        <w:t>the new Health Baord</w:t>
      </w:r>
      <w:r w:rsidR="00653D3A" w:rsidRPr="00931EA6">
        <w:rPr>
          <w:rFonts w:ascii="Calibri" w:hAnsi="Calibri" w:cs="Tahoma"/>
          <w:szCs w:val="22"/>
        </w:rPr>
        <w:t xml:space="preserve"> which will help shape the future direction of the new organisation and the Integrated Health and Care Strategy. </w:t>
      </w:r>
    </w:p>
    <w:p w14:paraId="3F8908C4" w14:textId="2B2093AB" w:rsidR="00074CEA" w:rsidRDefault="00074CEA" w:rsidP="00074CEA">
      <w:pPr>
        <w:pStyle w:val="Heading3"/>
        <w:ind w:left="709" w:hanging="709"/>
        <w:rPr>
          <w:szCs w:val="22"/>
        </w:rPr>
      </w:pPr>
      <w:r>
        <w:rPr>
          <w:szCs w:val="22"/>
        </w:rPr>
        <w:t>Values and Behaviours</w:t>
      </w:r>
    </w:p>
    <w:p w14:paraId="62D2D7FB" w14:textId="5D7093A2" w:rsidR="00074CEA" w:rsidRDefault="00653D3A" w:rsidP="00074CEA">
      <w:pPr>
        <w:jc w:val="left"/>
        <w:rPr>
          <w:szCs w:val="22"/>
        </w:rPr>
      </w:pPr>
      <w:r>
        <w:rPr>
          <w:szCs w:val="22"/>
        </w:rPr>
        <w:t>A</w:t>
      </w:r>
      <w:r w:rsidRPr="00221F64">
        <w:rPr>
          <w:szCs w:val="22"/>
        </w:rPr>
        <w:t xml:space="preserve"> huge cultural conversations is underway within the </w:t>
      </w:r>
      <w:r>
        <w:rPr>
          <w:szCs w:val="22"/>
        </w:rPr>
        <w:t xml:space="preserve">Health Board.  Together we are co-creating our culture, involving significant numbers of staff and patients in big creative, listing workshops alongside a major culture survey.  A series of ‘Let’s Talk </w:t>
      </w:r>
      <w:r w:rsidR="0059444E">
        <w:rPr>
          <w:szCs w:val="22"/>
        </w:rPr>
        <w:t>Culture’</w:t>
      </w:r>
      <w:r>
        <w:rPr>
          <w:szCs w:val="22"/>
        </w:rPr>
        <w:t xml:space="preserve"> events and ‘In Your Shoes’, ‘In Our Shoes’ workshops have been held with the aim of:</w:t>
      </w:r>
    </w:p>
    <w:p w14:paraId="185E5624" w14:textId="07FDCCAC" w:rsidR="00653D3A" w:rsidRDefault="00653D3A" w:rsidP="003B1653">
      <w:pPr>
        <w:pStyle w:val="ListParagraph"/>
        <w:numPr>
          <w:ilvl w:val="0"/>
          <w:numId w:val="94"/>
        </w:numPr>
        <w:ind w:left="357" w:hanging="357"/>
        <w:jc w:val="left"/>
      </w:pPr>
      <w:r>
        <w:t xml:space="preserve">Bringing together the best of </w:t>
      </w:r>
      <w:r w:rsidR="0059444E">
        <w:t>the former Cwm Taf and Bridgend organisations;</w:t>
      </w:r>
    </w:p>
    <w:p w14:paraId="45BCE30C" w14:textId="06EEDC75" w:rsidR="0059444E" w:rsidRDefault="0059444E" w:rsidP="003B1653">
      <w:pPr>
        <w:pStyle w:val="ListParagraph"/>
        <w:numPr>
          <w:ilvl w:val="0"/>
          <w:numId w:val="94"/>
        </w:numPr>
        <w:ind w:left="357" w:hanging="357"/>
        <w:jc w:val="left"/>
      </w:pPr>
      <w:r>
        <w:t>Create a completing, shared cultural narrative;</w:t>
      </w:r>
    </w:p>
    <w:p w14:paraId="22E1A815" w14:textId="5EE04980" w:rsidR="0059444E" w:rsidRDefault="0059444E" w:rsidP="003B1653">
      <w:pPr>
        <w:pStyle w:val="ListParagraph"/>
        <w:numPr>
          <w:ilvl w:val="0"/>
          <w:numId w:val="94"/>
        </w:numPr>
        <w:ind w:left="357" w:hanging="357"/>
        <w:jc w:val="left"/>
      </w:pPr>
      <w:r>
        <w:t>Develop our values and behaviours to inform decision making.</w:t>
      </w:r>
    </w:p>
    <w:p w14:paraId="42DC896A" w14:textId="77777777" w:rsidR="0059444E" w:rsidRDefault="0059444E" w:rsidP="0059444E">
      <w:pPr>
        <w:jc w:val="left"/>
      </w:pPr>
    </w:p>
    <w:p w14:paraId="7B6E5C28" w14:textId="7FA7CAA9" w:rsidR="0059444E" w:rsidRDefault="0059444E" w:rsidP="0059444E">
      <w:pPr>
        <w:jc w:val="left"/>
      </w:pPr>
      <w:r>
        <w:t xml:space="preserve">The values and behaviours </w:t>
      </w:r>
      <w:r w:rsidR="006A3CAD">
        <w:t xml:space="preserve">of </w:t>
      </w:r>
      <w:r>
        <w:t xml:space="preserve">our Health Board will be </w:t>
      </w:r>
      <w:r w:rsidR="006A3CAD">
        <w:t>developed</w:t>
      </w:r>
      <w:r>
        <w:t xml:space="preserve"> by </w:t>
      </w:r>
      <w:r w:rsidR="006A3CAD">
        <w:t>March 2020.</w:t>
      </w:r>
    </w:p>
    <w:p w14:paraId="7B225634" w14:textId="4CEAFE65" w:rsidR="0005692A" w:rsidRPr="00525EE5" w:rsidRDefault="00074CEA" w:rsidP="00525EE5">
      <w:pPr>
        <w:pStyle w:val="Heading3"/>
        <w:ind w:left="709" w:hanging="709"/>
        <w:rPr>
          <w:szCs w:val="22"/>
        </w:rPr>
      </w:pPr>
      <w:r>
        <w:rPr>
          <w:szCs w:val="22"/>
        </w:rPr>
        <w:t xml:space="preserve">Mission, </w:t>
      </w:r>
      <w:r w:rsidR="00A7669F">
        <w:rPr>
          <w:szCs w:val="22"/>
        </w:rPr>
        <w:t>Vision and Strategic Objectives</w:t>
      </w:r>
    </w:p>
    <w:bookmarkEnd w:id="20"/>
    <w:bookmarkEnd w:id="21"/>
    <w:p w14:paraId="20BA376C" w14:textId="2AD5EB34" w:rsidR="00221F64" w:rsidRDefault="0059444E" w:rsidP="00A77C61">
      <w:pPr>
        <w:shd w:val="clear" w:color="auto" w:fill="FFFFFF"/>
        <w:rPr>
          <w:szCs w:val="22"/>
        </w:rPr>
      </w:pPr>
      <w:r>
        <w:rPr>
          <w:szCs w:val="22"/>
        </w:rPr>
        <w:t xml:space="preserve">The Health Board is not starting from a blank piece of paper in developing a mission, vision and strategic objectives.  </w:t>
      </w:r>
      <w:r w:rsidR="006A3CAD">
        <w:rPr>
          <w:szCs w:val="22"/>
        </w:rPr>
        <w:t>There is rich information from work underway to deliver the Well-being of Future Generations Act, the Social Service and Well-Being Act and ‘A Healthier Wales: Our Plan for Health and Social Care’.  The conversations with staff and partners</w:t>
      </w:r>
      <w:r w:rsidR="00B40678">
        <w:rPr>
          <w:szCs w:val="22"/>
        </w:rPr>
        <w:t xml:space="preserve"> to inform the Bridgend Boundary Change</w:t>
      </w:r>
      <w:r w:rsidR="0056489D">
        <w:rPr>
          <w:szCs w:val="22"/>
        </w:rPr>
        <w:t xml:space="preserve">, </w:t>
      </w:r>
      <w:r w:rsidR="00B40678">
        <w:rPr>
          <w:szCs w:val="22"/>
        </w:rPr>
        <w:t xml:space="preserve">the feedback from recent </w:t>
      </w:r>
      <w:r w:rsidR="005B1879">
        <w:rPr>
          <w:szCs w:val="22"/>
        </w:rPr>
        <w:t>independent reviews</w:t>
      </w:r>
      <w:r w:rsidR="0056489D">
        <w:rPr>
          <w:szCs w:val="22"/>
        </w:rPr>
        <w:t xml:space="preserve"> including from Royal Colleges, the NHS Delivery Unit, </w:t>
      </w:r>
      <w:r w:rsidR="00B40678">
        <w:rPr>
          <w:szCs w:val="22"/>
        </w:rPr>
        <w:t>Health</w:t>
      </w:r>
      <w:r w:rsidR="0056489D">
        <w:rPr>
          <w:szCs w:val="22"/>
        </w:rPr>
        <w:t>care</w:t>
      </w:r>
      <w:r w:rsidR="00B40678">
        <w:rPr>
          <w:szCs w:val="22"/>
        </w:rPr>
        <w:t xml:space="preserve"> Inspectorate Wales </w:t>
      </w:r>
      <w:r w:rsidR="0056489D">
        <w:rPr>
          <w:szCs w:val="22"/>
        </w:rPr>
        <w:t>(HIW) and Wales</w:t>
      </w:r>
      <w:r w:rsidR="00B40678">
        <w:rPr>
          <w:szCs w:val="22"/>
        </w:rPr>
        <w:t xml:space="preserve"> Audit Office reports (WAO),</w:t>
      </w:r>
      <w:r w:rsidR="0056489D">
        <w:rPr>
          <w:szCs w:val="22"/>
        </w:rPr>
        <w:t xml:space="preserve"> and </w:t>
      </w:r>
      <w:r w:rsidR="00954E37">
        <w:rPr>
          <w:szCs w:val="22"/>
        </w:rPr>
        <w:t>the learning gathered from public engagement and patient concerns, can all be used to inform the future ambition of the organisation.</w:t>
      </w:r>
    </w:p>
    <w:p w14:paraId="4FA56E8A" w14:textId="6BACF710" w:rsidR="00954E37" w:rsidRDefault="00CD6021" w:rsidP="00A77C61">
      <w:pPr>
        <w:shd w:val="clear" w:color="auto" w:fill="FFFFFF"/>
        <w:rPr>
          <w:szCs w:val="22"/>
        </w:rPr>
      </w:pPr>
      <w:r>
        <w:rPr>
          <w:noProof/>
          <w:szCs w:val="22"/>
        </w:rPr>
        <w:drawing>
          <wp:anchor distT="0" distB="0" distL="114300" distR="114300" simplePos="0" relativeHeight="252848128" behindDoc="0" locked="0" layoutInCell="1" allowOverlap="1" wp14:anchorId="5E3B6B68" wp14:editId="5FF833A1">
            <wp:simplePos x="0" y="0"/>
            <wp:positionH relativeFrom="margin">
              <wp:align>right</wp:align>
            </wp:positionH>
            <wp:positionV relativeFrom="paragraph">
              <wp:posOffset>61595</wp:posOffset>
            </wp:positionV>
            <wp:extent cx="2807970" cy="1780540"/>
            <wp:effectExtent l="0" t="0" r="0" b="0"/>
            <wp:wrapSquare wrapText="bothSides"/>
            <wp:docPr id="469" name="Picture 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807970" cy="1780540"/>
                    </a:xfrm>
                    <a:prstGeom prst="rect">
                      <a:avLst/>
                    </a:prstGeom>
                    <a:noFill/>
                  </pic:spPr>
                </pic:pic>
              </a:graphicData>
            </a:graphic>
            <wp14:sizeRelH relativeFrom="margin">
              <wp14:pctWidth>0</wp14:pctWidth>
            </wp14:sizeRelH>
            <wp14:sizeRelV relativeFrom="margin">
              <wp14:pctHeight>0</wp14:pctHeight>
            </wp14:sizeRelV>
          </wp:anchor>
        </w:drawing>
      </w:r>
    </w:p>
    <w:p w14:paraId="16CCBC7E" w14:textId="44B900CF" w:rsidR="00A7669F" w:rsidRPr="00861351" w:rsidRDefault="00954E37" w:rsidP="00A7669F">
      <w:r>
        <w:rPr>
          <w:szCs w:val="22"/>
        </w:rPr>
        <w:t xml:space="preserve">A key </w:t>
      </w:r>
      <w:r w:rsidR="005B1879">
        <w:rPr>
          <w:szCs w:val="22"/>
        </w:rPr>
        <w:t xml:space="preserve">milestone for the organisation will be the agreement of a </w:t>
      </w:r>
      <w:r w:rsidR="00A32A85">
        <w:rPr>
          <w:szCs w:val="22"/>
        </w:rPr>
        <w:t xml:space="preserve">mission and </w:t>
      </w:r>
      <w:r>
        <w:rPr>
          <w:szCs w:val="22"/>
        </w:rPr>
        <w:t xml:space="preserve">vision </w:t>
      </w:r>
      <w:r w:rsidR="005B1879">
        <w:rPr>
          <w:szCs w:val="22"/>
        </w:rPr>
        <w:t xml:space="preserve">which can be internally and externally engaged upon.  The </w:t>
      </w:r>
      <w:r w:rsidR="005B1879" w:rsidRPr="00221F64">
        <w:rPr>
          <w:szCs w:val="22"/>
        </w:rPr>
        <w:t>Health Board Development session in December 2019</w:t>
      </w:r>
      <w:r w:rsidR="005B1879">
        <w:rPr>
          <w:szCs w:val="22"/>
        </w:rPr>
        <w:t xml:space="preserve"> will </w:t>
      </w:r>
      <w:r w:rsidR="004E330F">
        <w:rPr>
          <w:szCs w:val="22"/>
        </w:rPr>
        <w:t xml:space="preserve">develop the draft which will be </w:t>
      </w:r>
      <w:r w:rsidR="004E330F" w:rsidRPr="00221F64">
        <w:rPr>
          <w:szCs w:val="22"/>
        </w:rPr>
        <w:t xml:space="preserve">articulated </w:t>
      </w:r>
      <w:r w:rsidR="004E330F">
        <w:rPr>
          <w:szCs w:val="22"/>
        </w:rPr>
        <w:t xml:space="preserve">in, </w:t>
      </w:r>
      <w:r w:rsidR="004E330F" w:rsidRPr="00221F64">
        <w:rPr>
          <w:szCs w:val="22"/>
        </w:rPr>
        <w:t>and inform</w:t>
      </w:r>
      <w:r w:rsidR="004E330F">
        <w:rPr>
          <w:szCs w:val="22"/>
        </w:rPr>
        <w:t>,</w:t>
      </w:r>
      <w:r w:rsidR="004E330F" w:rsidRPr="00221F64">
        <w:rPr>
          <w:szCs w:val="22"/>
        </w:rPr>
        <w:t xml:space="preserve"> the Health Board IMTP 20120-23</w:t>
      </w:r>
      <w:r w:rsidR="004E330F">
        <w:rPr>
          <w:szCs w:val="22"/>
        </w:rPr>
        <w:t>.</w:t>
      </w:r>
      <w:r w:rsidR="00CD6021">
        <w:rPr>
          <w:szCs w:val="22"/>
        </w:rPr>
        <w:t xml:space="preserve"> Whilst taking a ensuring a balanced </w:t>
      </w:r>
      <w:r w:rsidR="00CD6021" w:rsidRPr="00861351">
        <w:rPr>
          <w:szCs w:val="22"/>
        </w:rPr>
        <w:t>approach</w:t>
      </w:r>
      <w:r w:rsidR="00CD6021">
        <w:rPr>
          <w:szCs w:val="22"/>
        </w:rPr>
        <w:t>, t</w:t>
      </w:r>
      <w:r w:rsidR="00A7669F" w:rsidRPr="00861351">
        <w:rPr>
          <w:szCs w:val="22"/>
        </w:rPr>
        <w:t>he strategic objectives of the Health Board are being developed to r</w:t>
      </w:r>
      <w:r w:rsidR="00326DEF">
        <w:rPr>
          <w:szCs w:val="22"/>
        </w:rPr>
        <w:t>eflect</w:t>
      </w:r>
      <w:r w:rsidR="00A7669F" w:rsidRPr="00861351">
        <w:rPr>
          <w:szCs w:val="22"/>
        </w:rPr>
        <w:t xml:space="preserve"> the vision </w:t>
      </w:r>
      <w:r w:rsidR="00326DEF">
        <w:rPr>
          <w:szCs w:val="22"/>
        </w:rPr>
        <w:t xml:space="preserve">and </w:t>
      </w:r>
      <w:r w:rsidR="00CD6021">
        <w:rPr>
          <w:szCs w:val="22"/>
        </w:rPr>
        <w:t xml:space="preserve">to </w:t>
      </w:r>
      <w:r w:rsidR="00326DEF">
        <w:rPr>
          <w:szCs w:val="22"/>
        </w:rPr>
        <w:t>complement</w:t>
      </w:r>
      <w:r w:rsidR="00A7669F" w:rsidRPr="00861351">
        <w:rPr>
          <w:szCs w:val="22"/>
        </w:rPr>
        <w:t xml:space="preserve"> the well-being objectives</w:t>
      </w:r>
      <w:r w:rsidR="00CD6021">
        <w:rPr>
          <w:szCs w:val="22"/>
        </w:rPr>
        <w:t>.</w:t>
      </w:r>
    </w:p>
    <w:p w14:paraId="30C525A0" w14:textId="5AFC3316" w:rsidR="00954E37" w:rsidRDefault="00954E37" w:rsidP="00A77C61">
      <w:pPr>
        <w:shd w:val="clear" w:color="auto" w:fill="FFFFFF"/>
        <w:rPr>
          <w:szCs w:val="22"/>
        </w:rPr>
      </w:pPr>
    </w:p>
    <w:p w14:paraId="19132111" w14:textId="77777777" w:rsidR="00326DEF" w:rsidRDefault="00326DEF" w:rsidP="00A77C61">
      <w:pPr>
        <w:shd w:val="clear" w:color="auto" w:fill="FFFFFF"/>
        <w:rPr>
          <w:szCs w:val="22"/>
        </w:rPr>
      </w:pPr>
    </w:p>
    <w:tbl>
      <w:tblPr>
        <w:tblStyle w:val="TableGrid"/>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1838"/>
        <w:gridCol w:w="8130"/>
      </w:tblGrid>
      <w:tr w:rsidR="004E330F" w14:paraId="78B02BC6" w14:textId="77777777" w:rsidTr="00741DA4">
        <w:tc>
          <w:tcPr>
            <w:tcW w:w="1838" w:type="dxa"/>
            <w:vAlign w:val="center"/>
          </w:tcPr>
          <w:p w14:paraId="2B79B6AC" w14:textId="74BF9F9F" w:rsidR="004E330F" w:rsidRDefault="004E330F" w:rsidP="00741DA4">
            <w:pPr>
              <w:jc w:val="left"/>
              <w:rPr>
                <w:szCs w:val="22"/>
              </w:rPr>
            </w:pPr>
            <w:r>
              <w:rPr>
                <w:szCs w:val="22"/>
              </w:rPr>
              <w:t>Mission</w:t>
            </w:r>
          </w:p>
        </w:tc>
        <w:tc>
          <w:tcPr>
            <w:tcW w:w="8130" w:type="dxa"/>
          </w:tcPr>
          <w:p w14:paraId="69A43979" w14:textId="77777777" w:rsidR="00741DA4" w:rsidRDefault="006F090B" w:rsidP="00A77C61">
            <w:pPr>
              <w:rPr>
                <w:szCs w:val="22"/>
              </w:rPr>
            </w:pPr>
            <w:r>
              <w:rPr>
                <w:szCs w:val="22"/>
              </w:rPr>
              <w:t xml:space="preserve">To be completed following </w:t>
            </w:r>
            <w:r w:rsidR="00CE2276">
              <w:rPr>
                <w:szCs w:val="22"/>
              </w:rPr>
              <w:t>December 2019 Board D</w:t>
            </w:r>
            <w:r>
              <w:rPr>
                <w:szCs w:val="22"/>
              </w:rPr>
              <w:t>evelopment session</w:t>
            </w:r>
          </w:p>
          <w:p w14:paraId="7761A97E" w14:textId="6DC64078" w:rsidR="00CE2276" w:rsidRDefault="00CE2276" w:rsidP="00A77C61">
            <w:pPr>
              <w:rPr>
                <w:szCs w:val="22"/>
              </w:rPr>
            </w:pPr>
          </w:p>
        </w:tc>
      </w:tr>
      <w:tr w:rsidR="004E330F" w14:paraId="73ED14BF" w14:textId="77777777" w:rsidTr="00741DA4">
        <w:tc>
          <w:tcPr>
            <w:tcW w:w="1838" w:type="dxa"/>
            <w:vAlign w:val="center"/>
          </w:tcPr>
          <w:p w14:paraId="198C4571" w14:textId="3199009E" w:rsidR="004E330F" w:rsidRDefault="004E330F" w:rsidP="00741DA4">
            <w:pPr>
              <w:jc w:val="left"/>
              <w:rPr>
                <w:szCs w:val="22"/>
              </w:rPr>
            </w:pPr>
            <w:r>
              <w:rPr>
                <w:szCs w:val="22"/>
              </w:rPr>
              <w:t>Vision</w:t>
            </w:r>
          </w:p>
        </w:tc>
        <w:tc>
          <w:tcPr>
            <w:tcW w:w="8130" w:type="dxa"/>
          </w:tcPr>
          <w:p w14:paraId="257E1FCF" w14:textId="77777777" w:rsidR="00CE2276" w:rsidRDefault="00CE2276" w:rsidP="00CE2276">
            <w:pPr>
              <w:rPr>
                <w:szCs w:val="22"/>
              </w:rPr>
            </w:pPr>
            <w:r>
              <w:rPr>
                <w:szCs w:val="22"/>
              </w:rPr>
              <w:t>To be completed following December 2019 Board Development session</w:t>
            </w:r>
          </w:p>
          <w:p w14:paraId="3550B2EE" w14:textId="77777777" w:rsidR="00741DA4" w:rsidRDefault="00741DA4" w:rsidP="00A77C61">
            <w:pPr>
              <w:rPr>
                <w:szCs w:val="22"/>
              </w:rPr>
            </w:pPr>
          </w:p>
        </w:tc>
      </w:tr>
      <w:tr w:rsidR="004E330F" w14:paraId="46CE55D5" w14:textId="77777777" w:rsidTr="00741DA4">
        <w:tc>
          <w:tcPr>
            <w:tcW w:w="1838" w:type="dxa"/>
            <w:vAlign w:val="center"/>
          </w:tcPr>
          <w:p w14:paraId="6941DDBE" w14:textId="6FFE03F2" w:rsidR="004E330F" w:rsidRDefault="004E330F" w:rsidP="00741DA4">
            <w:pPr>
              <w:jc w:val="left"/>
              <w:rPr>
                <w:szCs w:val="22"/>
              </w:rPr>
            </w:pPr>
            <w:r>
              <w:rPr>
                <w:szCs w:val="22"/>
              </w:rPr>
              <w:t>Strategic Objectives</w:t>
            </w:r>
          </w:p>
        </w:tc>
        <w:tc>
          <w:tcPr>
            <w:tcW w:w="8130" w:type="dxa"/>
          </w:tcPr>
          <w:p w14:paraId="26EB5A62" w14:textId="77777777" w:rsidR="00CE2276" w:rsidRDefault="00CE2276" w:rsidP="00CE2276">
            <w:pPr>
              <w:rPr>
                <w:szCs w:val="22"/>
              </w:rPr>
            </w:pPr>
            <w:r>
              <w:rPr>
                <w:szCs w:val="22"/>
              </w:rPr>
              <w:t>To be completed following December 2019 Board Development session</w:t>
            </w:r>
          </w:p>
          <w:p w14:paraId="3451F4E0" w14:textId="729706C3" w:rsidR="004E330F" w:rsidRDefault="004E330F" w:rsidP="003B1653">
            <w:pPr>
              <w:pStyle w:val="ListParagraph"/>
              <w:numPr>
                <w:ilvl w:val="0"/>
                <w:numId w:val="95"/>
              </w:numPr>
              <w:ind w:left="357" w:hanging="357"/>
              <w:rPr>
                <w:szCs w:val="22"/>
              </w:rPr>
            </w:pPr>
          </w:p>
          <w:p w14:paraId="7D25E71E" w14:textId="77777777" w:rsidR="00741DA4" w:rsidRDefault="00741DA4" w:rsidP="003B1653">
            <w:pPr>
              <w:pStyle w:val="ListParagraph"/>
              <w:numPr>
                <w:ilvl w:val="0"/>
                <w:numId w:val="95"/>
              </w:numPr>
              <w:ind w:left="357" w:hanging="357"/>
              <w:rPr>
                <w:szCs w:val="22"/>
              </w:rPr>
            </w:pPr>
            <w:r>
              <w:rPr>
                <w:szCs w:val="22"/>
              </w:rPr>
              <w:t>.</w:t>
            </w:r>
          </w:p>
          <w:p w14:paraId="22312692" w14:textId="77777777" w:rsidR="00741DA4" w:rsidRDefault="00741DA4" w:rsidP="003B1653">
            <w:pPr>
              <w:pStyle w:val="ListParagraph"/>
              <w:numPr>
                <w:ilvl w:val="0"/>
                <w:numId w:val="95"/>
              </w:numPr>
              <w:ind w:left="357" w:hanging="357"/>
              <w:rPr>
                <w:szCs w:val="22"/>
              </w:rPr>
            </w:pPr>
            <w:r>
              <w:rPr>
                <w:szCs w:val="22"/>
              </w:rPr>
              <w:t>.</w:t>
            </w:r>
          </w:p>
          <w:p w14:paraId="1EE4B3B1" w14:textId="0141618D" w:rsidR="00741DA4" w:rsidRPr="00741DA4" w:rsidRDefault="00741DA4" w:rsidP="003B1653">
            <w:pPr>
              <w:pStyle w:val="ListParagraph"/>
              <w:numPr>
                <w:ilvl w:val="0"/>
                <w:numId w:val="95"/>
              </w:numPr>
              <w:ind w:left="357" w:hanging="357"/>
              <w:rPr>
                <w:szCs w:val="22"/>
              </w:rPr>
            </w:pPr>
            <w:r>
              <w:rPr>
                <w:szCs w:val="22"/>
              </w:rPr>
              <w:t>.</w:t>
            </w:r>
          </w:p>
        </w:tc>
      </w:tr>
    </w:tbl>
    <w:p w14:paraId="0BB4BD62" w14:textId="1580D944" w:rsidR="005B1879" w:rsidRDefault="005B1879" w:rsidP="00A77C61">
      <w:pPr>
        <w:shd w:val="clear" w:color="auto" w:fill="FFFFFF"/>
        <w:rPr>
          <w:szCs w:val="22"/>
        </w:rPr>
      </w:pPr>
    </w:p>
    <w:p w14:paraId="76CD11BC" w14:textId="4685FA62" w:rsidR="00A32A85" w:rsidRDefault="00A32A85">
      <w:pPr>
        <w:jc w:val="left"/>
        <w:rPr>
          <w:color w:val="943634" w:themeColor="accent2" w:themeShade="BF"/>
          <w:szCs w:val="22"/>
        </w:rPr>
      </w:pPr>
      <w:r>
        <w:rPr>
          <w:color w:val="943634" w:themeColor="accent2" w:themeShade="BF"/>
          <w:szCs w:val="22"/>
        </w:rPr>
        <w:br w:type="page"/>
      </w:r>
    </w:p>
    <w:p w14:paraId="46C0ED98" w14:textId="21E45F43" w:rsidR="00A32A85" w:rsidRPr="00E07712" w:rsidRDefault="00A32A85" w:rsidP="00A32A85">
      <w:pPr>
        <w:pStyle w:val="Heading2"/>
        <w:rPr>
          <w:rFonts w:asciiTheme="minorHAnsi" w:hAnsiTheme="minorHAnsi"/>
          <w:iCs w:val="0"/>
          <w:szCs w:val="22"/>
        </w:rPr>
      </w:pPr>
      <w:bookmarkStart w:id="23" w:name="_Toc25262162"/>
      <w:r>
        <w:rPr>
          <w:rFonts w:asciiTheme="minorHAnsi" w:hAnsiTheme="minorHAnsi"/>
          <w:iCs w:val="0"/>
          <w:szCs w:val="22"/>
        </w:rPr>
        <w:lastRenderedPageBreak/>
        <w:t>Integrated Health And Care Strategy</w:t>
      </w:r>
      <w:bookmarkEnd w:id="23"/>
    </w:p>
    <w:p w14:paraId="3D5232A3" w14:textId="2FD6CCC9" w:rsidR="00CE2276" w:rsidRPr="00CE2276" w:rsidRDefault="00CE2276" w:rsidP="00CE2276">
      <w:pPr>
        <w:autoSpaceDE w:val="0"/>
        <w:autoSpaceDN w:val="0"/>
        <w:adjustRightInd w:val="0"/>
        <w:rPr>
          <w:rFonts w:cs="Calibri"/>
          <w:color w:val="000000" w:themeColor="text1"/>
          <w:szCs w:val="22"/>
        </w:rPr>
      </w:pPr>
      <w:r w:rsidRPr="00CE2276">
        <w:rPr>
          <w:rFonts w:cs="Calibri"/>
          <w:color w:val="000000" w:themeColor="text1"/>
          <w:szCs w:val="22"/>
        </w:rPr>
        <w:t>The Health Board has been developing and refining a</w:t>
      </w:r>
      <w:r w:rsidRPr="00CE2276">
        <w:rPr>
          <w:rFonts w:cs="Calibri"/>
          <w:color w:val="000000" w:themeColor="text1"/>
          <w:szCs w:val="22"/>
        </w:rPr>
        <w:t>n</w:t>
      </w:r>
      <w:r w:rsidRPr="00CE2276">
        <w:rPr>
          <w:rFonts w:cs="Calibri"/>
          <w:color w:val="000000" w:themeColor="text1"/>
          <w:szCs w:val="22"/>
        </w:rPr>
        <w:t xml:space="preserve"> </w:t>
      </w:r>
      <w:r w:rsidRPr="00CE2276">
        <w:rPr>
          <w:rFonts w:cs="Calibri"/>
          <w:color w:val="000000" w:themeColor="text1"/>
          <w:szCs w:val="22"/>
        </w:rPr>
        <w:t>Integrated Health and Care</w:t>
      </w:r>
      <w:r w:rsidRPr="00CE2276">
        <w:rPr>
          <w:rFonts w:cs="Calibri"/>
          <w:color w:val="000000" w:themeColor="text1"/>
          <w:szCs w:val="22"/>
        </w:rPr>
        <w:t xml:space="preserve"> Strategy, rising to and seeking to address its challenges through implementing a whole-system, integrated plan, clearly aligned and integrated with social care, for the benefit of our patients and the communities we serve.  </w:t>
      </w:r>
      <w:r w:rsidRPr="00CE2276">
        <w:rPr>
          <w:rFonts w:cs="Calibri"/>
          <w:color w:val="000000" w:themeColor="text1"/>
          <w:szCs w:val="22"/>
        </w:rPr>
        <w:t>W</w:t>
      </w:r>
      <w:r w:rsidRPr="00CE2276">
        <w:rPr>
          <w:rFonts w:cs="Calibri"/>
          <w:color w:val="000000" w:themeColor="text1"/>
          <w:szCs w:val="22"/>
        </w:rPr>
        <w:t>e are developing and refining our Integrated Health and Care Strategy</w:t>
      </w:r>
      <w:r w:rsidRPr="00CE2276">
        <w:rPr>
          <w:rFonts w:cs="Calibri"/>
          <w:color w:val="000000" w:themeColor="text1"/>
          <w:szCs w:val="22"/>
        </w:rPr>
        <w:t xml:space="preserve"> </w:t>
      </w:r>
      <w:r w:rsidRPr="00CE2276">
        <w:rPr>
          <w:rFonts w:cs="Calibri"/>
          <w:color w:val="000000" w:themeColor="text1"/>
          <w:szCs w:val="22"/>
        </w:rPr>
        <w:t>using a number of key principles:</w:t>
      </w:r>
    </w:p>
    <w:p w14:paraId="156D7CF8" w14:textId="6D954641" w:rsidR="00CE2276" w:rsidRPr="00CE2276" w:rsidRDefault="00CE2276" w:rsidP="003B1653">
      <w:pPr>
        <w:pStyle w:val="ListParagraph"/>
        <w:numPr>
          <w:ilvl w:val="0"/>
          <w:numId w:val="4"/>
        </w:numPr>
        <w:autoSpaceDE w:val="0"/>
        <w:autoSpaceDN w:val="0"/>
        <w:adjustRightInd w:val="0"/>
        <w:rPr>
          <w:rFonts w:cs="Calibri"/>
          <w:color w:val="000000" w:themeColor="text1"/>
          <w:szCs w:val="22"/>
        </w:rPr>
      </w:pPr>
      <w:r w:rsidRPr="00CE2276">
        <w:rPr>
          <w:rFonts w:cs="Calibri"/>
          <w:color w:val="000000" w:themeColor="text1"/>
          <w:szCs w:val="22"/>
        </w:rPr>
        <w:t xml:space="preserve">Innovation, quality and access to services will be the overarching principles by which the Health Board will develop clinical </w:t>
      </w:r>
      <w:r>
        <w:rPr>
          <w:rFonts w:cs="Calibri"/>
          <w:color w:val="000000" w:themeColor="text1"/>
          <w:szCs w:val="22"/>
        </w:rPr>
        <w:t>pathways</w:t>
      </w:r>
      <w:r w:rsidRPr="00CE2276">
        <w:rPr>
          <w:rFonts w:cs="Calibri"/>
          <w:color w:val="000000" w:themeColor="text1"/>
          <w:szCs w:val="22"/>
        </w:rPr>
        <w:t xml:space="preserve"> and drive forward service change and improvement.</w:t>
      </w:r>
    </w:p>
    <w:p w14:paraId="24600332" w14:textId="77777777" w:rsidR="00CE2276" w:rsidRPr="00CE2276" w:rsidRDefault="00CE2276" w:rsidP="003B1653">
      <w:pPr>
        <w:pStyle w:val="ListParagraph"/>
        <w:numPr>
          <w:ilvl w:val="0"/>
          <w:numId w:val="4"/>
        </w:numPr>
        <w:autoSpaceDE w:val="0"/>
        <w:autoSpaceDN w:val="0"/>
        <w:adjustRightInd w:val="0"/>
        <w:rPr>
          <w:rFonts w:cs="Calibri"/>
          <w:color w:val="000000" w:themeColor="text1"/>
          <w:szCs w:val="22"/>
        </w:rPr>
      </w:pPr>
      <w:r w:rsidRPr="00CE2276">
        <w:rPr>
          <w:rFonts w:cs="Calibri"/>
          <w:color w:val="000000" w:themeColor="text1"/>
          <w:szCs w:val="22"/>
        </w:rPr>
        <w:t xml:space="preserve">Clinical leaders will continue to be empowered to work with all staff to develop new models of care, learning from best practice elsewhere but also being supported to design and test out new ideas where safe and possible. </w:t>
      </w:r>
    </w:p>
    <w:p w14:paraId="12676B7C" w14:textId="77777777" w:rsidR="00CE2276" w:rsidRPr="00CE2276" w:rsidRDefault="00CE2276" w:rsidP="003B1653">
      <w:pPr>
        <w:pStyle w:val="ListParagraph"/>
        <w:numPr>
          <w:ilvl w:val="0"/>
          <w:numId w:val="4"/>
        </w:numPr>
        <w:autoSpaceDE w:val="0"/>
        <w:autoSpaceDN w:val="0"/>
        <w:adjustRightInd w:val="0"/>
        <w:rPr>
          <w:rFonts w:cs="Calibri"/>
          <w:color w:val="000000" w:themeColor="text1"/>
          <w:szCs w:val="22"/>
        </w:rPr>
      </w:pPr>
      <w:r w:rsidRPr="00CE2276">
        <w:rPr>
          <w:rFonts w:cs="Calibri"/>
          <w:color w:val="000000" w:themeColor="text1"/>
          <w:szCs w:val="22"/>
        </w:rPr>
        <w:t xml:space="preserve">Closer working relationships with other Health Boards, Local Authorities, the Third Sector, other public sector partners and local communities together with the development of fully integrated services will be paramount to addressing the challenges, looking towards joint targets and accountabilities for the future. </w:t>
      </w:r>
    </w:p>
    <w:p w14:paraId="2493311E" w14:textId="77777777" w:rsidR="00CE2276" w:rsidRPr="00CE2276" w:rsidRDefault="00CE2276" w:rsidP="003B1653">
      <w:pPr>
        <w:pStyle w:val="ListParagraph"/>
        <w:numPr>
          <w:ilvl w:val="0"/>
          <w:numId w:val="4"/>
        </w:numPr>
        <w:autoSpaceDE w:val="0"/>
        <w:autoSpaceDN w:val="0"/>
        <w:adjustRightInd w:val="0"/>
        <w:rPr>
          <w:rFonts w:cs="Calibri"/>
          <w:color w:val="000000" w:themeColor="text1"/>
          <w:szCs w:val="22"/>
        </w:rPr>
      </w:pPr>
      <w:r w:rsidRPr="00CE2276">
        <w:rPr>
          <w:rFonts w:cs="Calibri"/>
          <w:color w:val="000000" w:themeColor="text1"/>
          <w:szCs w:val="22"/>
        </w:rPr>
        <w:t>The Health Board is also committed to maximising the use of technology to support and enable service change.</w:t>
      </w:r>
    </w:p>
    <w:p w14:paraId="75122C81" w14:textId="24E6D740" w:rsidR="00A32A85" w:rsidRPr="004E02DC" w:rsidRDefault="00A32A85" w:rsidP="00A32A85">
      <w:pPr>
        <w:pStyle w:val="Heading3"/>
      </w:pPr>
      <w:r>
        <w:t xml:space="preserve">System Wide Approach </w:t>
      </w:r>
      <w:proofErr w:type="gramStart"/>
      <w:r>
        <w:t>To</w:t>
      </w:r>
      <w:proofErr w:type="gramEnd"/>
      <w:r>
        <w:t xml:space="preserve"> Well-Being</w:t>
      </w:r>
    </w:p>
    <w:p w14:paraId="14F74B8A" w14:textId="77777777" w:rsidR="00A32A85" w:rsidRPr="001753D3" w:rsidRDefault="00A32A85" w:rsidP="00A32A85">
      <w:pPr>
        <w:rPr>
          <w:rFonts w:asciiTheme="minorHAnsi" w:hAnsiTheme="minorHAnsi"/>
          <w:szCs w:val="22"/>
        </w:rPr>
      </w:pPr>
      <w:r w:rsidRPr="001753D3">
        <w:rPr>
          <w:rFonts w:asciiTheme="minorHAnsi" w:hAnsiTheme="minorHAnsi"/>
          <w:szCs w:val="22"/>
        </w:rPr>
        <w:t xml:space="preserve">Health care services traditionally have been developed to help those who are unwell.  As a consequence, most healthcare services are focused in primary care (which accounts for about 90% of health care interactions) and hospital bed-based care (which accounts for majority of the remaining care).  These services can be reactive and service-centric (largely structured after the specialisms of medicine).  We are exploring the opportunities to further develop our population healthcare system into one that is more preventative and person-centric, and which considers the needs of the broader population, not just of those presenting for care.  </w:t>
      </w:r>
      <w:r w:rsidRPr="001753D3">
        <w:rPr>
          <w:rFonts w:asciiTheme="minorHAnsi" w:hAnsiTheme="minorHAnsi"/>
          <w:szCs w:val="22"/>
          <w:lang w:eastAsia="en-US"/>
        </w:rPr>
        <w:t>In doing so, we recognise the impact of the Health Board’s interventions and those of others including wider public bodies and the Third Sector.</w:t>
      </w:r>
    </w:p>
    <w:p w14:paraId="67145DAE" w14:textId="2F41DE16" w:rsidR="009D0C6D" w:rsidRDefault="009D0C6D" w:rsidP="00A32A85">
      <w:pPr>
        <w:pStyle w:val="NormalBullet"/>
        <w:numPr>
          <w:ilvl w:val="0"/>
          <w:numId w:val="0"/>
        </w:numPr>
        <w:ind w:left="357" w:hanging="357"/>
        <w:rPr>
          <w:szCs w:val="22"/>
        </w:rPr>
      </w:pPr>
    </w:p>
    <w:p w14:paraId="4A886DF2" w14:textId="77777777" w:rsidR="00A32A85" w:rsidRPr="001753D3" w:rsidRDefault="00A32A85" w:rsidP="00A32A85">
      <w:pPr>
        <w:rPr>
          <w:rFonts w:asciiTheme="minorHAnsi" w:hAnsiTheme="minorHAnsi"/>
          <w:szCs w:val="22"/>
        </w:rPr>
      </w:pPr>
      <w:r w:rsidRPr="001753D3">
        <w:rPr>
          <w:rFonts w:asciiTheme="minorHAnsi" w:hAnsiTheme="minorHAnsi"/>
          <w:szCs w:val="22"/>
        </w:rPr>
        <w:t xml:space="preserve">Health care services traditionally have been developed to help those who are unwell.  As a consequence, most healthcare services are focused in primary care (which accounts for about 90% of health care interactions) and hospital bed-based care (which accounts for majority of the remaining care).  These services can be reactive and service-centric (largely structured after the specialisms of medicine).  We are exploring the opportunities to further develop our population healthcare system into one that is more preventative and person-centric, and which considers the needs of the broader population, not just of those presenting for care.  </w:t>
      </w:r>
      <w:r w:rsidRPr="001753D3">
        <w:rPr>
          <w:rFonts w:asciiTheme="minorHAnsi" w:hAnsiTheme="minorHAnsi"/>
          <w:szCs w:val="22"/>
          <w:lang w:eastAsia="en-US"/>
        </w:rPr>
        <w:t>In doing so, we recognise the impact of the Health Board’s interventions and those of others including wider public bodies and the Third Sector.</w:t>
      </w:r>
    </w:p>
    <w:p w14:paraId="6EEEBCAB" w14:textId="77777777" w:rsidR="00A32A85" w:rsidRPr="001753D3" w:rsidRDefault="00A32A85" w:rsidP="00A32A85">
      <w:pPr>
        <w:autoSpaceDE w:val="0"/>
        <w:autoSpaceDN w:val="0"/>
        <w:adjustRightInd w:val="0"/>
        <w:rPr>
          <w:rFonts w:asciiTheme="minorHAnsi" w:hAnsiTheme="minorHAnsi" w:cs="Gotham-Book"/>
          <w:szCs w:val="22"/>
        </w:rPr>
      </w:pPr>
    </w:p>
    <w:p w14:paraId="57C8F191" w14:textId="77777777" w:rsidR="00A32A85" w:rsidRPr="001753D3" w:rsidRDefault="00A32A85" w:rsidP="00A32A85">
      <w:pPr>
        <w:rPr>
          <w:rFonts w:asciiTheme="minorHAnsi" w:hAnsiTheme="minorHAnsi" w:cs="Gotham-Book"/>
          <w:szCs w:val="22"/>
        </w:rPr>
      </w:pPr>
      <w:r w:rsidRPr="001753D3">
        <w:rPr>
          <w:rFonts w:asciiTheme="minorHAnsi" w:hAnsiTheme="minorHAnsi"/>
          <w:szCs w:val="22"/>
        </w:rPr>
        <w:t>This involves a different way of looking at groups of people in our population, using analyses of the data we hold to group them by their needs rather than exclusively by their disease condition.  It effectively means that individuals with different disease conditions could have similar needs and vice-versa.  Evidence based anticipatory care plans that address the holistic needs of these patient groups are then developed with a view always to reducing healthcare utilisation and promoting independence and wellbeing.  This approach requires weaving together and into practice five principles:</w:t>
      </w:r>
    </w:p>
    <w:p w14:paraId="52E834D8" w14:textId="77777777" w:rsidR="00A32A85" w:rsidRPr="001753D3" w:rsidRDefault="00A32A85" w:rsidP="00A32A85">
      <w:pPr>
        <w:pStyle w:val="StyleNormaBullet11pt"/>
      </w:pPr>
      <w:r w:rsidRPr="001753D3">
        <w:t>Prudent healthcare.</w:t>
      </w:r>
    </w:p>
    <w:p w14:paraId="31403543" w14:textId="77777777" w:rsidR="00A32A85" w:rsidRPr="001753D3" w:rsidRDefault="00A32A85" w:rsidP="00A32A85">
      <w:pPr>
        <w:pStyle w:val="StyleNormaBullet11pt"/>
      </w:pPr>
      <w:r w:rsidRPr="001753D3">
        <w:t>Quadruple aim.</w:t>
      </w:r>
    </w:p>
    <w:p w14:paraId="0748094F" w14:textId="77777777" w:rsidR="00A32A85" w:rsidRPr="001753D3" w:rsidRDefault="00A32A85" w:rsidP="00A32A85">
      <w:pPr>
        <w:pStyle w:val="StyleNormaBullet11pt"/>
      </w:pPr>
      <w:r w:rsidRPr="001753D3">
        <w:t>Equitable healthcare or ‘universal proportionalism’.</w:t>
      </w:r>
    </w:p>
    <w:p w14:paraId="7199D77D" w14:textId="77777777" w:rsidR="00A32A85" w:rsidRPr="001753D3" w:rsidRDefault="00A32A85" w:rsidP="00A32A85">
      <w:pPr>
        <w:pStyle w:val="StyleNormaBullet11pt"/>
      </w:pPr>
      <w:r w:rsidRPr="001753D3">
        <w:t>Value-based healthcare.</w:t>
      </w:r>
    </w:p>
    <w:p w14:paraId="35ECD4AA" w14:textId="77777777" w:rsidR="00A32A85" w:rsidRPr="001753D3" w:rsidRDefault="00A32A85" w:rsidP="00A32A85">
      <w:pPr>
        <w:pStyle w:val="StyleNormaBullet11pt"/>
      </w:pPr>
      <w:r w:rsidRPr="001753D3">
        <w:t>Prevention.</w:t>
      </w:r>
    </w:p>
    <w:p w14:paraId="59A75A25" w14:textId="77777777" w:rsidR="00A32A85" w:rsidRPr="001753D3" w:rsidRDefault="00A32A85" w:rsidP="00A32A85">
      <w:pPr>
        <w:pStyle w:val="NormalBullet"/>
        <w:numPr>
          <w:ilvl w:val="0"/>
          <w:numId w:val="0"/>
        </w:numPr>
        <w:rPr>
          <w:rFonts w:asciiTheme="minorHAnsi" w:hAnsiTheme="minorHAnsi"/>
          <w:szCs w:val="22"/>
          <w:lang w:eastAsia="en-US"/>
        </w:rPr>
      </w:pPr>
    </w:p>
    <w:p w14:paraId="221F207C" w14:textId="6EEA4EAF" w:rsidR="00A32A85" w:rsidRPr="00094D87" w:rsidRDefault="00A32A85" w:rsidP="00094D87">
      <w:pPr>
        <w:rPr>
          <w:rFonts w:asciiTheme="minorHAnsi" w:hAnsiTheme="minorHAnsi"/>
          <w:szCs w:val="22"/>
          <w:lang w:eastAsia="en-US"/>
        </w:rPr>
      </w:pPr>
      <w:r w:rsidRPr="001753D3">
        <w:rPr>
          <w:rFonts w:asciiTheme="minorHAnsi" w:hAnsiTheme="minorHAnsi"/>
          <w:szCs w:val="22"/>
          <w:lang w:eastAsia="en-US"/>
        </w:rPr>
        <w:t xml:space="preserve">A key thrust of our </w:t>
      </w:r>
      <w:r>
        <w:rPr>
          <w:rFonts w:asciiTheme="minorHAnsi" w:hAnsiTheme="minorHAnsi"/>
          <w:szCs w:val="22"/>
          <w:lang w:eastAsia="en-US"/>
        </w:rPr>
        <w:t xml:space="preserve">Strategy and therefore our </w:t>
      </w:r>
      <w:r w:rsidRPr="001753D3">
        <w:rPr>
          <w:rFonts w:asciiTheme="minorHAnsi" w:hAnsiTheme="minorHAnsi"/>
          <w:szCs w:val="22"/>
          <w:lang w:eastAsia="en-US"/>
        </w:rPr>
        <w:t>Plan is therefore about actualising the potential for our healthcare system to drive sustainable improvements to population health, both directly and through leveraging public health, local partnerships and enabling policy and legislation.</w:t>
      </w:r>
      <w:r w:rsidR="00094D87">
        <w:rPr>
          <w:rFonts w:asciiTheme="minorHAnsi" w:hAnsiTheme="minorHAnsi"/>
          <w:szCs w:val="22"/>
          <w:lang w:eastAsia="en-US"/>
        </w:rPr>
        <w:t xml:space="preserve">  </w:t>
      </w:r>
      <w:hyperlink r:id="rId39" w:history="1">
        <w:r w:rsidRPr="0047674D">
          <w:rPr>
            <w:rStyle w:val="Hyperlink"/>
            <w:rFonts w:asciiTheme="minorHAnsi" w:hAnsiTheme="minorHAnsi" w:cs="Tahoma"/>
            <w:color w:val="943634" w:themeColor="accent2" w:themeShade="BF"/>
            <w:szCs w:val="22"/>
          </w:rPr>
          <w:t>The Director of Public Health Annual Report 2016/17</w:t>
        </w:r>
      </w:hyperlink>
      <w:r w:rsidRPr="0047674D">
        <w:rPr>
          <w:rFonts w:asciiTheme="minorHAnsi" w:hAnsiTheme="minorHAnsi"/>
          <w:color w:val="943634" w:themeColor="accent2" w:themeShade="BF"/>
          <w:szCs w:val="22"/>
        </w:rPr>
        <w:t xml:space="preserve"> contains more detail about our system wide approach to improving well-being.</w:t>
      </w:r>
    </w:p>
    <w:p w14:paraId="3E059188" w14:textId="0B9E3DE6" w:rsidR="00326DEF" w:rsidRPr="00E07712" w:rsidRDefault="002266F1" w:rsidP="00326DEF">
      <w:pPr>
        <w:pStyle w:val="Heading3"/>
        <w:ind w:left="709" w:hanging="709"/>
        <w:rPr>
          <w:szCs w:val="22"/>
        </w:rPr>
      </w:pPr>
      <w:r>
        <w:rPr>
          <w:szCs w:val="22"/>
        </w:rPr>
        <w:lastRenderedPageBreak/>
        <w:t>Strategic Service Model</w:t>
      </w:r>
    </w:p>
    <w:p w14:paraId="2DD97182" w14:textId="77777777" w:rsidR="00094D87" w:rsidRDefault="00094D87" w:rsidP="00094D87">
      <w:pPr>
        <w:autoSpaceDE w:val="0"/>
        <w:autoSpaceDN w:val="0"/>
        <w:adjustRightInd w:val="0"/>
        <w:jc w:val="center"/>
        <w:rPr>
          <w:rFonts w:cs="Calibri"/>
          <w:color w:val="943634" w:themeColor="accent2" w:themeShade="BF"/>
          <w:szCs w:val="22"/>
        </w:rPr>
      </w:pPr>
      <w:r w:rsidRPr="00094D87">
        <w:rPr>
          <w:rFonts w:cs="Calibri"/>
          <w:noProof/>
          <w:color w:val="943634" w:themeColor="accent2" w:themeShade="BF"/>
          <w:szCs w:val="22"/>
        </w:rPr>
        <w:drawing>
          <wp:inline distT="0" distB="0" distL="0" distR="0" wp14:anchorId="6E8570A8" wp14:editId="234113C5">
            <wp:extent cx="5882005" cy="3308630"/>
            <wp:effectExtent l="0" t="0" r="4445" b="6350"/>
            <wp:docPr id="1842" name="Picture 18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940307" cy="3341425"/>
                    </a:xfrm>
                    <a:prstGeom prst="rect">
                      <a:avLst/>
                    </a:prstGeom>
                  </pic:spPr>
                </pic:pic>
              </a:graphicData>
            </a:graphic>
          </wp:inline>
        </w:drawing>
      </w:r>
    </w:p>
    <w:p w14:paraId="380E922A" w14:textId="425B6F61" w:rsidR="00326DEF" w:rsidRPr="00E07712" w:rsidRDefault="00326DEF" w:rsidP="00326DEF">
      <w:pPr>
        <w:pStyle w:val="Heading3"/>
        <w:ind w:left="709" w:hanging="709"/>
        <w:rPr>
          <w:szCs w:val="22"/>
        </w:rPr>
      </w:pPr>
      <w:r w:rsidRPr="00E07712">
        <w:rPr>
          <w:szCs w:val="22"/>
        </w:rPr>
        <w:t xml:space="preserve">Engagement and Timescales for the </w:t>
      </w:r>
      <w:r w:rsidR="00CB4A67">
        <w:rPr>
          <w:szCs w:val="22"/>
        </w:rPr>
        <w:t>Integrated Health and Care</w:t>
      </w:r>
      <w:r w:rsidRPr="00E07712">
        <w:rPr>
          <w:szCs w:val="22"/>
        </w:rPr>
        <w:t xml:space="preserve"> Strategy</w:t>
      </w:r>
    </w:p>
    <w:p w14:paraId="7EC0487A" w14:textId="77777777" w:rsidR="00CE2276" w:rsidRPr="00CE2276" w:rsidRDefault="00CE2276" w:rsidP="00CE2276">
      <w:pPr>
        <w:jc w:val="left"/>
        <w:rPr>
          <w:rFonts w:asciiTheme="minorHAnsi" w:hAnsiTheme="minorHAnsi" w:cstheme="minorHAnsi"/>
          <w:szCs w:val="22"/>
        </w:rPr>
      </w:pPr>
      <w:r w:rsidRPr="00CE2276">
        <w:rPr>
          <w:rFonts w:asciiTheme="minorHAnsi" w:hAnsiTheme="minorHAnsi" w:cstheme="minorHAnsi"/>
          <w:szCs w:val="22"/>
        </w:rPr>
        <w:t>The steps required to move from mission, vision and objective development, to a published Integrated Health and Care Strategy are set out as follows:</w:t>
      </w:r>
    </w:p>
    <w:p w14:paraId="7B5D6324" w14:textId="77777777" w:rsidR="00CE2276" w:rsidRDefault="00CE2276" w:rsidP="00CE2276">
      <w:pPr>
        <w:rPr>
          <w:rFonts w:asciiTheme="minorHAnsi" w:hAnsiTheme="minorHAnsi" w:cstheme="minorHAnsi"/>
          <w:szCs w:val="22"/>
        </w:rPr>
      </w:pPr>
    </w:p>
    <w:p w14:paraId="31A95EEA" w14:textId="77777777" w:rsidR="00CE2276" w:rsidRPr="00CE2276" w:rsidRDefault="00CE2276" w:rsidP="00CE2276">
      <w:pPr>
        <w:rPr>
          <w:rFonts w:asciiTheme="minorHAnsi" w:hAnsiTheme="minorHAnsi" w:cstheme="minorHAnsi"/>
          <w:szCs w:val="22"/>
        </w:rPr>
      </w:pPr>
      <w:r w:rsidRPr="00CE2276">
        <w:rPr>
          <w:rFonts w:asciiTheme="minorHAnsi" w:hAnsiTheme="minorHAnsi" w:cstheme="minorHAnsi"/>
          <w:szCs w:val="22"/>
        </w:rPr>
        <w:t>Phase 0 (July 2019 – October 2019)</w:t>
      </w:r>
    </w:p>
    <w:p w14:paraId="49AB14BE" w14:textId="77777777" w:rsidR="00CE2276" w:rsidRPr="00CE2276" w:rsidRDefault="00CE2276" w:rsidP="00CE2276">
      <w:pPr>
        <w:pStyle w:val="NormaBullet"/>
        <w:rPr>
          <w:rFonts w:asciiTheme="minorHAnsi" w:hAnsiTheme="minorHAnsi" w:cstheme="minorHAnsi"/>
          <w:szCs w:val="22"/>
        </w:rPr>
      </w:pPr>
      <w:r w:rsidRPr="00CE2276">
        <w:rPr>
          <w:rFonts w:asciiTheme="minorHAnsi" w:hAnsiTheme="minorHAnsi" w:cstheme="minorHAnsi"/>
          <w:szCs w:val="22"/>
        </w:rPr>
        <w:t>Testing the appetite for change and the ambition for a population focus with clinical leaders.</w:t>
      </w:r>
    </w:p>
    <w:p w14:paraId="43479FC7" w14:textId="77777777" w:rsidR="00CE2276" w:rsidRPr="00CE2276" w:rsidRDefault="00CE2276" w:rsidP="00CE2276">
      <w:pPr>
        <w:pStyle w:val="NormaBullet"/>
        <w:rPr>
          <w:rFonts w:asciiTheme="minorHAnsi" w:hAnsiTheme="minorHAnsi" w:cstheme="minorHAnsi"/>
          <w:szCs w:val="22"/>
        </w:rPr>
      </w:pPr>
      <w:r w:rsidRPr="00CE2276">
        <w:rPr>
          <w:rFonts w:asciiTheme="minorHAnsi" w:hAnsiTheme="minorHAnsi" w:cstheme="minorHAnsi"/>
          <w:szCs w:val="22"/>
        </w:rPr>
        <w:t>Agreement on the use of the balanced scorecard approach to developing and then turning the strategy into action.</w:t>
      </w:r>
    </w:p>
    <w:p w14:paraId="2DC97E92" w14:textId="77777777" w:rsidR="00CE2276" w:rsidRPr="00CE2276" w:rsidRDefault="00CE2276" w:rsidP="00CE2276">
      <w:pPr>
        <w:pStyle w:val="NormaBullet"/>
        <w:rPr>
          <w:rFonts w:asciiTheme="minorHAnsi" w:hAnsiTheme="minorHAnsi" w:cstheme="minorHAnsi"/>
          <w:szCs w:val="22"/>
        </w:rPr>
      </w:pPr>
      <w:r w:rsidRPr="00CE2276">
        <w:rPr>
          <w:rFonts w:asciiTheme="minorHAnsi" w:hAnsiTheme="minorHAnsi" w:cstheme="minorHAnsi"/>
          <w:szCs w:val="22"/>
        </w:rPr>
        <w:t>Agreement that the Strategic Planning Group will provide oversight to the development of the strategy, with a small task and finish group to deliver the work.</w:t>
      </w:r>
    </w:p>
    <w:p w14:paraId="26096262" w14:textId="77777777" w:rsidR="00CE2276" w:rsidRPr="00CE2276" w:rsidRDefault="00CE2276" w:rsidP="00CE2276">
      <w:pPr>
        <w:pStyle w:val="NormaBullet"/>
        <w:rPr>
          <w:rFonts w:asciiTheme="minorHAnsi" w:hAnsiTheme="minorHAnsi" w:cstheme="minorHAnsi"/>
          <w:szCs w:val="22"/>
        </w:rPr>
      </w:pPr>
      <w:r w:rsidRPr="00CE2276">
        <w:rPr>
          <w:rFonts w:asciiTheme="minorHAnsi" w:hAnsiTheme="minorHAnsi" w:cstheme="minorHAnsi"/>
          <w:szCs w:val="22"/>
        </w:rPr>
        <w:t>Agreement on a communications and engagement plan.</w:t>
      </w:r>
    </w:p>
    <w:p w14:paraId="48B14A39" w14:textId="77777777" w:rsidR="00CE2276" w:rsidRDefault="00CE2276" w:rsidP="00CE2276">
      <w:pPr>
        <w:pStyle w:val="ListParagraph"/>
        <w:ind w:left="0"/>
        <w:contextualSpacing w:val="0"/>
        <w:rPr>
          <w:rFonts w:asciiTheme="minorHAnsi" w:hAnsiTheme="minorHAnsi" w:cstheme="minorHAnsi"/>
          <w:szCs w:val="22"/>
        </w:rPr>
      </w:pPr>
    </w:p>
    <w:p w14:paraId="51101E0C" w14:textId="77777777" w:rsidR="00CE2276" w:rsidRPr="00CE2276" w:rsidRDefault="00CE2276" w:rsidP="00CE2276">
      <w:pPr>
        <w:pStyle w:val="ListParagraph"/>
        <w:ind w:left="0"/>
        <w:contextualSpacing w:val="0"/>
        <w:rPr>
          <w:rFonts w:asciiTheme="minorHAnsi" w:hAnsiTheme="minorHAnsi" w:cstheme="minorHAnsi"/>
          <w:szCs w:val="22"/>
        </w:rPr>
      </w:pPr>
      <w:r w:rsidRPr="00CE2276">
        <w:rPr>
          <w:rFonts w:asciiTheme="minorHAnsi" w:hAnsiTheme="minorHAnsi" w:cstheme="minorHAnsi"/>
          <w:szCs w:val="22"/>
        </w:rPr>
        <w:t>Phase 1 (November 2019 – January 2020)</w:t>
      </w:r>
    </w:p>
    <w:p w14:paraId="725D8108" w14:textId="77777777" w:rsidR="00CE2276" w:rsidRPr="00CE2276" w:rsidRDefault="00CE2276" w:rsidP="00CE2276">
      <w:pPr>
        <w:pStyle w:val="NormaBullet"/>
      </w:pPr>
      <w:r w:rsidRPr="00CE2276">
        <w:t>Test and engage on the mission and vision, ensuring there are in keeping with the new organisation’s emerging values.</w:t>
      </w:r>
    </w:p>
    <w:p w14:paraId="082C0579" w14:textId="77777777" w:rsidR="00CE2276" w:rsidRPr="00CE2276" w:rsidRDefault="00CE2276" w:rsidP="00CE2276">
      <w:pPr>
        <w:pStyle w:val="NormaBullet"/>
      </w:pPr>
      <w:r w:rsidRPr="00CE2276">
        <w:t>Develop strategic principles / objectives.</w:t>
      </w:r>
    </w:p>
    <w:p w14:paraId="1BDAA649" w14:textId="77777777" w:rsidR="00CE2276" w:rsidRPr="00CE2276" w:rsidRDefault="00CE2276" w:rsidP="00CE2276">
      <w:pPr>
        <w:pStyle w:val="NormaBullet"/>
      </w:pPr>
      <w:r w:rsidRPr="00CE2276">
        <w:t>Agree the strategic framework for the Integrated Health and Care Strategy.</w:t>
      </w:r>
    </w:p>
    <w:p w14:paraId="2E2A0242" w14:textId="77777777" w:rsidR="00CE2276" w:rsidRPr="00CE2276" w:rsidRDefault="00CE2276" w:rsidP="00CE2276">
      <w:pPr>
        <w:pStyle w:val="NormaBullet"/>
      </w:pPr>
      <w:r w:rsidRPr="00CE2276">
        <w:t>Publish an Integrated Health and Care Strategy engagement document, which will be described in the 2020-23, IMTP.</w:t>
      </w:r>
    </w:p>
    <w:p w14:paraId="63CB42DB" w14:textId="77777777" w:rsidR="00CE2276" w:rsidRDefault="00CE2276" w:rsidP="00CE2276">
      <w:pPr>
        <w:rPr>
          <w:rFonts w:asciiTheme="minorHAnsi" w:hAnsiTheme="minorHAnsi" w:cstheme="minorHAnsi"/>
          <w:szCs w:val="22"/>
        </w:rPr>
      </w:pPr>
    </w:p>
    <w:p w14:paraId="1CA5593F" w14:textId="77777777" w:rsidR="00CE2276" w:rsidRPr="00CE2276" w:rsidRDefault="00CE2276" w:rsidP="00CE2276">
      <w:pPr>
        <w:rPr>
          <w:rFonts w:asciiTheme="minorHAnsi" w:hAnsiTheme="minorHAnsi" w:cstheme="minorHAnsi"/>
          <w:szCs w:val="22"/>
        </w:rPr>
      </w:pPr>
      <w:r w:rsidRPr="00CE2276">
        <w:rPr>
          <w:rFonts w:asciiTheme="minorHAnsi" w:hAnsiTheme="minorHAnsi" w:cstheme="minorHAnsi"/>
          <w:szCs w:val="22"/>
        </w:rPr>
        <w:t>Phase 2 (February 2020 – March 2020)</w:t>
      </w:r>
    </w:p>
    <w:p w14:paraId="0E5D935E" w14:textId="77777777" w:rsidR="00CE2276" w:rsidRPr="00CE2276" w:rsidRDefault="00CE2276" w:rsidP="00CE2276">
      <w:pPr>
        <w:pStyle w:val="NormaBullet"/>
      </w:pPr>
      <w:r w:rsidRPr="00CE2276">
        <w:t>Large scale engagement on the mission, vision and values, and on turning the strategic principles into more detailed key objectives.</w:t>
      </w:r>
    </w:p>
    <w:p w14:paraId="36EB2995" w14:textId="77777777" w:rsidR="00CE2276" w:rsidRPr="00CE2276" w:rsidRDefault="00CE2276" w:rsidP="00CE2276">
      <w:pPr>
        <w:pStyle w:val="NormaBullet"/>
      </w:pPr>
      <w:r w:rsidRPr="00CE2276">
        <w:t>Develop high level outcomes and population pathway specifications based on the strategic framework for the Integrated Health and Care Strategy.</w:t>
      </w:r>
    </w:p>
    <w:p w14:paraId="76A707F3" w14:textId="77777777" w:rsidR="00CE2276" w:rsidRPr="00CE2276" w:rsidRDefault="00CE2276" w:rsidP="00CE2276">
      <w:pPr>
        <w:pStyle w:val="NormaBullet"/>
      </w:pPr>
      <w:r w:rsidRPr="00CE2276">
        <w:t>Establish the key enablers to delivering the population pathways, including workforce, digital and infrastructure.</w:t>
      </w:r>
    </w:p>
    <w:p w14:paraId="00E8F8C8" w14:textId="77777777" w:rsidR="00CE2276" w:rsidRPr="00CE2276" w:rsidRDefault="00CE2276" w:rsidP="00CE2276">
      <w:pPr>
        <w:pStyle w:val="NormaBullet"/>
      </w:pPr>
      <w:r w:rsidRPr="00CE2276">
        <w:t>Publish the Integrated Health and Care Strategy.</w:t>
      </w:r>
    </w:p>
    <w:p w14:paraId="064F5DDA" w14:textId="51FC33A6" w:rsidR="00C913DE" w:rsidRDefault="00C913DE">
      <w:pPr>
        <w:jc w:val="left"/>
        <w:rPr>
          <w:rFonts w:asciiTheme="minorHAnsi" w:hAnsiTheme="minorHAnsi" w:cstheme="minorHAnsi"/>
          <w:color w:val="943634" w:themeColor="accent2" w:themeShade="BF"/>
          <w:szCs w:val="22"/>
        </w:rPr>
      </w:pPr>
      <w:r>
        <w:rPr>
          <w:rFonts w:asciiTheme="minorHAnsi" w:hAnsiTheme="minorHAnsi" w:cstheme="minorHAnsi"/>
          <w:color w:val="943634" w:themeColor="accent2" w:themeShade="BF"/>
          <w:szCs w:val="22"/>
        </w:rPr>
        <w:br w:type="page"/>
      </w:r>
    </w:p>
    <w:p w14:paraId="20573729" w14:textId="0CD159F9" w:rsidR="002C0EC9" w:rsidRDefault="00326DEF" w:rsidP="002C0EC9">
      <w:pPr>
        <w:pStyle w:val="Heading2"/>
        <w:rPr>
          <w:rFonts w:asciiTheme="minorHAnsi" w:hAnsiTheme="minorHAnsi"/>
          <w:iCs w:val="0"/>
          <w:szCs w:val="22"/>
        </w:rPr>
      </w:pPr>
      <w:bookmarkStart w:id="24" w:name="_Toc471829972"/>
      <w:bookmarkStart w:id="25" w:name="_Toc473290290"/>
      <w:bookmarkStart w:id="26" w:name="_Toc25262163"/>
      <w:r>
        <w:rPr>
          <w:rFonts w:asciiTheme="minorHAnsi" w:hAnsiTheme="minorHAnsi"/>
          <w:iCs w:val="0"/>
          <w:szCs w:val="22"/>
        </w:rPr>
        <w:lastRenderedPageBreak/>
        <w:t>Cwm Taf Morgannwg Operating Model</w:t>
      </w:r>
      <w:bookmarkEnd w:id="26"/>
    </w:p>
    <w:p w14:paraId="3293F3D8" w14:textId="567556D5" w:rsidR="00741DA4" w:rsidRDefault="00C913DE" w:rsidP="00741DA4">
      <w:pPr>
        <w:rPr>
          <w:lang w:eastAsia="en-US"/>
        </w:rPr>
      </w:pPr>
      <w:r w:rsidRPr="00C913DE">
        <w:rPr>
          <w:noProof/>
        </w:rPr>
        <w:drawing>
          <wp:anchor distT="0" distB="0" distL="114300" distR="114300" simplePos="0" relativeHeight="252849152" behindDoc="0" locked="0" layoutInCell="1" allowOverlap="1" wp14:anchorId="1553351A" wp14:editId="7FA39013">
            <wp:simplePos x="0" y="0"/>
            <wp:positionH relativeFrom="margin">
              <wp:align>left</wp:align>
            </wp:positionH>
            <wp:positionV relativeFrom="paragraph">
              <wp:posOffset>90649</wp:posOffset>
            </wp:positionV>
            <wp:extent cx="3327400" cy="1871345"/>
            <wp:effectExtent l="0" t="0" r="6350" b="0"/>
            <wp:wrapSquare wrapText="bothSides"/>
            <wp:docPr id="471" name="Picture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extLst>
                        <a:ext uri="{28A0092B-C50C-407E-A947-70E740481C1C}">
                          <a14:useLocalDpi xmlns:a14="http://schemas.microsoft.com/office/drawing/2010/main" val="0"/>
                        </a:ext>
                      </a:extLst>
                    </a:blip>
                    <a:stretch>
                      <a:fillRect/>
                    </a:stretch>
                  </pic:blipFill>
                  <pic:spPr>
                    <a:xfrm>
                      <a:off x="0" y="0"/>
                      <a:ext cx="3327400" cy="1871345"/>
                    </a:xfrm>
                    <a:prstGeom prst="rect">
                      <a:avLst/>
                    </a:prstGeom>
                  </pic:spPr>
                </pic:pic>
              </a:graphicData>
            </a:graphic>
            <wp14:sizeRelH relativeFrom="margin">
              <wp14:pctWidth>0</wp14:pctWidth>
            </wp14:sizeRelH>
            <wp14:sizeRelV relativeFrom="margin">
              <wp14:pctHeight>0</wp14:pctHeight>
            </wp14:sizeRelV>
          </wp:anchor>
        </w:drawing>
      </w:r>
      <w:r w:rsidR="00741DA4">
        <w:rPr>
          <w:lang w:eastAsia="en-US"/>
        </w:rPr>
        <w:t xml:space="preserve">An </w:t>
      </w:r>
      <w:r w:rsidR="00CD6021">
        <w:rPr>
          <w:lang w:eastAsia="en-US"/>
        </w:rPr>
        <w:t>operating</w:t>
      </w:r>
      <w:r w:rsidR="00741DA4">
        <w:rPr>
          <w:lang w:eastAsia="en-US"/>
        </w:rPr>
        <w:t xml:space="preserve"> model d</w:t>
      </w:r>
      <w:r w:rsidR="00CD6021">
        <w:rPr>
          <w:lang w:eastAsia="en-US"/>
        </w:rPr>
        <w:t xml:space="preserve">escribes how the business of </w:t>
      </w:r>
      <w:r>
        <w:rPr>
          <w:lang w:eastAsia="en-US"/>
        </w:rPr>
        <w:t>a</w:t>
      </w:r>
      <w:r w:rsidR="00CD6021">
        <w:rPr>
          <w:lang w:eastAsia="en-US"/>
        </w:rPr>
        <w:t xml:space="preserve"> Health</w:t>
      </w:r>
      <w:r w:rsidR="00741DA4">
        <w:rPr>
          <w:lang w:eastAsia="en-US"/>
        </w:rPr>
        <w:t xml:space="preserve"> </w:t>
      </w:r>
      <w:r w:rsidR="00CD6021">
        <w:rPr>
          <w:lang w:eastAsia="en-US"/>
        </w:rPr>
        <w:t xml:space="preserve">Board </w:t>
      </w:r>
      <w:r w:rsidR="00741DA4">
        <w:rPr>
          <w:lang w:eastAsia="en-US"/>
        </w:rPr>
        <w:t xml:space="preserve">is </w:t>
      </w:r>
      <w:r w:rsidR="00CD6021">
        <w:rPr>
          <w:lang w:eastAsia="en-US"/>
        </w:rPr>
        <w:t xml:space="preserve">organised and managed.  That includes being clear </w:t>
      </w:r>
      <w:r>
        <w:rPr>
          <w:lang w:eastAsia="en-US"/>
        </w:rPr>
        <w:t>the ‘</w:t>
      </w:r>
      <w:r w:rsidR="00CD6021">
        <w:rPr>
          <w:lang w:eastAsia="en-US"/>
        </w:rPr>
        <w:t>why, how and what</w:t>
      </w:r>
      <w:r>
        <w:rPr>
          <w:lang w:eastAsia="en-US"/>
        </w:rPr>
        <w:t>’</w:t>
      </w:r>
      <w:r w:rsidR="00CD6021">
        <w:rPr>
          <w:lang w:eastAsia="en-US"/>
        </w:rPr>
        <w:t xml:space="preserve"> for the Health Board</w:t>
      </w:r>
      <w:r>
        <w:rPr>
          <w:lang w:eastAsia="en-US"/>
        </w:rPr>
        <w:t>.</w:t>
      </w:r>
    </w:p>
    <w:p w14:paraId="50056782" w14:textId="77777777" w:rsidR="00C913DE" w:rsidRDefault="00C913DE" w:rsidP="00741DA4">
      <w:pPr>
        <w:rPr>
          <w:lang w:eastAsia="en-US"/>
        </w:rPr>
      </w:pPr>
    </w:p>
    <w:p w14:paraId="56D2B4FE" w14:textId="6C766856" w:rsidR="00DD1E8D" w:rsidRDefault="00C913DE" w:rsidP="00741DA4">
      <w:pPr>
        <w:rPr>
          <w:lang w:eastAsia="en-US"/>
        </w:rPr>
      </w:pPr>
      <w:r>
        <w:rPr>
          <w:lang w:eastAsia="en-US"/>
        </w:rPr>
        <w:t xml:space="preserve">The draft vision and emerging Integrated Health and Care Strategy are set out in section 1.3.2 and 1.4.  The work and timeline to develop the values and behaviours for the organisation is set out in section 1.3.1 and section 6.1.  Below is the </w:t>
      </w:r>
      <w:r w:rsidR="00080933">
        <w:rPr>
          <w:lang w:eastAsia="en-US"/>
        </w:rPr>
        <w:t>further detail on the ‘how’: the operating structure and the corporate governance.</w:t>
      </w:r>
    </w:p>
    <w:p w14:paraId="158D92F2" w14:textId="1B469447" w:rsidR="00DD1E8D" w:rsidRPr="00DD1E8D" w:rsidRDefault="00C913DE" w:rsidP="00326DEF">
      <w:pPr>
        <w:pStyle w:val="Heading3"/>
      </w:pPr>
      <w:r>
        <w:t>Operating Structure</w:t>
      </w:r>
    </w:p>
    <w:p w14:paraId="7DB338A3" w14:textId="585906AC" w:rsidR="00DD1E8D" w:rsidRDefault="00DD1E8D" w:rsidP="00DD1E8D">
      <w:pPr>
        <w:rPr>
          <w:szCs w:val="22"/>
        </w:rPr>
      </w:pPr>
      <w:r>
        <w:rPr>
          <w:szCs w:val="22"/>
        </w:rPr>
        <w:t>A set of principles have been developed to ensure that any new structure is organised for better outcomes for patients and communities, a more satisfying environment for those of us working in and with the Health Board and to promote an increased perspective of the care system in its widest sense, strengthening work with partners in the third sector and local authorities.  These principles which were internally and externally engaged on are:</w:t>
      </w:r>
    </w:p>
    <w:p w14:paraId="26FDA062" w14:textId="0EFFB740" w:rsidR="00DD1E8D" w:rsidRDefault="00DD1E8D" w:rsidP="003B1653">
      <w:pPr>
        <w:pStyle w:val="ListParagraph"/>
        <w:numPr>
          <w:ilvl w:val="0"/>
          <w:numId w:val="96"/>
        </w:numPr>
        <w:autoSpaceDE w:val="0"/>
        <w:autoSpaceDN w:val="0"/>
        <w:adjustRightInd w:val="0"/>
        <w:ind w:left="357" w:hanging="357"/>
        <w:rPr>
          <w:szCs w:val="22"/>
        </w:rPr>
      </w:pPr>
      <w:r w:rsidRPr="00DD1E8D">
        <w:rPr>
          <w:b/>
          <w:szCs w:val="22"/>
        </w:rPr>
        <w:t>Empowering People</w:t>
      </w:r>
      <w:r>
        <w:rPr>
          <w:szCs w:val="22"/>
        </w:rPr>
        <w:t>:</w:t>
      </w:r>
      <w:r w:rsidRPr="00DD1E8D">
        <w:rPr>
          <w:szCs w:val="22"/>
        </w:rPr>
        <w:t xml:space="preserve"> Empower staff, entrusting decision making closer to those delivering services. Enhance leadership, positive behaviours &amp; ways of working, embedding an open c</w:t>
      </w:r>
      <w:r>
        <w:rPr>
          <w:szCs w:val="22"/>
        </w:rPr>
        <w:t>ulture.</w:t>
      </w:r>
    </w:p>
    <w:p w14:paraId="6414CF97" w14:textId="59B7F268" w:rsidR="00DD1E8D" w:rsidRDefault="00DD1E8D" w:rsidP="003B1653">
      <w:pPr>
        <w:pStyle w:val="ListParagraph"/>
        <w:numPr>
          <w:ilvl w:val="0"/>
          <w:numId w:val="96"/>
        </w:numPr>
        <w:autoSpaceDE w:val="0"/>
        <w:autoSpaceDN w:val="0"/>
        <w:adjustRightInd w:val="0"/>
        <w:ind w:left="357" w:hanging="357"/>
        <w:rPr>
          <w:szCs w:val="22"/>
        </w:rPr>
      </w:pPr>
      <w:r w:rsidRPr="00DD1E8D">
        <w:rPr>
          <w:b/>
          <w:szCs w:val="22"/>
        </w:rPr>
        <w:t>Community Leadership and Involvement</w:t>
      </w:r>
      <w:r>
        <w:rPr>
          <w:szCs w:val="22"/>
        </w:rPr>
        <w:t>:</w:t>
      </w:r>
      <w:r w:rsidRPr="00DD1E8D">
        <w:rPr>
          <w:szCs w:val="22"/>
        </w:rPr>
        <w:t xml:space="preserve"> Local health needs and wellbeing met through a community and prevention focus. Foster system leadership, serving the whole person’s needs, through collaboration with partners across all sectors. Strengthen the voice of our communities, patients, staff and partners </w:t>
      </w:r>
      <w:r>
        <w:rPr>
          <w:szCs w:val="22"/>
        </w:rPr>
        <w:t>in service design and delivery.</w:t>
      </w:r>
    </w:p>
    <w:p w14:paraId="4EED7DB3" w14:textId="7C6E55E3" w:rsidR="00DD1E8D" w:rsidRDefault="00DD1E8D" w:rsidP="003B1653">
      <w:pPr>
        <w:pStyle w:val="ListParagraph"/>
        <w:numPr>
          <w:ilvl w:val="0"/>
          <w:numId w:val="96"/>
        </w:numPr>
        <w:autoSpaceDE w:val="0"/>
        <w:autoSpaceDN w:val="0"/>
        <w:adjustRightInd w:val="0"/>
        <w:ind w:left="357" w:hanging="357"/>
        <w:rPr>
          <w:szCs w:val="22"/>
        </w:rPr>
      </w:pPr>
      <w:r w:rsidRPr="00DD1E8D">
        <w:rPr>
          <w:b/>
          <w:szCs w:val="22"/>
        </w:rPr>
        <w:t>Clinically Led, Community Focused Services</w:t>
      </w:r>
      <w:r>
        <w:rPr>
          <w:szCs w:val="22"/>
        </w:rPr>
        <w:t>:</w:t>
      </w:r>
      <w:r w:rsidRPr="00DD1E8D">
        <w:rPr>
          <w:szCs w:val="22"/>
        </w:rPr>
        <w:t xml:space="preserve"> Consistency in clinical standards and professional practice with quality and safety at the heart of all we do. Delivery of high value services and outcomes, as close as possible to our communities, supported by sound mana</w:t>
      </w:r>
      <w:r>
        <w:rPr>
          <w:szCs w:val="22"/>
        </w:rPr>
        <w:t>gement, and corporate services.</w:t>
      </w:r>
    </w:p>
    <w:p w14:paraId="55B66ED8" w14:textId="0776F6F2" w:rsidR="00DD1E8D" w:rsidRDefault="00DD1E8D" w:rsidP="003B1653">
      <w:pPr>
        <w:pStyle w:val="ListParagraph"/>
        <w:numPr>
          <w:ilvl w:val="0"/>
          <w:numId w:val="96"/>
        </w:numPr>
        <w:autoSpaceDE w:val="0"/>
        <w:autoSpaceDN w:val="0"/>
        <w:adjustRightInd w:val="0"/>
        <w:ind w:left="357" w:hanging="357"/>
        <w:rPr>
          <w:szCs w:val="22"/>
        </w:rPr>
      </w:pPr>
      <w:r w:rsidRPr="00DD1E8D">
        <w:rPr>
          <w:b/>
          <w:szCs w:val="22"/>
        </w:rPr>
        <w:t>Learning and Innovating for Continual Quality Improvement</w:t>
      </w:r>
      <w:r>
        <w:rPr>
          <w:szCs w:val="22"/>
        </w:rPr>
        <w:t>:</w:t>
      </w:r>
      <w:r w:rsidRPr="00DD1E8D">
        <w:rPr>
          <w:szCs w:val="22"/>
        </w:rPr>
        <w:t xml:space="preserve"> Support research and innovation in all areas to identify, promote and embed continual service improvement. Enhance team and individual performance through skills development, learning and teaching opportunities, attracting and retaining world class staff. </w:t>
      </w:r>
    </w:p>
    <w:p w14:paraId="536C8B73" w14:textId="57F28975" w:rsidR="00DD1E8D" w:rsidRDefault="00DD1E8D" w:rsidP="003B1653">
      <w:pPr>
        <w:pStyle w:val="ListParagraph"/>
        <w:numPr>
          <w:ilvl w:val="0"/>
          <w:numId w:val="96"/>
        </w:numPr>
        <w:autoSpaceDE w:val="0"/>
        <w:autoSpaceDN w:val="0"/>
        <w:adjustRightInd w:val="0"/>
        <w:ind w:left="357" w:hanging="357"/>
        <w:rPr>
          <w:szCs w:val="22"/>
        </w:rPr>
      </w:pPr>
      <w:r w:rsidRPr="00DD1E8D">
        <w:rPr>
          <w:b/>
          <w:szCs w:val="22"/>
        </w:rPr>
        <w:t>Robust, Simplified and Safe Decision Making</w:t>
      </w:r>
      <w:r>
        <w:rPr>
          <w:szCs w:val="22"/>
        </w:rPr>
        <w:t>:</w:t>
      </w:r>
      <w:r w:rsidRPr="00DD1E8D">
        <w:rPr>
          <w:szCs w:val="22"/>
        </w:rPr>
        <w:t xml:space="preserve"> Deliver good governance, clear accountabilities and organisational sustainability supported by simple, transparent and robust systems, structures, processes and technology. Have balanced conversations incorporating quality, performance and finance considerati</w:t>
      </w:r>
      <w:r w:rsidR="00593773">
        <w:rPr>
          <w:szCs w:val="22"/>
        </w:rPr>
        <w:t>ons, enabled by proactive data.</w:t>
      </w:r>
    </w:p>
    <w:p w14:paraId="2165C2E5" w14:textId="77777777" w:rsidR="00593773" w:rsidRDefault="00593773" w:rsidP="00593773">
      <w:pPr>
        <w:autoSpaceDE w:val="0"/>
        <w:autoSpaceDN w:val="0"/>
        <w:adjustRightInd w:val="0"/>
        <w:rPr>
          <w:szCs w:val="22"/>
        </w:rPr>
      </w:pPr>
    </w:p>
    <w:p w14:paraId="17EF6D57" w14:textId="544365AA" w:rsidR="00593773" w:rsidRDefault="00593773" w:rsidP="00593773">
      <w:pPr>
        <w:autoSpaceDE w:val="0"/>
        <w:autoSpaceDN w:val="0"/>
        <w:adjustRightInd w:val="0"/>
        <w:rPr>
          <w:szCs w:val="22"/>
        </w:rPr>
      </w:pPr>
      <w:r>
        <w:rPr>
          <w:szCs w:val="22"/>
        </w:rPr>
        <w:t>Aligning the emerging Integrated Health and Care Strategy and the principles results in following high level model:</w:t>
      </w:r>
    </w:p>
    <w:p w14:paraId="387C2DD1" w14:textId="77777777" w:rsidR="00593773" w:rsidRPr="00593773" w:rsidRDefault="00593773" w:rsidP="00593773">
      <w:pPr>
        <w:autoSpaceDE w:val="0"/>
        <w:autoSpaceDN w:val="0"/>
        <w:adjustRightInd w:val="0"/>
        <w:rPr>
          <w:szCs w:val="22"/>
        </w:rPr>
      </w:pPr>
    </w:p>
    <w:p w14:paraId="765B67D0" w14:textId="6B4426FA" w:rsidR="00E962D1" w:rsidRDefault="00593773" w:rsidP="00593773">
      <w:pPr>
        <w:autoSpaceDE w:val="0"/>
        <w:autoSpaceDN w:val="0"/>
        <w:adjustRightInd w:val="0"/>
        <w:jc w:val="right"/>
        <w:rPr>
          <w:szCs w:val="22"/>
        </w:rPr>
      </w:pPr>
      <w:r>
        <w:rPr>
          <w:noProof/>
          <w:szCs w:val="22"/>
        </w:rPr>
        <w:drawing>
          <wp:inline distT="0" distB="0" distL="0" distR="0" wp14:anchorId="7EEFF538" wp14:editId="4DB51F3C">
            <wp:extent cx="5679203" cy="2072261"/>
            <wp:effectExtent l="0" t="0" r="0" b="4445"/>
            <wp:docPr id="1844" name="Picture 18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699976" cy="2079841"/>
                    </a:xfrm>
                    <a:prstGeom prst="rect">
                      <a:avLst/>
                    </a:prstGeom>
                    <a:noFill/>
                  </pic:spPr>
                </pic:pic>
              </a:graphicData>
            </a:graphic>
          </wp:inline>
        </w:drawing>
      </w:r>
    </w:p>
    <w:p w14:paraId="21A7E703" w14:textId="77777777" w:rsidR="00593773" w:rsidRDefault="00593773" w:rsidP="00E962D1">
      <w:pPr>
        <w:autoSpaceDE w:val="0"/>
        <w:autoSpaceDN w:val="0"/>
        <w:adjustRightInd w:val="0"/>
        <w:jc w:val="center"/>
        <w:rPr>
          <w:szCs w:val="22"/>
        </w:rPr>
      </w:pPr>
    </w:p>
    <w:p w14:paraId="4156299E" w14:textId="77777777" w:rsidR="00593773" w:rsidRDefault="00593773" w:rsidP="00E962D1">
      <w:pPr>
        <w:autoSpaceDE w:val="0"/>
        <w:autoSpaceDN w:val="0"/>
        <w:adjustRightInd w:val="0"/>
        <w:jc w:val="center"/>
        <w:rPr>
          <w:szCs w:val="22"/>
        </w:rPr>
      </w:pPr>
    </w:p>
    <w:p w14:paraId="21876FD6" w14:textId="77777777" w:rsidR="00593773" w:rsidRDefault="00593773" w:rsidP="00E962D1">
      <w:pPr>
        <w:autoSpaceDE w:val="0"/>
        <w:autoSpaceDN w:val="0"/>
        <w:adjustRightInd w:val="0"/>
        <w:jc w:val="center"/>
        <w:rPr>
          <w:szCs w:val="22"/>
        </w:rPr>
      </w:pPr>
    </w:p>
    <w:p w14:paraId="7FF85806" w14:textId="77777777" w:rsidR="00593773" w:rsidRDefault="00E962D1" w:rsidP="00593773">
      <w:pPr>
        <w:autoSpaceDE w:val="0"/>
        <w:autoSpaceDN w:val="0"/>
        <w:adjustRightInd w:val="0"/>
        <w:jc w:val="left"/>
        <w:rPr>
          <w:szCs w:val="22"/>
        </w:rPr>
      </w:pPr>
      <w:r>
        <w:rPr>
          <w:szCs w:val="22"/>
        </w:rPr>
        <w:lastRenderedPageBreak/>
        <w:t>Whilst work is still underway to finalise the operating structures, the building blocks of the structure are:</w:t>
      </w:r>
    </w:p>
    <w:p w14:paraId="01BC9F3A" w14:textId="77777777" w:rsidR="00593773" w:rsidRDefault="00593773" w:rsidP="00E962D1">
      <w:pPr>
        <w:autoSpaceDE w:val="0"/>
        <w:autoSpaceDN w:val="0"/>
        <w:adjustRightInd w:val="0"/>
        <w:jc w:val="center"/>
        <w:rPr>
          <w:szCs w:val="22"/>
        </w:rPr>
      </w:pPr>
    </w:p>
    <w:p w14:paraId="421E6D5C" w14:textId="7555CECB" w:rsidR="00593773" w:rsidRDefault="00593773" w:rsidP="00E962D1">
      <w:pPr>
        <w:autoSpaceDE w:val="0"/>
        <w:autoSpaceDN w:val="0"/>
        <w:adjustRightInd w:val="0"/>
        <w:jc w:val="center"/>
        <w:rPr>
          <w:noProof/>
        </w:rPr>
      </w:pPr>
      <w:r>
        <w:rPr>
          <w:noProof/>
        </w:rPr>
        <w:drawing>
          <wp:inline distT="0" distB="0" distL="0" distR="0" wp14:anchorId="39C99CE9" wp14:editId="39F09B17">
            <wp:extent cx="6339297" cy="3728852"/>
            <wp:effectExtent l="0" t="0" r="4445" b="5080"/>
            <wp:docPr id="1840" name="Picture 1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l="4493" t="11335" r="55343" b="4658"/>
                    <a:stretch/>
                  </pic:blipFill>
                  <pic:spPr bwMode="auto">
                    <a:xfrm>
                      <a:off x="0" y="0"/>
                      <a:ext cx="6361507" cy="3741916"/>
                    </a:xfrm>
                    <a:prstGeom prst="rect">
                      <a:avLst/>
                    </a:prstGeom>
                    <a:ln>
                      <a:noFill/>
                    </a:ln>
                    <a:extLst>
                      <a:ext uri="{53640926-AAD7-44D8-BBD7-CCE9431645EC}">
                        <a14:shadowObscured xmlns:a14="http://schemas.microsoft.com/office/drawing/2010/main"/>
                      </a:ext>
                    </a:extLst>
                  </pic:spPr>
                </pic:pic>
              </a:graphicData>
            </a:graphic>
          </wp:inline>
        </w:drawing>
      </w:r>
    </w:p>
    <w:p w14:paraId="3C352500" w14:textId="77777777" w:rsidR="00593773" w:rsidRDefault="00593773" w:rsidP="00E962D1">
      <w:pPr>
        <w:autoSpaceDE w:val="0"/>
        <w:autoSpaceDN w:val="0"/>
        <w:adjustRightInd w:val="0"/>
        <w:jc w:val="center"/>
        <w:rPr>
          <w:noProof/>
        </w:rPr>
      </w:pPr>
    </w:p>
    <w:p w14:paraId="6C2F9E70" w14:textId="0C6FB41E" w:rsidR="00931EA6" w:rsidRPr="00E962D1" w:rsidRDefault="00931EA6" w:rsidP="00931EA6">
      <w:pPr>
        <w:autoSpaceDE w:val="0"/>
        <w:autoSpaceDN w:val="0"/>
        <w:adjustRightInd w:val="0"/>
        <w:rPr>
          <w:szCs w:val="22"/>
        </w:rPr>
      </w:pPr>
      <w:r>
        <w:rPr>
          <w:szCs w:val="22"/>
        </w:rPr>
        <w:t>This diagram below explains further how these groups’ management arrangements and way of doing business could be organised in a way that brings our focus towards our communities, consider the whole person’s needs and also strengthens relationships with clinical colleagues and partners in local authorities and other sectors so we think about people’s pathways.</w:t>
      </w:r>
    </w:p>
    <w:p w14:paraId="1A9C6C29" w14:textId="345DA62F" w:rsidR="00326DEF" w:rsidRPr="00DD1E8D" w:rsidRDefault="00E962D1" w:rsidP="00931EA6">
      <w:pPr>
        <w:jc w:val="center"/>
        <w:rPr>
          <w:szCs w:val="22"/>
        </w:rPr>
      </w:pPr>
      <w:r>
        <w:rPr>
          <w:noProof/>
          <w:szCs w:val="22"/>
        </w:rPr>
        <w:drawing>
          <wp:inline distT="0" distB="0" distL="0" distR="0" wp14:anchorId="4912433A" wp14:editId="123D501C">
            <wp:extent cx="3318411" cy="3243533"/>
            <wp:effectExtent l="0" t="0" r="0" b="0"/>
            <wp:docPr id="1839" name="Picture 18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322054" cy="3247094"/>
                    </a:xfrm>
                    <a:prstGeom prst="rect">
                      <a:avLst/>
                    </a:prstGeom>
                    <a:noFill/>
                  </pic:spPr>
                </pic:pic>
              </a:graphicData>
            </a:graphic>
          </wp:inline>
        </w:drawing>
      </w:r>
    </w:p>
    <w:p w14:paraId="42A2DA07" w14:textId="77777777" w:rsidR="00741DA4" w:rsidRPr="004E02DC" w:rsidRDefault="00741DA4" w:rsidP="00741DA4">
      <w:pPr>
        <w:pStyle w:val="Heading3"/>
      </w:pPr>
      <w:r w:rsidRPr="004E02DC">
        <w:t>Governance</w:t>
      </w:r>
    </w:p>
    <w:p w14:paraId="5B2C010B" w14:textId="0625D851" w:rsidR="00C11691" w:rsidRDefault="00C11691" w:rsidP="00C11691">
      <w:pPr>
        <w:pStyle w:val="NormalWeb"/>
        <w:spacing w:before="0" w:beforeAutospacing="0" w:after="0" w:afterAutospacing="0"/>
        <w:rPr>
          <w:rFonts w:asciiTheme="minorHAnsi" w:hAnsiTheme="minorHAnsi" w:cstheme="minorHAnsi"/>
          <w:color w:val="000000"/>
        </w:rPr>
      </w:pPr>
      <w:r w:rsidRPr="00C11691">
        <w:rPr>
          <w:rFonts w:asciiTheme="minorHAnsi" w:hAnsiTheme="minorHAnsi"/>
          <w:szCs w:val="22"/>
        </w:rPr>
        <w:t>At the same time</w:t>
      </w:r>
      <w:r>
        <w:rPr>
          <w:rFonts w:asciiTheme="minorHAnsi" w:hAnsiTheme="minorHAnsi"/>
          <w:szCs w:val="22"/>
        </w:rPr>
        <w:t xml:space="preserve"> as the forming Cwm Taf Morgannwg UHB</w:t>
      </w:r>
      <w:r w:rsidRPr="00C11691">
        <w:rPr>
          <w:rFonts w:asciiTheme="minorHAnsi" w:hAnsiTheme="minorHAnsi" w:cstheme="minorHAnsi"/>
          <w:szCs w:val="22"/>
        </w:rPr>
        <w:t xml:space="preserve">, the </w:t>
      </w:r>
      <w:r w:rsidRPr="00C11691">
        <w:rPr>
          <w:rFonts w:asciiTheme="minorHAnsi" w:hAnsiTheme="minorHAnsi" w:cstheme="minorHAnsi"/>
          <w:color w:val="000000"/>
        </w:rPr>
        <w:t>Royal College of Obstetricians and Gynaecologists and the Royal College of Midwives published their report into maternity services at both Prince Charles and Royal Glamorgan Hospitals.</w:t>
      </w:r>
      <w:r>
        <w:rPr>
          <w:rFonts w:asciiTheme="minorHAnsi" w:hAnsiTheme="minorHAnsi" w:cstheme="minorHAnsi"/>
          <w:color w:val="000000"/>
        </w:rPr>
        <w:t xml:space="preserve"> </w:t>
      </w:r>
      <w:r w:rsidRPr="00C11691">
        <w:rPr>
          <w:rFonts w:asciiTheme="minorHAnsi" w:hAnsiTheme="minorHAnsi" w:cstheme="minorHAnsi"/>
          <w:color w:val="000000"/>
        </w:rPr>
        <w:t xml:space="preserve"> Included in the report’s recommendations was the need to revise and strengthen how the organisation will work with patients, the public and partners to co-produce s</w:t>
      </w:r>
      <w:r>
        <w:rPr>
          <w:rFonts w:asciiTheme="minorHAnsi" w:hAnsiTheme="minorHAnsi" w:cstheme="minorHAnsi"/>
          <w:color w:val="000000"/>
        </w:rPr>
        <w:t>ervices which meet their needs.</w:t>
      </w:r>
    </w:p>
    <w:p w14:paraId="66FC7644" w14:textId="77777777" w:rsidR="00C11691" w:rsidRDefault="00C11691" w:rsidP="00C11691">
      <w:pPr>
        <w:pStyle w:val="NormalWeb"/>
        <w:spacing w:before="0" w:beforeAutospacing="0" w:after="0" w:afterAutospacing="0"/>
        <w:rPr>
          <w:rFonts w:asciiTheme="minorHAnsi" w:hAnsiTheme="minorHAnsi" w:cstheme="minorHAnsi"/>
          <w:color w:val="000000"/>
        </w:rPr>
      </w:pPr>
    </w:p>
    <w:p w14:paraId="1AF34013" w14:textId="1B898697" w:rsidR="00C11691" w:rsidRDefault="00C11691" w:rsidP="00C11691">
      <w:pPr>
        <w:pStyle w:val="NormalWeb"/>
        <w:spacing w:before="0" w:beforeAutospacing="0" w:after="0" w:afterAutospacing="0"/>
        <w:rPr>
          <w:rFonts w:asciiTheme="minorHAnsi" w:hAnsiTheme="minorHAnsi" w:cstheme="minorHAnsi"/>
          <w:color w:val="000000"/>
        </w:rPr>
      </w:pPr>
      <w:r w:rsidRPr="00C11691">
        <w:rPr>
          <w:rFonts w:asciiTheme="minorHAnsi" w:hAnsiTheme="minorHAnsi" w:cstheme="minorHAnsi"/>
          <w:color w:val="000000"/>
        </w:rPr>
        <w:lastRenderedPageBreak/>
        <w:t xml:space="preserve">Following the publication of this report, the organisation’s escalation level was increased to Targeted Intervention, and Special Measures for Maternity Services. During the months following the Health Board entering into escalated intervention, we have been working closely with external agencies including WAO, HIW and the </w:t>
      </w:r>
      <w:r>
        <w:rPr>
          <w:rFonts w:asciiTheme="minorHAnsi" w:hAnsiTheme="minorHAnsi" w:cstheme="minorHAnsi"/>
          <w:color w:val="000000"/>
        </w:rPr>
        <w:t xml:space="preserve">NHS Wales </w:t>
      </w:r>
      <w:r w:rsidRPr="00C11691">
        <w:rPr>
          <w:rFonts w:asciiTheme="minorHAnsi" w:hAnsiTheme="minorHAnsi" w:cstheme="minorHAnsi"/>
          <w:color w:val="000000"/>
        </w:rPr>
        <w:t>Delivery Unit amongst others to take the learning and recommendations from reports received to formulate an overarching approach for the organisation to embed sustainable improvement. There is also a concerted effort to ensure improvements are made in engagement and involvement with our staff, patients, families and stakeholders to learn from them and identify opportunities and develop a culture that supports and empowers staff and those who use our service</w:t>
      </w:r>
      <w:r>
        <w:rPr>
          <w:rFonts w:asciiTheme="minorHAnsi" w:hAnsiTheme="minorHAnsi" w:cstheme="minorHAnsi"/>
          <w:color w:val="000000"/>
        </w:rPr>
        <w:t>s to improve their experiences.</w:t>
      </w:r>
    </w:p>
    <w:p w14:paraId="0BC18EA2" w14:textId="77777777" w:rsidR="00C11691" w:rsidRPr="00C11691" w:rsidRDefault="00C11691" w:rsidP="00C11691">
      <w:pPr>
        <w:pStyle w:val="NormalWeb"/>
        <w:spacing w:before="0" w:beforeAutospacing="0" w:after="0" w:afterAutospacing="0"/>
        <w:rPr>
          <w:rFonts w:asciiTheme="minorHAnsi" w:hAnsiTheme="minorHAnsi" w:cstheme="minorHAnsi"/>
          <w:color w:val="000000"/>
        </w:rPr>
      </w:pPr>
    </w:p>
    <w:p w14:paraId="651BA73B" w14:textId="1475AA9B" w:rsidR="00C11691" w:rsidRPr="00C11691" w:rsidRDefault="00C11691" w:rsidP="00C11691">
      <w:pPr>
        <w:pStyle w:val="NormalWeb"/>
        <w:spacing w:before="0" w:beforeAutospacing="0" w:after="0" w:afterAutospacing="0"/>
        <w:rPr>
          <w:rFonts w:asciiTheme="minorHAnsi" w:hAnsiTheme="minorHAnsi" w:cstheme="minorHAnsi"/>
          <w:color w:val="000000"/>
        </w:rPr>
      </w:pPr>
      <w:r w:rsidRPr="00C11691">
        <w:rPr>
          <w:rFonts w:asciiTheme="minorHAnsi" w:hAnsiTheme="minorHAnsi" w:cstheme="minorHAnsi"/>
          <w:color w:val="000000"/>
        </w:rPr>
        <w:t>A comprehensive programme of work has been established to address the 3 areas of Targeted Interv</w:t>
      </w:r>
      <w:r>
        <w:rPr>
          <w:rFonts w:asciiTheme="minorHAnsi" w:hAnsiTheme="minorHAnsi" w:cstheme="minorHAnsi"/>
          <w:color w:val="000000"/>
        </w:rPr>
        <w:t>ention and for Special Measures:</w:t>
      </w:r>
    </w:p>
    <w:p w14:paraId="3D537C15" w14:textId="011ECAEA" w:rsidR="00C11691" w:rsidRPr="00C11691" w:rsidRDefault="00C11691" w:rsidP="003B1653">
      <w:pPr>
        <w:pStyle w:val="NormalWeb"/>
        <w:numPr>
          <w:ilvl w:val="0"/>
          <w:numId w:val="92"/>
        </w:numPr>
        <w:spacing w:before="0" w:beforeAutospacing="0" w:after="0" w:afterAutospacing="0"/>
        <w:ind w:left="357" w:hanging="357"/>
        <w:rPr>
          <w:rFonts w:asciiTheme="minorHAnsi" w:hAnsiTheme="minorHAnsi" w:cstheme="minorHAnsi"/>
          <w:color w:val="000000"/>
        </w:rPr>
      </w:pPr>
      <w:r w:rsidRPr="00C11691">
        <w:rPr>
          <w:rFonts w:asciiTheme="minorHAnsi" w:hAnsiTheme="minorHAnsi" w:cstheme="minorHAnsi"/>
          <w:color w:val="000000"/>
        </w:rPr>
        <w:t>Leadership &amp; Culture</w:t>
      </w:r>
      <w:r>
        <w:rPr>
          <w:rFonts w:asciiTheme="minorHAnsi" w:hAnsiTheme="minorHAnsi" w:cstheme="minorHAnsi"/>
          <w:color w:val="000000"/>
        </w:rPr>
        <w:t>;</w:t>
      </w:r>
    </w:p>
    <w:p w14:paraId="46CC1669" w14:textId="155B14E1" w:rsidR="00C11691" w:rsidRPr="00C11691" w:rsidRDefault="00C11691" w:rsidP="003B1653">
      <w:pPr>
        <w:pStyle w:val="NormalWeb"/>
        <w:numPr>
          <w:ilvl w:val="0"/>
          <w:numId w:val="92"/>
        </w:numPr>
        <w:spacing w:before="0" w:beforeAutospacing="0" w:after="0" w:afterAutospacing="0"/>
        <w:ind w:left="357" w:hanging="357"/>
        <w:rPr>
          <w:rFonts w:asciiTheme="minorHAnsi" w:hAnsiTheme="minorHAnsi" w:cstheme="minorHAnsi"/>
          <w:color w:val="000000"/>
        </w:rPr>
      </w:pPr>
      <w:r w:rsidRPr="00C11691">
        <w:rPr>
          <w:rFonts w:asciiTheme="minorHAnsi" w:hAnsiTheme="minorHAnsi" w:cstheme="minorHAnsi"/>
          <w:color w:val="000000"/>
        </w:rPr>
        <w:t>Values and Behaviours</w:t>
      </w:r>
      <w:r>
        <w:rPr>
          <w:rFonts w:asciiTheme="minorHAnsi" w:hAnsiTheme="minorHAnsi" w:cstheme="minorHAnsi"/>
          <w:color w:val="000000"/>
        </w:rPr>
        <w:t>;</w:t>
      </w:r>
    </w:p>
    <w:p w14:paraId="1E8484DA" w14:textId="623CB31C" w:rsidR="00C11691" w:rsidRPr="00C11691" w:rsidRDefault="00C11691" w:rsidP="003B1653">
      <w:pPr>
        <w:pStyle w:val="NormalWeb"/>
        <w:numPr>
          <w:ilvl w:val="0"/>
          <w:numId w:val="92"/>
        </w:numPr>
        <w:spacing w:before="0" w:beforeAutospacing="0" w:after="0" w:afterAutospacing="0"/>
        <w:ind w:left="357" w:hanging="357"/>
        <w:rPr>
          <w:rFonts w:asciiTheme="minorHAnsi" w:hAnsiTheme="minorHAnsi" w:cstheme="minorHAnsi"/>
          <w:color w:val="000000"/>
        </w:rPr>
      </w:pPr>
      <w:r w:rsidRPr="00C11691">
        <w:rPr>
          <w:rFonts w:asciiTheme="minorHAnsi" w:hAnsiTheme="minorHAnsi" w:cstheme="minorHAnsi"/>
          <w:color w:val="000000"/>
        </w:rPr>
        <w:t>Engagement and Involvement</w:t>
      </w:r>
      <w:r>
        <w:rPr>
          <w:rFonts w:asciiTheme="minorHAnsi" w:hAnsiTheme="minorHAnsi" w:cstheme="minorHAnsi"/>
          <w:color w:val="000000"/>
        </w:rPr>
        <w:t>; and</w:t>
      </w:r>
    </w:p>
    <w:p w14:paraId="5CE95657" w14:textId="79E5787B" w:rsidR="00C11691" w:rsidRDefault="00C11691" w:rsidP="003B1653">
      <w:pPr>
        <w:pStyle w:val="NormalWeb"/>
        <w:numPr>
          <w:ilvl w:val="0"/>
          <w:numId w:val="92"/>
        </w:numPr>
        <w:spacing w:before="0" w:beforeAutospacing="0" w:after="0" w:afterAutospacing="0"/>
        <w:ind w:left="357" w:hanging="357"/>
        <w:rPr>
          <w:rFonts w:asciiTheme="minorHAnsi" w:hAnsiTheme="minorHAnsi" w:cstheme="minorHAnsi"/>
          <w:color w:val="000000"/>
        </w:rPr>
      </w:pPr>
      <w:r w:rsidRPr="00C11691">
        <w:rPr>
          <w:rFonts w:asciiTheme="minorHAnsi" w:hAnsiTheme="minorHAnsi" w:cstheme="minorHAnsi"/>
          <w:color w:val="000000"/>
        </w:rPr>
        <w:t>Maternity Improvement</w:t>
      </w:r>
      <w:r>
        <w:rPr>
          <w:rFonts w:asciiTheme="minorHAnsi" w:hAnsiTheme="minorHAnsi" w:cstheme="minorHAnsi"/>
          <w:color w:val="000000"/>
        </w:rPr>
        <w:t>.</w:t>
      </w:r>
    </w:p>
    <w:p w14:paraId="4DB0276E" w14:textId="77777777" w:rsidR="00C11691" w:rsidRPr="00C11691" w:rsidRDefault="00C11691" w:rsidP="00C11691">
      <w:pPr>
        <w:pStyle w:val="NormalWeb"/>
        <w:spacing w:before="0" w:beforeAutospacing="0" w:after="0" w:afterAutospacing="0"/>
        <w:rPr>
          <w:rFonts w:asciiTheme="minorHAnsi" w:hAnsiTheme="minorHAnsi" w:cstheme="minorHAnsi"/>
          <w:color w:val="000000"/>
        </w:rPr>
      </w:pPr>
    </w:p>
    <w:p w14:paraId="7EA23BD1" w14:textId="0FCD204C" w:rsidR="00C11691" w:rsidRDefault="00C11691" w:rsidP="00C11691">
      <w:pPr>
        <w:pStyle w:val="NormalWeb"/>
        <w:spacing w:before="0" w:beforeAutospacing="0" w:after="0" w:afterAutospacing="0"/>
        <w:rPr>
          <w:rFonts w:asciiTheme="minorHAnsi" w:hAnsiTheme="minorHAnsi" w:cstheme="minorHAnsi"/>
          <w:color w:val="000000"/>
        </w:rPr>
      </w:pPr>
      <w:r w:rsidRPr="00C11691">
        <w:rPr>
          <w:rFonts w:asciiTheme="minorHAnsi" w:hAnsiTheme="minorHAnsi" w:cstheme="minorHAnsi"/>
          <w:color w:val="000000"/>
        </w:rPr>
        <w:t>Each of these areas has been assigned a Senior Responsible Owner (SRO) and each have a work programme developed to deliver continuous, sustainable improvement. Progress in relation to these plans is monitored by the relevant Comm</w:t>
      </w:r>
      <w:r>
        <w:rPr>
          <w:rFonts w:asciiTheme="minorHAnsi" w:hAnsiTheme="minorHAnsi" w:cstheme="minorHAnsi"/>
          <w:color w:val="000000"/>
        </w:rPr>
        <w:t>ittees, the Full Board and by Welsh Government</w:t>
      </w:r>
      <w:r w:rsidRPr="00C11691">
        <w:rPr>
          <w:rFonts w:asciiTheme="minorHAnsi" w:hAnsiTheme="minorHAnsi" w:cstheme="minorHAnsi"/>
          <w:color w:val="000000"/>
        </w:rPr>
        <w:t xml:space="preserve"> in monthly Targeted Intervention meetings chaired by the Chief Executive for NHS Wales. The development of a maturity matrix during 2019/2020 will be key to monitoring progress and evidencing sustainable impro</w:t>
      </w:r>
      <w:r>
        <w:rPr>
          <w:rFonts w:asciiTheme="minorHAnsi" w:hAnsiTheme="minorHAnsi" w:cstheme="minorHAnsi"/>
          <w:color w:val="000000"/>
        </w:rPr>
        <w:t>vement across the Health Board.</w:t>
      </w:r>
    </w:p>
    <w:p w14:paraId="0CA0CC5F" w14:textId="77777777" w:rsidR="00C11691" w:rsidRPr="00C11691" w:rsidRDefault="00C11691" w:rsidP="00C11691">
      <w:pPr>
        <w:pStyle w:val="NormalWeb"/>
        <w:spacing w:before="0" w:beforeAutospacing="0" w:after="0" w:afterAutospacing="0"/>
        <w:rPr>
          <w:rFonts w:asciiTheme="minorHAnsi" w:hAnsiTheme="minorHAnsi" w:cstheme="minorHAnsi"/>
          <w:color w:val="000000"/>
        </w:rPr>
      </w:pPr>
    </w:p>
    <w:p w14:paraId="44B1930C" w14:textId="1A34ADE0" w:rsidR="00C11691" w:rsidRDefault="00C11691" w:rsidP="00C11691">
      <w:pPr>
        <w:pStyle w:val="NormalWeb"/>
        <w:spacing w:before="0" w:beforeAutospacing="0" w:after="0" w:afterAutospacing="0"/>
        <w:rPr>
          <w:rFonts w:asciiTheme="minorHAnsi" w:hAnsiTheme="minorHAnsi" w:cstheme="minorHAnsi"/>
          <w:color w:val="000000"/>
        </w:rPr>
      </w:pPr>
      <w:r w:rsidRPr="00C11691">
        <w:rPr>
          <w:rFonts w:asciiTheme="minorHAnsi" w:hAnsiTheme="minorHAnsi" w:cstheme="minorHAnsi"/>
          <w:color w:val="000000"/>
        </w:rPr>
        <w:t xml:space="preserve">We are moving our new organisation to a patient/community focussed and quality driven organisation which will be reflected in a revised vision and mission and new operating model. </w:t>
      </w:r>
      <w:r>
        <w:rPr>
          <w:rFonts w:asciiTheme="minorHAnsi" w:hAnsiTheme="minorHAnsi" w:cstheme="minorHAnsi"/>
          <w:color w:val="000000"/>
        </w:rPr>
        <w:t xml:space="preserve">  </w:t>
      </w:r>
      <w:r w:rsidRPr="00C11691">
        <w:rPr>
          <w:rFonts w:asciiTheme="minorHAnsi" w:hAnsiTheme="minorHAnsi" w:cstheme="minorHAnsi"/>
          <w:color w:val="000000"/>
        </w:rPr>
        <w:t>Changes are being made to strengthen governance across the Health Board including quality governance, engagement and involvement, leadership and culture and improvements in our maternity services. The Board is committed to strengthening how it scrutinises and gains assurance on behalf of all stakeholders, linking with the work underway on implementing the new operating model and subsequent management and accountability structures supporting the de</w:t>
      </w:r>
      <w:r>
        <w:rPr>
          <w:rFonts w:asciiTheme="minorHAnsi" w:hAnsiTheme="minorHAnsi" w:cstheme="minorHAnsi"/>
          <w:color w:val="000000"/>
        </w:rPr>
        <w:t>livery of operational services.</w:t>
      </w:r>
    </w:p>
    <w:p w14:paraId="3EF9D7E3" w14:textId="77777777" w:rsidR="00C11691" w:rsidRPr="00C11691" w:rsidRDefault="00C11691" w:rsidP="00C11691">
      <w:pPr>
        <w:pStyle w:val="NormalWeb"/>
        <w:spacing w:before="0" w:beforeAutospacing="0" w:after="0" w:afterAutospacing="0"/>
        <w:rPr>
          <w:rFonts w:asciiTheme="minorHAnsi" w:hAnsiTheme="minorHAnsi" w:cstheme="minorHAnsi"/>
          <w:color w:val="000000"/>
        </w:rPr>
      </w:pPr>
    </w:p>
    <w:p w14:paraId="6B62F9F1" w14:textId="786909D2" w:rsidR="00C11691" w:rsidRDefault="00C11691" w:rsidP="00C11691">
      <w:pPr>
        <w:pStyle w:val="NormalWeb"/>
        <w:spacing w:before="0" w:beforeAutospacing="0" w:after="0" w:afterAutospacing="0"/>
        <w:rPr>
          <w:rFonts w:asciiTheme="minorHAnsi" w:hAnsiTheme="minorHAnsi"/>
          <w:szCs w:val="22"/>
        </w:rPr>
      </w:pPr>
      <w:r w:rsidRPr="00C11691">
        <w:rPr>
          <w:rFonts w:asciiTheme="minorHAnsi" w:hAnsiTheme="minorHAnsi"/>
          <w:szCs w:val="22"/>
        </w:rPr>
        <w:t>The Board is responsible for determining policy, setting strategic direction, delivering safe, quality services and ensuring that there are effective internal control mechanisms for the Health Board to support the delivery of high standards of clinical and corporate governance.  This is, of course, set against a backdrop of the Health Board ensuring that it remains responsive to the needs of its co</w:t>
      </w:r>
      <w:r>
        <w:rPr>
          <w:rFonts w:asciiTheme="minorHAnsi" w:hAnsiTheme="minorHAnsi"/>
          <w:szCs w:val="22"/>
        </w:rPr>
        <w:t>mmunities and key stakeholders.</w:t>
      </w:r>
    </w:p>
    <w:p w14:paraId="658D4A52" w14:textId="77777777" w:rsidR="00C11691" w:rsidRPr="00C11691" w:rsidRDefault="00C11691" w:rsidP="00C11691">
      <w:pPr>
        <w:pStyle w:val="NormalWeb"/>
        <w:spacing w:before="0" w:beforeAutospacing="0" w:after="0" w:afterAutospacing="0"/>
        <w:rPr>
          <w:rFonts w:asciiTheme="minorHAnsi" w:hAnsiTheme="minorHAnsi"/>
          <w:szCs w:val="22"/>
        </w:rPr>
      </w:pPr>
    </w:p>
    <w:p w14:paraId="4F1B706F" w14:textId="4DF6D707" w:rsidR="00C11691" w:rsidRPr="00C11691" w:rsidRDefault="00C11691" w:rsidP="00C11691">
      <w:pPr>
        <w:rPr>
          <w:rFonts w:asciiTheme="minorHAnsi" w:hAnsiTheme="minorHAnsi"/>
          <w:szCs w:val="22"/>
        </w:rPr>
      </w:pPr>
      <w:r w:rsidRPr="00C11691">
        <w:rPr>
          <w:rFonts w:asciiTheme="minorHAnsi" w:hAnsiTheme="minorHAnsi"/>
          <w:szCs w:val="22"/>
        </w:rPr>
        <w:t xml:space="preserve">The system of internal control is informed by the work of internal auditors, clinical audit and the Directors within the organisation who have responsibility for the development and maintenance of risk assurance and internal control frameworks.  Comments on this are made by the Wales Audit Office, as the external auditors, in their Annual Audit Report and other reports including the Structured Assessment.  The work of </w:t>
      </w:r>
      <w:r>
        <w:rPr>
          <w:rFonts w:asciiTheme="minorHAnsi" w:hAnsiTheme="minorHAnsi"/>
          <w:szCs w:val="22"/>
        </w:rPr>
        <w:t>HIW</w:t>
      </w:r>
      <w:r w:rsidRPr="00C11691">
        <w:rPr>
          <w:rFonts w:asciiTheme="minorHAnsi" w:hAnsiTheme="minorHAnsi"/>
          <w:szCs w:val="22"/>
        </w:rPr>
        <w:t xml:space="preserve"> has an important and significant impact in the Health Board, from </w:t>
      </w:r>
      <w:proofErr w:type="gramStart"/>
      <w:r w:rsidRPr="00C11691">
        <w:rPr>
          <w:rFonts w:asciiTheme="minorHAnsi" w:hAnsiTheme="minorHAnsi"/>
          <w:szCs w:val="22"/>
        </w:rPr>
        <w:t>both their planned and unplanned inspections or</w:t>
      </w:r>
      <w:proofErr w:type="gramEnd"/>
      <w:r w:rsidRPr="00C11691">
        <w:rPr>
          <w:rFonts w:asciiTheme="minorHAnsi" w:hAnsiTheme="minorHAnsi"/>
          <w:szCs w:val="22"/>
        </w:rPr>
        <w:t xml:space="preserve"> reports.  The inspections and reports provided by other regulators also contribute significantly to improving the quality of services provided.  As well as responding appropriately to the actions required within individual reports, the Health Board is striving to ensure that general lessons are learned throughout and with the wider NHS in Wales.  </w:t>
      </w:r>
      <w:r w:rsidR="002266F1">
        <w:rPr>
          <w:rFonts w:asciiTheme="minorHAnsi" w:hAnsiTheme="minorHAnsi"/>
          <w:szCs w:val="22"/>
        </w:rPr>
        <w:t>We recognise that there</w:t>
      </w:r>
      <w:r w:rsidRPr="00C11691">
        <w:rPr>
          <w:rFonts w:asciiTheme="minorHAnsi" w:hAnsiTheme="minorHAnsi"/>
          <w:szCs w:val="22"/>
        </w:rPr>
        <w:t xml:space="preserve"> requires further work to progress this and to be able to demonstrate delivery.  The Board is considering how the ‘duty of candour’ is also a more integral part of the everyday work of the Board, with changes being made to the approach of the Board and structure of the Committees to strengthen assurance and promote openness and transparency.  </w:t>
      </w:r>
    </w:p>
    <w:p w14:paraId="6AB54317" w14:textId="77777777" w:rsidR="00C11691" w:rsidRPr="00C11691" w:rsidRDefault="00C11691" w:rsidP="00C11691">
      <w:pPr>
        <w:rPr>
          <w:rFonts w:asciiTheme="minorHAnsi" w:hAnsiTheme="minorHAnsi"/>
          <w:szCs w:val="22"/>
        </w:rPr>
      </w:pPr>
    </w:p>
    <w:p w14:paraId="46DBB15B" w14:textId="77777777" w:rsidR="00C11691" w:rsidRPr="00C11691" w:rsidRDefault="00C11691" w:rsidP="00C11691">
      <w:pPr>
        <w:rPr>
          <w:rFonts w:asciiTheme="minorHAnsi" w:hAnsiTheme="minorHAnsi"/>
          <w:szCs w:val="22"/>
        </w:rPr>
      </w:pPr>
      <w:r w:rsidRPr="00C11691">
        <w:rPr>
          <w:rFonts w:asciiTheme="minorHAnsi" w:hAnsiTheme="minorHAnsi"/>
          <w:szCs w:val="22"/>
        </w:rPr>
        <w:t xml:space="preserve">We also have a very active Community Health Council who undertake a comprehensive visiting programme and their feedback and engagement with the Health Board is a key assurance tool utilised by the organisation.  </w:t>
      </w:r>
    </w:p>
    <w:p w14:paraId="752FCE64" w14:textId="77777777" w:rsidR="00C11691" w:rsidRPr="00C11691" w:rsidRDefault="00C11691" w:rsidP="00C11691">
      <w:pPr>
        <w:rPr>
          <w:rFonts w:asciiTheme="minorHAnsi" w:hAnsiTheme="minorHAnsi"/>
          <w:szCs w:val="22"/>
        </w:rPr>
      </w:pPr>
    </w:p>
    <w:p w14:paraId="460DC678" w14:textId="77777777" w:rsidR="00C11691" w:rsidRPr="00C11691" w:rsidRDefault="00C11691" w:rsidP="00C11691">
      <w:pPr>
        <w:rPr>
          <w:rFonts w:asciiTheme="minorHAnsi" w:hAnsiTheme="minorHAnsi"/>
          <w:szCs w:val="22"/>
        </w:rPr>
      </w:pPr>
      <w:r w:rsidRPr="00C11691">
        <w:rPr>
          <w:rFonts w:asciiTheme="minorHAnsi" w:hAnsiTheme="minorHAnsi"/>
          <w:szCs w:val="22"/>
        </w:rPr>
        <w:t xml:space="preserve">The Board takes its accountability for clinical governance, corporate governance, clinical risk management, risk management, serious incident reporting and matters of internal control seriously.  A review of Ward to Board risk management is underway and will be linked to a re-fresh of the Board Assurance Framework during 2020. </w:t>
      </w:r>
    </w:p>
    <w:p w14:paraId="1983B20D" w14:textId="77777777" w:rsidR="00C11691" w:rsidRPr="00C11691" w:rsidRDefault="00C11691" w:rsidP="00C11691">
      <w:pPr>
        <w:autoSpaceDE w:val="0"/>
        <w:autoSpaceDN w:val="0"/>
        <w:adjustRightInd w:val="0"/>
        <w:rPr>
          <w:rFonts w:asciiTheme="minorHAnsi" w:hAnsiTheme="minorHAnsi"/>
          <w:szCs w:val="22"/>
        </w:rPr>
      </w:pPr>
    </w:p>
    <w:p w14:paraId="3092FB65" w14:textId="5C9C3559" w:rsidR="00C11691" w:rsidRPr="00C11691" w:rsidRDefault="00C11691" w:rsidP="00C11691">
      <w:pPr>
        <w:rPr>
          <w:rFonts w:ascii="Verdana" w:hAnsi="Verdana" w:cs="Verdana"/>
          <w:sz w:val="24"/>
        </w:rPr>
      </w:pPr>
      <w:r w:rsidRPr="00C11691">
        <w:rPr>
          <w:rFonts w:asciiTheme="minorHAnsi" w:hAnsiTheme="minorHAnsi"/>
          <w:szCs w:val="22"/>
        </w:rPr>
        <w:lastRenderedPageBreak/>
        <w:t>Together, Board Members share corporate responsibility for all decisions and play a</w:t>
      </w:r>
      <w:r w:rsidRPr="00C11691">
        <w:rPr>
          <w:rFonts w:ascii="Verdana" w:hAnsi="Verdana" w:cs="Verdana"/>
          <w:sz w:val="24"/>
        </w:rPr>
        <w:t xml:space="preserve"> </w:t>
      </w:r>
      <w:r w:rsidRPr="00C11691">
        <w:rPr>
          <w:rFonts w:asciiTheme="minorHAnsi" w:hAnsiTheme="minorHAnsi"/>
          <w:szCs w:val="22"/>
        </w:rPr>
        <w:t xml:space="preserve">key role in monitoring the performance and quality of services provided by the Health Board.  The Board provides leadership and direction to the organisation and has a key role in ensuring that the organisation has sound clinical and corporate governance arrangements in place.  The Board has recently re-committed to a culture of openness, honesty and transparency in decision making and has high standards in the quality of clinical care, financial stewardship, as well as responding to the health needs of the population it serves.  Board Members are disappointed to be in escalation but fully accept the issues identified and welcome the learning that can be taken from the interventions. </w:t>
      </w:r>
    </w:p>
    <w:p w14:paraId="1C21E9F2" w14:textId="77777777" w:rsidR="00326DEF" w:rsidRPr="00E07712" w:rsidRDefault="00326DEF" w:rsidP="00326DEF">
      <w:pPr>
        <w:pStyle w:val="Heading2"/>
        <w:rPr>
          <w:szCs w:val="22"/>
        </w:rPr>
      </w:pPr>
      <w:bookmarkStart w:id="27" w:name="_Toc25262164"/>
      <w:r w:rsidRPr="00E07712">
        <w:rPr>
          <w:szCs w:val="22"/>
        </w:rPr>
        <w:t>Working In Partnership</w:t>
      </w:r>
      <w:bookmarkEnd w:id="27"/>
    </w:p>
    <w:p w14:paraId="5C18A561" w14:textId="77777777" w:rsidR="00326DEF" w:rsidRPr="00E07712" w:rsidRDefault="00326DEF" w:rsidP="00326DEF">
      <w:pPr>
        <w:pStyle w:val="Heading3"/>
        <w:ind w:left="709" w:hanging="709"/>
        <w:rPr>
          <w:szCs w:val="22"/>
        </w:rPr>
      </w:pPr>
      <w:r w:rsidRPr="00E07712">
        <w:rPr>
          <w:szCs w:val="22"/>
        </w:rPr>
        <w:t>Public Services Boards</w:t>
      </w:r>
    </w:p>
    <w:p w14:paraId="388D6A7B" w14:textId="77777777" w:rsidR="00326DEF" w:rsidRPr="001753D3" w:rsidRDefault="00326DEF" w:rsidP="00326DEF">
      <w:pPr>
        <w:rPr>
          <w:rFonts w:asciiTheme="minorHAnsi" w:hAnsiTheme="minorHAnsi"/>
          <w:szCs w:val="22"/>
        </w:rPr>
      </w:pPr>
      <w:r w:rsidRPr="001753D3">
        <w:rPr>
          <w:rFonts w:asciiTheme="minorHAnsi" w:hAnsiTheme="minorHAnsi"/>
          <w:szCs w:val="22"/>
        </w:rPr>
        <w:t xml:space="preserve">The </w:t>
      </w:r>
      <w:hyperlink r:id="rId45" w:history="1">
        <w:r w:rsidRPr="001753D3">
          <w:rPr>
            <w:rStyle w:val="Hyperlink"/>
            <w:rFonts w:asciiTheme="minorHAnsi" w:hAnsiTheme="minorHAnsi" w:cs="Tahoma"/>
            <w:color w:val="auto"/>
            <w:szCs w:val="22"/>
          </w:rPr>
          <w:t>Cwm Taf</w:t>
        </w:r>
      </w:hyperlink>
      <w:r w:rsidRPr="001753D3">
        <w:rPr>
          <w:rFonts w:asciiTheme="minorHAnsi" w:hAnsiTheme="minorHAnsi"/>
          <w:szCs w:val="22"/>
        </w:rPr>
        <w:t xml:space="preserve"> and </w:t>
      </w:r>
      <w:hyperlink r:id="rId46" w:history="1">
        <w:r w:rsidRPr="001753D3">
          <w:rPr>
            <w:rStyle w:val="Hyperlink"/>
            <w:rFonts w:asciiTheme="minorHAnsi" w:hAnsiTheme="minorHAnsi" w:cs="Tahoma"/>
            <w:color w:val="auto"/>
            <w:szCs w:val="22"/>
          </w:rPr>
          <w:t>Bridgend</w:t>
        </w:r>
      </w:hyperlink>
      <w:r w:rsidRPr="001753D3">
        <w:rPr>
          <w:rFonts w:asciiTheme="minorHAnsi" w:hAnsiTheme="minorHAnsi"/>
          <w:szCs w:val="22"/>
        </w:rPr>
        <w:t xml:space="preserve"> Public Services Boards (PSB) Well-being Plans 2018-23 were published in May 2018.  There are many similarities in the Plans and the two PSBs have indicated a willingness to work together to achieve the Objectives of both plans.  As we work together it is helpful to note that there are many similarities in the well-being objectives as well as distinct differences.  We will further explore these over the coming period, seeking to consolidate the similarities in a coherent work plan and support delivery of all objectives as we deliver the agreed intent of one Public Service Board for the new footprint</w:t>
      </w:r>
    </w:p>
    <w:p w14:paraId="243ACE45" w14:textId="77777777" w:rsidR="00326DEF" w:rsidRPr="00E07712" w:rsidRDefault="00326DEF" w:rsidP="00326DEF">
      <w:pPr>
        <w:pStyle w:val="Heading3"/>
        <w:ind w:left="709" w:hanging="709"/>
        <w:rPr>
          <w:szCs w:val="22"/>
        </w:rPr>
      </w:pPr>
      <w:r w:rsidRPr="00E07712">
        <w:rPr>
          <w:szCs w:val="22"/>
        </w:rPr>
        <w:t>Cwm Taf Social Services and Well-Being Regional Partnership Board</w:t>
      </w:r>
    </w:p>
    <w:p w14:paraId="7F0801E2" w14:textId="77777777" w:rsidR="00326DEF" w:rsidRDefault="00326DEF" w:rsidP="00326DEF">
      <w:r w:rsidRPr="003842D6">
        <w:t>The Social Services and Wellbeing Act Wales (2014) identified the statutory need for regions to create Regional Partnership Boards (RPB) to oversee integrated strategic approaches to deliver integrated Health and Social Care services.  Since this time, Welsh Government have more recently published “A Healthier Wales: our Plan for Health and Social Care” which emphasises the need to prevent illness by supporting people to manage their own health and wellbeing and on enabling people to live indepen</w:t>
      </w:r>
      <w:r>
        <w:t>dently for as long as they can.</w:t>
      </w:r>
    </w:p>
    <w:p w14:paraId="713D2C9E" w14:textId="77777777" w:rsidR="00326DEF" w:rsidRPr="003842D6" w:rsidRDefault="00326DEF" w:rsidP="00326DEF"/>
    <w:p w14:paraId="52E58A6E" w14:textId="77777777" w:rsidR="00326DEF" w:rsidRDefault="00326DEF" w:rsidP="00326DEF">
      <w:r w:rsidRPr="003842D6">
        <w:t>“Healthier Wales” also confirmed the importance of Regional Partnership working to develop new models of integrated Health and Social Care that are innovative and addresses regional priorities.  RPBs are expected to provide a strong oversight and coordinating role as highlighted by the expectations of the national Transformation programme and the need for RPBs to have lead responsibility on the development, implementation and a</w:t>
      </w:r>
      <w:r>
        <w:t>chievement of individual bids.</w:t>
      </w:r>
    </w:p>
    <w:p w14:paraId="4AFC807E" w14:textId="77777777" w:rsidR="00326DEF" w:rsidRPr="003842D6" w:rsidRDefault="00326DEF" w:rsidP="00326DEF"/>
    <w:p w14:paraId="53DA3624" w14:textId="77777777" w:rsidR="00326DEF" w:rsidRDefault="00326DEF" w:rsidP="00326DEF">
      <w:r w:rsidRPr="003842D6">
        <w:t>Such national expectations clearly stresses the critical role of Regional Partnership Boards in delivering the expected transformation of Health and Social Care delivery so that services become better coordinated and seamless.</w:t>
      </w:r>
    </w:p>
    <w:p w14:paraId="755BF125" w14:textId="77777777" w:rsidR="00326DEF" w:rsidRPr="003842D6" w:rsidRDefault="00326DEF" w:rsidP="00326DEF"/>
    <w:p w14:paraId="633F1220" w14:textId="77777777" w:rsidR="00326DEF" w:rsidRDefault="00326DEF" w:rsidP="00326DEF">
      <w:r w:rsidRPr="003842D6">
        <w:t xml:space="preserve">In June 2018, the Welsh Government announced that responsibility for healthcare services in the Bridgend County Borough Council area would transfer to the Cwm Taf University Health Board from Abertawe Bro Morgannwg University Health Board. The boundary of the Cwm Taf Health Board would be moved accordingly with the changes coming into effect on 1 April 2019. </w:t>
      </w:r>
    </w:p>
    <w:p w14:paraId="05A72EDE" w14:textId="77777777" w:rsidR="00326DEF" w:rsidRPr="003842D6" w:rsidRDefault="00326DEF" w:rsidP="00326DEF"/>
    <w:p w14:paraId="79BDBAEF" w14:textId="77777777" w:rsidR="00326DEF" w:rsidRDefault="00326DEF" w:rsidP="00326DEF">
      <w:r w:rsidRPr="003842D6">
        <w:t>The boundary change whilst challenging does provide us the opportunity to review all governance arrangements and learn from one another and develop simpler more cohesive partnership arrangements to deliver better outcomes for people and communities across Cwm Taf Morgannwg.</w:t>
      </w:r>
    </w:p>
    <w:p w14:paraId="7EB95D2E" w14:textId="77777777" w:rsidR="00326DEF" w:rsidRPr="003842D6" w:rsidRDefault="00326DEF" w:rsidP="00326DEF"/>
    <w:p w14:paraId="28389F61" w14:textId="77777777" w:rsidR="00326DEF" w:rsidRDefault="00326DEF" w:rsidP="00326DEF">
      <w:r w:rsidRPr="003842D6">
        <w:t xml:space="preserve">As part of the development the Welsh Government took the opportunity to review representation at RPB which now includes housing, registered social Landlord and education representation. The Partnership Memorandum of Understanding has been updated accordingly and new members are expected to join the Board in the </w:t>
      </w:r>
      <w:proofErr w:type="gramStart"/>
      <w:r w:rsidRPr="003842D6">
        <w:t>new year</w:t>
      </w:r>
      <w:proofErr w:type="gramEnd"/>
      <w:r w:rsidRPr="003842D6">
        <w:t>.</w:t>
      </w:r>
    </w:p>
    <w:p w14:paraId="1F4714D9" w14:textId="77777777" w:rsidR="00326DEF" w:rsidRPr="003842D6" w:rsidRDefault="00326DEF" w:rsidP="00326DEF"/>
    <w:p w14:paraId="04F77CB0" w14:textId="77777777" w:rsidR="00326DEF" w:rsidRDefault="00326DEF" w:rsidP="00326DEF">
      <w:r w:rsidRPr="003842D6">
        <w:t xml:space="preserve">Whilst there is one RPB covering the Cwm Taf Morgannwg Region there remains two Public Service Bodies (PSB). The RPB links with the Cwm Taf PSB and Bridgend PSB on its areas of specific responsibility in health, care and wellbeing.  The Chair of the RPB is a member of the Cwm Taf PSB for that purpose and to promote effective </w:t>
      </w:r>
      <w:r w:rsidRPr="003842D6">
        <w:lastRenderedPageBreak/>
        <w:t>alignment between the SSWB Act and the Well-being of Future Generations Act.  A regional workshop is planned in January 2020 to review and align the vision and priorities of the RPB and PSBs within the region.</w:t>
      </w:r>
    </w:p>
    <w:p w14:paraId="257713BA" w14:textId="77777777" w:rsidR="00326DEF" w:rsidRDefault="00326DEF" w:rsidP="00326DEF"/>
    <w:p w14:paraId="643C8B5A" w14:textId="77777777" w:rsidR="00326DEF" w:rsidRPr="003842D6" w:rsidRDefault="00326DEF" w:rsidP="00326DEF">
      <w:r w:rsidRPr="003842D6">
        <w:rPr>
          <w:rFonts w:asciiTheme="minorHAnsi" w:hAnsiTheme="minorHAnsi"/>
          <w:szCs w:val="22"/>
        </w:rPr>
        <w:t xml:space="preserve">The RPB also works closely with other strategic partnerships including those listed below, </w:t>
      </w:r>
    </w:p>
    <w:p w14:paraId="01BAF229" w14:textId="77777777" w:rsidR="00326DEF" w:rsidRPr="003842D6" w:rsidRDefault="00326DEF" w:rsidP="00326DEF">
      <w:pPr>
        <w:pStyle w:val="StyleNormaBullet11pt"/>
      </w:pPr>
      <w:r w:rsidRPr="003842D6">
        <w:t>Safeguarding Board.</w:t>
      </w:r>
    </w:p>
    <w:p w14:paraId="7BE8C909" w14:textId="77777777" w:rsidR="00326DEF" w:rsidRPr="003842D6" w:rsidRDefault="00326DEF" w:rsidP="00326DEF">
      <w:pPr>
        <w:pStyle w:val="StyleNormaBullet11pt"/>
      </w:pPr>
      <w:r w:rsidRPr="003842D6">
        <w:t>Community Safety Partnership Board.</w:t>
      </w:r>
    </w:p>
    <w:p w14:paraId="2C755CAD" w14:textId="77777777" w:rsidR="00326DEF" w:rsidRPr="003842D6" w:rsidRDefault="00326DEF" w:rsidP="00326DEF">
      <w:pPr>
        <w:pStyle w:val="StyleNormaBullet11pt"/>
      </w:pPr>
      <w:r w:rsidRPr="003842D6">
        <w:t xml:space="preserve">Regional Supporting People Committee. </w:t>
      </w:r>
    </w:p>
    <w:p w14:paraId="2D7133BD" w14:textId="77777777" w:rsidR="00326DEF" w:rsidRPr="00E07712" w:rsidRDefault="00326DEF" w:rsidP="00326DEF">
      <w:pPr>
        <w:pStyle w:val="Heading3"/>
        <w:ind w:left="709" w:hanging="709"/>
        <w:rPr>
          <w:szCs w:val="22"/>
        </w:rPr>
      </w:pPr>
      <w:r w:rsidRPr="00E07712">
        <w:rPr>
          <w:szCs w:val="22"/>
        </w:rPr>
        <w:t>Regional Collaboration</w:t>
      </w:r>
    </w:p>
    <w:p w14:paraId="6ADA99CC" w14:textId="77777777" w:rsidR="00326DEF" w:rsidRPr="003842D6" w:rsidRDefault="00326DEF" w:rsidP="00326DEF">
      <w:pPr>
        <w:rPr>
          <w:szCs w:val="22"/>
        </w:rPr>
      </w:pPr>
      <w:r w:rsidRPr="003842D6">
        <w:rPr>
          <w:szCs w:val="22"/>
        </w:rPr>
        <w:t>The Health Board is committed to working collaboratively and at pace with neighbouring organisations to secure benefits for patients where this is appropriate.  The Health Board has been an active partner in a number of collaborative mechanisms including the NHS Wales Collaborative, the South East Wales Regional Planning Forum (SEWRPF), Welsh Health Specialised Services Committee (WHSCC), NHS Wales Shared Services Partnership, Emergency Ambulance Services Committee (EASC) and the Clinical Networks.</w:t>
      </w:r>
    </w:p>
    <w:p w14:paraId="5F4B1387" w14:textId="77777777" w:rsidR="00326DEF" w:rsidRPr="003842D6" w:rsidRDefault="00326DEF" w:rsidP="00326DEF">
      <w:pPr>
        <w:rPr>
          <w:rFonts w:cs="Arial"/>
          <w:szCs w:val="22"/>
        </w:rPr>
      </w:pPr>
    </w:p>
    <w:p w14:paraId="5E391BF3" w14:textId="77777777" w:rsidR="00326DEF" w:rsidRPr="003842D6" w:rsidRDefault="00326DEF" w:rsidP="00326DEF">
      <w:pPr>
        <w:rPr>
          <w:rFonts w:cs="Arial"/>
          <w:szCs w:val="22"/>
        </w:rPr>
      </w:pPr>
      <w:r w:rsidRPr="003842D6">
        <w:rPr>
          <w:rFonts w:cs="Arial"/>
          <w:szCs w:val="22"/>
        </w:rPr>
        <w:t>A significant focus for the Health Board which continues in 2020/21 is the work programme of the Regional Planning and Delivery Forum, which includes the Chief Executive, NHS Wales, and Chair and Chief Executive representation from Cwm Taf Morgannwg, Cardiff and Vale, Aneurin Bevan, Swansea Bay, Powys, and WAST.</w:t>
      </w:r>
    </w:p>
    <w:p w14:paraId="4143570C" w14:textId="4E5E66B8" w:rsidR="00542268" w:rsidRPr="00E07712" w:rsidRDefault="00A32A85" w:rsidP="002C0EC9">
      <w:pPr>
        <w:pStyle w:val="Heading2"/>
        <w:rPr>
          <w:szCs w:val="22"/>
        </w:rPr>
      </w:pPr>
      <w:bookmarkStart w:id="28" w:name="_Toc536195547"/>
      <w:bookmarkStart w:id="29" w:name="_Toc25262165"/>
      <w:r>
        <w:rPr>
          <w:szCs w:val="22"/>
        </w:rPr>
        <w:t>Integrated M</w:t>
      </w:r>
      <w:r w:rsidR="00ED3450">
        <w:rPr>
          <w:szCs w:val="22"/>
        </w:rPr>
        <w:t>edium</w:t>
      </w:r>
      <w:r>
        <w:rPr>
          <w:szCs w:val="22"/>
        </w:rPr>
        <w:t xml:space="preserve"> Term Plan 2020 – 2023 </w:t>
      </w:r>
      <w:r w:rsidR="00261D02" w:rsidRPr="00E07712">
        <w:rPr>
          <w:szCs w:val="22"/>
        </w:rPr>
        <w:t>Priorities</w:t>
      </w:r>
      <w:bookmarkEnd w:id="28"/>
      <w:bookmarkEnd w:id="29"/>
    </w:p>
    <w:p w14:paraId="08EFDEE4" w14:textId="75467B3C" w:rsidR="00E50EC4" w:rsidRPr="00E07712" w:rsidRDefault="00E50EC4" w:rsidP="00E50EC4">
      <w:pPr>
        <w:pStyle w:val="Heading3"/>
      </w:pPr>
      <w:r>
        <w:t>Priorities</w:t>
      </w:r>
    </w:p>
    <w:p w14:paraId="01C0A709" w14:textId="77777777" w:rsidR="001753D3" w:rsidRPr="00A43980" w:rsidRDefault="001753D3" w:rsidP="001753D3">
      <w:pPr>
        <w:rPr>
          <w:rFonts w:asciiTheme="minorHAnsi" w:hAnsiTheme="minorHAnsi" w:cstheme="minorHAnsi"/>
        </w:rPr>
      </w:pPr>
      <w:r w:rsidRPr="00A43980">
        <w:rPr>
          <w:rFonts w:asciiTheme="minorHAnsi" w:hAnsiTheme="minorHAnsi" w:cstheme="minorHAnsi"/>
        </w:rPr>
        <w:t>As the UHB develops and aligns to the ‘A Healthier Wales: Our Plan for Health and Social Care’, some particular areas of importance and focus to articulate in the IMTP 2020-23 include:</w:t>
      </w:r>
    </w:p>
    <w:p w14:paraId="56D4BA38" w14:textId="77777777" w:rsidR="001753D3" w:rsidRPr="00A43980" w:rsidRDefault="001753D3" w:rsidP="001753D3">
      <w:pPr>
        <w:rPr>
          <w:rFonts w:asciiTheme="minorHAnsi" w:hAnsiTheme="minorHAnsi" w:cstheme="minorHAnsi"/>
        </w:rPr>
      </w:pPr>
    </w:p>
    <w:p w14:paraId="39F8C7CB" w14:textId="77777777" w:rsidR="001753D3" w:rsidRDefault="001753D3" w:rsidP="003B1653">
      <w:pPr>
        <w:numPr>
          <w:ilvl w:val="0"/>
          <w:numId w:val="50"/>
        </w:numPr>
      </w:pPr>
      <w:r>
        <w:t xml:space="preserve">The </w:t>
      </w:r>
      <w:r w:rsidRPr="00A43980">
        <w:t>c</w:t>
      </w:r>
      <w:r>
        <w:t xml:space="preserve">ontinued development of </w:t>
      </w:r>
      <w:r w:rsidRPr="00A43980">
        <w:t xml:space="preserve">Cwm Taf Morgannwg UHB, focusing on engaging and </w:t>
      </w:r>
      <w:r w:rsidRPr="00A43980">
        <w:rPr>
          <w:lang w:val="en-US"/>
        </w:rPr>
        <w:t xml:space="preserve">empowering our people, embedding our values and </w:t>
      </w:r>
      <w:r w:rsidRPr="00A43980">
        <w:t>behaviours</w:t>
      </w:r>
      <w:r w:rsidRPr="00A43980">
        <w:rPr>
          <w:lang w:val="en-US"/>
        </w:rPr>
        <w:t>, and a clear structure and operating model</w:t>
      </w:r>
      <w:r w:rsidRPr="00A43980">
        <w:t>.</w:t>
      </w:r>
    </w:p>
    <w:p w14:paraId="1815923C" w14:textId="77777777" w:rsidR="001753D3" w:rsidRDefault="001753D3" w:rsidP="003B1653">
      <w:pPr>
        <w:numPr>
          <w:ilvl w:val="0"/>
          <w:numId w:val="50"/>
        </w:numPr>
      </w:pPr>
      <w:r>
        <w:t>Grow clinical and community leadership and deliver robust, simplified and safe decision making; learning through quality improvements and strengthening involvement of patients, staff and partners in service redesign; all in support of a reduction in escalation status.</w:t>
      </w:r>
    </w:p>
    <w:p w14:paraId="0E97D952" w14:textId="77777777" w:rsidR="001753D3" w:rsidRDefault="001753D3" w:rsidP="003B1653">
      <w:pPr>
        <w:numPr>
          <w:ilvl w:val="0"/>
          <w:numId w:val="50"/>
        </w:numPr>
      </w:pPr>
      <w:r>
        <w:t>The implementation of the UHB Quality and Patient Safety Governance Framework, including across maternity services.</w:t>
      </w:r>
    </w:p>
    <w:p w14:paraId="7278EA3D" w14:textId="77777777" w:rsidR="001753D3" w:rsidRDefault="001753D3" w:rsidP="003B1653">
      <w:pPr>
        <w:numPr>
          <w:ilvl w:val="0"/>
          <w:numId w:val="50"/>
        </w:numPr>
      </w:pPr>
      <w:r>
        <w:t>The development of the 10 year UHB Integrated Healthcare Strategy.</w:t>
      </w:r>
    </w:p>
    <w:p w14:paraId="23BF22FE" w14:textId="77777777" w:rsidR="001753D3" w:rsidRDefault="001753D3" w:rsidP="003B1653">
      <w:pPr>
        <w:numPr>
          <w:ilvl w:val="0"/>
          <w:numId w:val="50"/>
        </w:numPr>
      </w:pPr>
      <w:r>
        <w:t>The steps to complete the service change set out in the South Wales Programme, particularly emergency medicine (A&amp;E), acute medicine and inpatient paediatric services.</w:t>
      </w:r>
    </w:p>
    <w:p w14:paraId="76AE356C" w14:textId="77777777" w:rsidR="001753D3" w:rsidRDefault="001753D3" w:rsidP="003B1653">
      <w:pPr>
        <w:numPr>
          <w:ilvl w:val="0"/>
          <w:numId w:val="50"/>
        </w:numPr>
      </w:pPr>
      <w:r>
        <w:t>Delivery of regional and national service change plans, including Major Trauma services.</w:t>
      </w:r>
    </w:p>
    <w:p w14:paraId="1444778F" w14:textId="77777777" w:rsidR="001753D3" w:rsidRDefault="001753D3" w:rsidP="003B1653">
      <w:pPr>
        <w:numPr>
          <w:ilvl w:val="0"/>
          <w:numId w:val="50"/>
        </w:numPr>
      </w:pPr>
      <w:r>
        <w:t>The continued implementation of the Regional Partnership Board transformation ambition and further alignment of Primary Care Clusters and Mental Health Localities.</w:t>
      </w:r>
    </w:p>
    <w:p w14:paraId="21AB5E3A" w14:textId="77777777" w:rsidR="001753D3" w:rsidRDefault="001753D3" w:rsidP="003B1653">
      <w:pPr>
        <w:numPr>
          <w:ilvl w:val="0"/>
          <w:numId w:val="50"/>
        </w:numPr>
      </w:pPr>
      <w:r>
        <w:t>Delivery against the NHS Wales Delivery and Outcomes Framework.</w:t>
      </w:r>
    </w:p>
    <w:p w14:paraId="464A902A" w14:textId="77777777" w:rsidR="001753D3" w:rsidRPr="00BE4866" w:rsidRDefault="001753D3" w:rsidP="003B1653">
      <w:pPr>
        <w:numPr>
          <w:ilvl w:val="0"/>
          <w:numId w:val="50"/>
        </w:numPr>
      </w:pPr>
      <w:r>
        <w:t>Planning for recurrent financial balance.</w:t>
      </w:r>
      <w:r w:rsidRPr="00A43980">
        <w:rPr>
          <w:rFonts w:asciiTheme="minorHAnsi" w:hAnsiTheme="minorHAnsi" w:cstheme="minorHAnsi"/>
        </w:rPr>
        <w:t xml:space="preserve"> </w:t>
      </w:r>
    </w:p>
    <w:p w14:paraId="358984D5" w14:textId="77777777" w:rsidR="001753D3" w:rsidRDefault="001753D3" w:rsidP="001753D3">
      <w:pPr>
        <w:rPr>
          <w:rFonts w:asciiTheme="minorHAnsi" w:hAnsiTheme="minorHAnsi" w:cstheme="minorHAnsi"/>
        </w:rPr>
      </w:pPr>
    </w:p>
    <w:p w14:paraId="6B38F75E" w14:textId="21C30565" w:rsidR="002C0EC9" w:rsidRDefault="001753D3" w:rsidP="002C0EC9">
      <w:r>
        <w:t xml:space="preserve">Key enablers in the delivery of the priorities will be </w:t>
      </w:r>
      <w:r>
        <w:rPr>
          <w:rFonts w:ascii="Verdana" w:hAnsi="Verdana"/>
          <w:sz w:val="20"/>
          <w:szCs w:val="20"/>
        </w:rPr>
        <w:t>patient engagement and c</w:t>
      </w:r>
      <w:r w:rsidRPr="00E85059">
        <w:rPr>
          <w:rFonts w:ascii="Verdana" w:hAnsi="Verdana"/>
          <w:sz w:val="20"/>
          <w:szCs w:val="20"/>
        </w:rPr>
        <w:t>o-production</w:t>
      </w:r>
      <w:r>
        <w:rPr>
          <w:rFonts w:ascii="Verdana" w:hAnsi="Verdana"/>
          <w:sz w:val="20"/>
          <w:szCs w:val="20"/>
        </w:rPr>
        <w:t>,</w:t>
      </w:r>
      <w:r>
        <w:t xml:space="preserve"> ongoing work in relation to the UHB digital plans, and the implementation of the Welsh Language (Wales) Measure 2011. The Well-being Plans and Area Plan for the Cwm Taf Morgannwg region will form an underlying work programme for the IMTP.</w:t>
      </w:r>
    </w:p>
    <w:p w14:paraId="7D83AAF9" w14:textId="3F27334F" w:rsidR="00741DA4" w:rsidRDefault="00741DA4">
      <w:pPr>
        <w:jc w:val="left"/>
      </w:pPr>
      <w:r>
        <w:br w:type="page"/>
      </w:r>
    </w:p>
    <w:p w14:paraId="3FA3018E" w14:textId="0E5A2BAF" w:rsidR="002E47DC" w:rsidRPr="007A2088" w:rsidRDefault="002E47DC" w:rsidP="00261D02">
      <w:pPr>
        <w:pStyle w:val="Heading1"/>
        <w:rPr>
          <w:szCs w:val="26"/>
        </w:rPr>
      </w:pPr>
      <w:bookmarkStart w:id="30" w:name="_Toc441757217"/>
      <w:bookmarkStart w:id="31" w:name="_Toc447195622"/>
      <w:bookmarkStart w:id="32" w:name="_Toc471829976"/>
      <w:bookmarkStart w:id="33" w:name="_Toc473290294"/>
      <w:bookmarkStart w:id="34" w:name="_Toc478738514"/>
      <w:bookmarkStart w:id="35" w:name="_Toc532299672"/>
      <w:bookmarkStart w:id="36" w:name="_Toc532463957"/>
      <w:bookmarkStart w:id="37" w:name="_Toc536195550"/>
      <w:bookmarkStart w:id="38" w:name="_Toc25262166"/>
      <w:bookmarkEnd w:id="24"/>
      <w:bookmarkEnd w:id="25"/>
      <w:r w:rsidRPr="007A2088">
        <w:rPr>
          <w:szCs w:val="26"/>
        </w:rPr>
        <w:lastRenderedPageBreak/>
        <w:t xml:space="preserve">PROGRESS </w:t>
      </w:r>
      <w:r w:rsidR="00AC6C88" w:rsidRPr="007A2088">
        <w:rPr>
          <w:szCs w:val="26"/>
        </w:rPr>
        <w:t>IN</w:t>
      </w:r>
      <w:r w:rsidR="00A65FDE" w:rsidRPr="007A2088">
        <w:rPr>
          <w:szCs w:val="26"/>
        </w:rPr>
        <w:t xml:space="preserve"> DELIVER</w:t>
      </w:r>
      <w:r w:rsidR="00AC6C88" w:rsidRPr="007A2088">
        <w:rPr>
          <w:szCs w:val="26"/>
        </w:rPr>
        <w:t xml:space="preserve">ING OUR </w:t>
      </w:r>
      <w:r w:rsidRPr="007A2088">
        <w:rPr>
          <w:szCs w:val="26"/>
        </w:rPr>
        <w:t>PLAN</w:t>
      </w:r>
      <w:bookmarkEnd w:id="30"/>
      <w:bookmarkEnd w:id="31"/>
      <w:bookmarkEnd w:id="32"/>
      <w:bookmarkEnd w:id="33"/>
      <w:bookmarkEnd w:id="34"/>
      <w:bookmarkEnd w:id="35"/>
      <w:bookmarkEnd w:id="36"/>
      <w:bookmarkEnd w:id="37"/>
      <w:bookmarkEnd w:id="38"/>
      <w:r w:rsidRPr="007A2088">
        <w:rPr>
          <w:szCs w:val="26"/>
        </w:rPr>
        <w:t xml:space="preserve"> </w:t>
      </w:r>
    </w:p>
    <w:p w14:paraId="2CF4821A" w14:textId="7E563F63" w:rsidR="00543467" w:rsidRPr="002E3731" w:rsidRDefault="00B907F5" w:rsidP="001D1861">
      <w:pPr>
        <w:pStyle w:val="ListParagraph"/>
        <w:ind w:left="0"/>
        <w:rPr>
          <w:i/>
          <w:szCs w:val="22"/>
        </w:rPr>
      </w:pPr>
      <w:r w:rsidRPr="002E3731">
        <w:rPr>
          <w:i/>
          <w:szCs w:val="22"/>
        </w:rPr>
        <w:t>This chapter offers</w:t>
      </w:r>
      <w:r w:rsidR="00BF2907" w:rsidRPr="002E3731">
        <w:rPr>
          <w:i/>
          <w:szCs w:val="22"/>
        </w:rPr>
        <w:t xml:space="preserve"> </w:t>
      </w:r>
      <w:r w:rsidR="002B0828" w:rsidRPr="002E3731">
        <w:rPr>
          <w:i/>
          <w:szCs w:val="22"/>
        </w:rPr>
        <w:t>an overview of</w:t>
      </w:r>
      <w:r w:rsidRPr="002E3731">
        <w:rPr>
          <w:i/>
          <w:szCs w:val="22"/>
        </w:rPr>
        <w:t xml:space="preserve"> </w:t>
      </w:r>
      <w:r w:rsidR="00C0126E" w:rsidRPr="002E3731">
        <w:rPr>
          <w:i/>
          <w:szCs w:val="22"/>
        </w:rPr>
        <w:t xml:space="preserve">the </w:t>
      </w:r>
      <w:r w:rsidRPr="002E3731">
        <w:rPr>
          <w:i/>
          <w:szCs w:val="22"/>
        </w:rPr>
        <w:t xml:space="preserve">progress </w:t>
      </w:r>
      <w:r w:rsidR="00C0126E" w:rsidRPr="002E3731">
        <w:rPr>
          <w:i/>
          <w:szCs w:val="22"/>
        </w:rPr>
        <w:t xml:space="preserve">made </w:t>
      </w:r>
      <w:r w:rsidRPr="002E3731">
        <w:rPr>
          <w:i/>
          <w:szCs w:val="22"/>
        </w:rPr>
        <w:t xml:space="preserve">in implementing the </w:t>
      </w:r>
      <w:r w:rsidR="00AE40F3" w:rsidRPr="002E3731">
        <w:rPr>
          <w:i/>
          <w:szCs w:val="22"/>
        </w:rPr>
        <w:t>Health Board</w:t>
      </w:r>
      <w:r w:rsidR="002B0828" w:rsidRPr="002E3731">
        <w:rPr>
          <w:i/>
          <w:szCs w:val="22"/>
        </w:rPr>
        <w:t>’s previous</w:t>
      </w:r>
      <w:r w:rsidRPr="002E3731">
        <w:rPr>
          <w:i/>
          <w:szCs w:val="22"/>
        </w:rPr>
        <w:t xml:space="preserve"> </w:t>
      </w:r>
      <w:r w:rsidR="00152820" w:rsidRPr="002E3731">
        <w:rPr>
          <w:i/>
          <w:szCs w:val="22"/>
        </w:rPr>
        <w:t>P</w:t>
      </w:r>
      <w:r w:rsidRPr="002E3731">
        <w:rPr>
          <w:i/>
          <w:szCs w:val="22"/>
        </w:rPr>
        <w:t>lan</w:t>
      </w:r>
      <w:r w:rsidR="002B0828" w:rsidRPr="002E3731">
        <w:rPr>
          <w:i/>
          <w:szCs w:val="22"/>
        </w:rPr>
        <w:t xml:space="preserve"> for 201</w:t>
      </w:r>
      <w:r w:rsidR="002E3731" w:rsidRPr="002E3731">
        <w:rPr>
          <w:i/>
          <w:szCs w:val="22"/>
        </w:rPr>
        <w:t>9-22</w:t>
      </w:r>
      <w:r w:rsidRPr="002E3731">
        <w:rPr>
          <w:i/>
          <w:szCs w:val="22"/>
        </w:rPr>
        <w:t>.</w:t>
      </w:r>
      <w:bookmarkStart w:id="39" w:name="_Toc441757218"/>
      <w:bookmarkStart w:id="40" w:name="_Toc447195623"/>
      <w:bookmarkStart w:id="41" w:name="_Toc471829979"/>
      <w:bookmarkStart w:id="42" w:name="_Toc473290297"/>
      <w:bookmarkStart w:id="43" w:name="_Toc478738517"/>
    </w:p>
    <w:p w14:paraId="16F15B02" w14:textId="07069E67" w:rsidR="00543467" w:rsidRPr="007A2088" w:rsidRDefault="00543467" w:rsidP="00543467">
      <w:pPr>
        <w:rPr>
          <w:rFonts w:asciiTheme="minorHAnsi" w:hAnsiTheme="minorHAnsi" w:cstheme="minorHAnsi"/>
          <w:iCs/>
          <w:szCs w:val="22"/>
        </w:rPr>
      </w:pPr>
      <w:r w:rsidRPr="007A2088">
        <w:rPr>
          <w:rFonts w:asciiTheme="minorHAnsi" w:hAnsiTheme="minorHAnsi" w:cstheme="minorHAnsi"/>
          <w:noProof/>
          <w:szCs w:val="22"/>
        </w:rPr>
        <w:drawing>
          <wp:anchor distT="0" distB="0" distL="114300" distR="114300" simplePos="0" relativeHeight="252622848" behindDoc="0" locked="0" layoutInCell="1" allowOverlap="1" wp14:anchorId="32C51299" wp14:editId="232ADF3E">
            <wp:simplePos x="0" y="0"/>
            <wp:positionH relativeFrom="margin">
              <wp:align>right</wp:align>
            </wp:positionH>
            <wp:positionV relativeFrom="paragraph">
              <wp:posOffset>12065</wp:posOffset>
            </wp:positionV>
            <wp:extent cx="434975" cy="541655"/>
            <wp:effectExtent l="0" t="0" r="3175" b="0"/>
            <wp:wrapNone/>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34975" cy="541655"/>
                    </a:xfrm>
                    <a:prstGeom prst="rect">
                      <a:avLst/>
                    </a:prstGeom>
                    <a:noFill/>
                  </pic:spPr>
                </pic:pic>
              </a:graphicData>
            </a:graphic>
            <wp14:sizeRelH relativeFrom="margin">
              <wp14:pctWidth>0</wp14:pctWidth>
            </wp14:sizeRelH>
            <wp14:sizeRelV relativeFrom="margin">
              <wp14:pctHeight>0</wp14:pctHeight>
            </wp14:sizeRelV>
          </wp:anchor>
        </w:drawing>
      </w:r>
    </w:p>
    <w:p w14:paraId="443D15CC" w14:textId="677A554F" w:rsidR="00543467" w:rsidRPr="007A2088" w:rsidRDefault="00543467" w:rsidP="00543467">
      <w:pPr>
        <w:shd w:val="clear" w:color="auto" w:fill="FFFF99"/>
        <w:rPr>
          <w:rFonts w:asciiTheme="minorHAnsi" w:hAnsiTheme="minorHAnsi" w:cstheme="minorHAnsi"/>
          <w:b/>
          <w:i/>
          <w:iCs/>
          <w:szCs w:val="22"/>
        </w:rPr>
      </w:pPr>
      <w:r w:rsidRPr="007A2088">
        <w:rPr>
          <w:rFonts w:asciiTheme="minorHAnsi" w:hAnsiTheme="minorHAnsi" w:cstheme="minorHAnsi"/>
          <w:b/>
          <w:i/>
          <w:iCs/>
          <w:szCs w:val="22"/>
        </w:rPr>
        <w:t xml:space="preserve">Well-being – Self Care and Supported </w:t>
      </w:r>
      <w:r w:rsidR="00167261" w:rsidRPr="007A2088">
        <w:rPr>
          <w:rFonts w:asciiTheme="minorHAnsi" w:hAnsiTheme="minorHAnsi" w:cstheme="minorHAnsi"/>
          <w:b/>
          <w:i/>
          <w:iCs/>
          <w:szCs w:val="22"/>
        </w:rPr>
        <w:t>Self-Care</w:t>
      </w:r>
    </w:p>
    <w:p w14:paraId="767A042E" w14:textId="77777777" w:rsidR="00543467" w:rsidRPr="007A2088" w:rsidRDefault="00543467" w:rsidP="00543467">
      <w:pPr>
        <w:rPr>
          <w:rFonts w:asciiTheme="minorHAnsi" w:hAnsiTheme="minorHAnsi" w:cstheme="minorHAnsi"/>
          <w:iCs/>
          <w:szCs w:val="22"/>
        </w:rPr>
      </w:pPr>
    </w:p>
    <w:p w14:paraId="53B353D8" w14:textId="77777777" w:rsidR="002E3731" w:rsidRPr="005E606C" w:rsidRDefault="002E3731" w:rsidP="003B1653">
      <w:pPr>
        <w:pStyle w:val="ListParagraph"/>
        <w:numPr>
          <w:ilvl w:val="0"/>
          <w:numId w:val="67"/>
        </w:numPr>
        <w:rPr>
          <w:rFonts w:asciiTheme="minorHAnsi" w:hAnsiTheme="minorHAnsi" w:cs="Arial"/>
          <w:szCs w:val="22"/>
        </w:rPr>
      </w:pPr>
      <w:r w:rsidRPr="005E606C">
        <w:rPr>
          <w:rFonts w:asciiTheme="minorHAnsi" w:hAnsiTheme="minorHAnsi" w:cs="Arial"/>
          <w:szCs w:val="22"/>
        </w:rPr>
        <w:t>Continued recruitment and support Carers Champions and working with partner organisations to ensure Caring Awareness is embedded into various departments and the provision of Carer Aware training for staff across the public and third sector.</w:t>
      </w:r>
    </w:p>
    <w:p w14:paraId="21A4708B" w14:textId="77777777" w:rsidR="002E3731" w:rsidRPr="005E606C" w:rsidRDefault="002E3731" w:rsidP="003B1653">
      <w:pPr>
        <w:pStyle w:val="ListParagraph"/>
        <w:numPr>
          <w:ilvl w:val="0"/>
          <w:numId w:val="67"/>
        </w:numPr>
        <w:rPr>
          <w:rFonts w:asciiTheme="minorHAnsi" w:hAnsiTheme="minorHAnsi" w:cs="Arial"/>
          <w:szCs w:val="22"/>
        </w:rPr>
      </w:pPr>
      <w:r w:rsidRPr="005E606C">
        <w:rPr>
          <w:rFonts w:asciiTheme="minorHAnsi" w:hAnsiTheme="minorHAnsi" w:cs="Arial"/>
          <w:szCs w:val="22"/>
        </w:rPr>
        <w:t>Since the Baby Teeth DO Matter initiative launched in April 2017, dentists in Merthyr Tydfil have seen a 39% increase in children’s attendance, equating to approximately 1,500 children.</w:t>
      </w:r>
    </w:p>
    <w:p w14:paraId="3C7E4DA0" w14:textId="77777777" w:rsidR="002E3731" w:rsidRPr="005E606C" w:rsidRDefault="002E3731" w:rsidP="003B1653">
      <w:pPr>
        <w:pStyle w:val="ListParagraph"/>
        <w:numPr>
          <w:ilvl w:val="0"/>
          <w:numId w:val="67"/>
        </w:numPr>
        <w:rPr>
          <w:rFonts w:asciiTheme="minorHAnsi" w:hAnsiTheme="minorHAnsi" w:cs="Arial"/>
          <w:szCs w:val="22"/>
        </w:rPr>
      </w:pPr>
      <w:r w:rsidRPr="005E606C">
        <w:rPr>
          <w:rFonts w:asciiTheme="minorHAnsi" w:hAnsiTheme="minorHAnsi" w:cs="Arial"/>
          <w:szCs w:val="22"/>
        </w:rPr>
        <w:t>In support of the Health, Well Being and Creative Arts Strategy launched in December 2018 an Arts and Health Coordinator has been appointed to develop an arts programme which supports, nurtures and works with our patients, staff, visitors and the wider community in a variety of ways across a range of art forms.</w:t>
      </w:r>
    </w:p>
    <w:p w14:paraId="5474D7C1" w14:textId="77777777" w:rsidR="002E3731" w:rsidRPr="005E606C" w:rsidRDefault="002E3731" w:rsidP="003B1653">
      <w:pPr>
        <w:pStyle w:val="ListParagraph"/>
        <w:numPr>
          <w:ilvl w:val="0"/>
          <w:numId w:val="67"/>
        </w:numPr>
        <w:rPr>
          <w:rFonts w:asciiTheme="minorHAnsi" w:hAnsiTheme="minorHAnsi" w:cs="Arial"/>
          <w:szCs w:val="22"/>
        </w:rPr>
      </w:pPr>
      <w:r w:rsidRPr="005E606C">
        <w:rPr>
          <w:rFonts w:asciiTheme="minorHAnsi" w:hAnsiTheme="minorHAnsi" w:cs="Arial"/>
          <w:szCs w:val="22"/>
        </w:rPr>
        <w:t>The Maternity Services Liaison Committee has been relaunched which allows women and their families to feed back their experiences and requests for improvement back into the system.  Women in the maternity units are also now being regularly asked about their experiences.</w:t>
      </w:r>
    </w:p>
    <w:p w14:paraId="2C36748D" w14:textId="10595243" w:rsidR="00543467" w:rsidRPr="007A2088" w:rsidRDefault="00543467" w:rsidP="00543467">
      <w:pPr>
        <w:rPr>
          <w:rFonts w:asciiTheme="minorHAnsi" w:hAnsiTheme="minorHAnsi" w:cstheme="minorHAnsi"/>
          <w:iCs/>
          <w:szCs w:val="22"/>
        </w:rPr>
      </w:pPr>
    </w:p>
    <w:p w14:paraId="4021FF4B" w14:textId="6F2BA13B" w:rsidR="00543467" w:rsidRPr="007A2088" w:rsidRDefault="00C277FF" w:rsidP="00543467">
      <w:pPr>
        <w:shd w:val="clear" w:color="auto" w:fill="E5B8B7" w:themeFill="accent2" w:themeFillTint="66"/>
        <w:rPr>
          <w:rFonts w:asciiTheme="minorHAnsi" w:hAnsiTheme="minorHAnsi" w:cstheme="minorHAnsi"/>
          <w:b/>
          <w:i/>
          <w:iCs/>
          <w:szCs w:val="22"/>
        </w:rPr>
      </w:pPr>
      <w:r w:rsidRPr="007A2088">
        <w:rPr>
          <w:rFonts w:asciiTheme="minorHAnsi" w:hAnsiTheme="minorHAnsi" w:cstheme="minorHAnsi"/>
          <w:noProof/>
          <w:szCs w:val="22"/>
        </w:rPr>
        <w:drawing>
          <wp:anchor distT="0" distB="0" distL="114300" distR="114300" simplePos="0" relativeHeight="252618752" behindDoc="0" locked="0" layoutInCell="1" allowOverlap="1" wp14:anchorId="4D673EFD" wp14:editId="408CEDBA">
            <wp:simplePos x="0" y="0"/>
            <wp:positionH relativeFrom="margin">
              <wp:align>right</wp:align>
            </wp:positionH>
            <wp:positionV relativeFrom="paragraph">
              <wp:posOffset>-136603</wp:posOffset>
            </wp:positionV>
            <wp:extent cx="544195" cy="450215"/>
            <wp:effectExtent l="0" t="0" r="8255" b="6985"/>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4195" cy="450215"/>
                    </a:xfrm>
                    <a:prstGeom prst="rect">
                      <a:avLst/>
                    </a:prstGeom>
                    <a:noFill/>
                  </pic:spPr>
                </pic:pic>
              </a:graphicData>
            </a:graphic>
            <wp14:sizeRelH relativeFrom="page">
              <wp14:pctWidth>0</wp14:pctWidth>
            </wp14:sizeRelH>
            <wp14:sizeRelV relativeFrom="page">
              <wp14:pctHeight>0</wp14:pctHeight>
            </wp14:sizeRelV>
          </wp:anchor>
        </w:drawing>
      </w:r>
      <w:r w:rsidR="00543467" w:rsidRPr="007A2088">
        <w:rPr>
          <w:rFonts w:asciiTheme="minorHAnsi" w:hAnsiTheme="minorHAnsi" w:cstheme="minorHAnsi"/>
          <w:b/>
          <w:i/>
          <w:iCs/>
          <w:szCs w:val="22"/>
        </w:rPr>
        <w:t>Integrated Community Services</w:t>
      </w:r>
    </w:p>
    <w:p w14:paraId="734BB151" w14:textId="77777777" w:rsidR="00543467" w:rsidRPr="007A2088" w:rsidRDefault="00543467" w:rsidP="00543467">
      <w:pPr>
        <w:rPr>
          <w:rFonts w:asciiTheme="minorHAnsi" w:hAnsiTheme="minorHAnsi" w:cstheme="minorHAnsi"/>
          <w:iCs/>
          <w:szCs w:val="22"/>
        </w:rPr>
      </w:pPr>
    </w:p>
    <w:p w14:paraId="5DC2D29B" w14:textId="77777777" w:rsidR="002E3731" w:rsidRPr="005E606C" w:rsidRDefault="002E3731" w:rsidP="002E3731">
      <w:pPr>
        <w:pStyle w:val="NormaBullet"/>
      </w:pPr>
      <w:r w:rsidRPr="005E606C">
        <w:t xml:space="preserve">At the NHS Awards in September 2019 the award for ‘Providing services in partnership across NHS Wales’ was won by Cwm Taf Morgannwg UHB together with Aneurin Bevan, Swansea Bay UHB, Hywel Dda UHB and Cardiff and Vale UHB for work on the </w:t>
      </w:r>
      <w:r w:rsidRPr="005E606C">
        <w:rPr>
          <w:i/>
        </w:rPr>
        <w:t>‘South Wales Motor Neurone Disease Care Network’</w:t>
      </w:r>
      <w:r w:rsidRPr="005E606C">
        <w:t>.</w:t>
      </w:r>
    </w:p>
    <w:p w14:paraId="16167B99" w14:textId="77777777" w:rsidR="002E3731" w:rsidRPr="005E606C" w:rsidRDefault="002E3731" w:rsidP="002E3731">
      <w:pPr>
        <w:pStyle w:val="NormaBullet"/>
      </w:pPr>
      <w:r w:rsidRPr="005E606C">
        <w:t>Children from Treorchy Primary School have visited the Health and Wellbeing Centre in Ysbyty George Thomas to spend time with people living with dementia and their families as part of the work to involve the community in the care and support provided.</w:t>
      </w:r>
    </w:p>
    <w:p w14:paraId="779056A6" w14:textId="77777777" w:rsidR="002E3731" w:rsidRPr="005E606C" w:rsidRDefault="002E3731" w:rsidP="002E3731">
      <w:pPr>
        <w:pStyle w:val="NormaBullet"/>
      </w:pPr>
      <w:r w:rsidRPr="005E606C">
        <w:t xml:space="preserve">The Health Board and Bridgend County Borough Council have signed a partnership agreement to support </w:t>
      </w:r>
      <w:proofErr w:type="gramStart"/>
      <w:r w:rsidRPr="005E606C">
        <w:t>more older</w:t>
      </w:r>
      <w:proofErr w:type="gramEnd"/>
      <w:r w:rsidRPr="005E606C">
        <w:t xml:space="preserve"> people to remain independent and keep well at home.</w:t>
      </w:r>
      <w:r>
        <w:t xml:space="preserve">  The agreement is to ensure services are more joined-up with the aim that </w:t>
      </w:r>
      <w:proofErr w:type="gramStart"/>
      <w:r>
        <w:t>more older</w:t>
      </w:r>
      <w:proofErr w:type="gramEnd"/>
      <w:r>
        <w:t xml:space="preserve"> people can be cared for at home to maximise their recovery, with shorter stays in hospital.</w:t>
      </w:r>
    </w:p>
    <w:p w14:paraId="1FDE846C" w14:textId="6D2F9BD8" w:rsidR="00CE6515" w:rsidRPr="002E3731" w:rsidRDefault="002E3731" w:rsidP="002E3731">
      <w:pPr>
        <w:pStyle w:val="NormaBullet"/>
      </w:pPr>
      <w:r w:rsidRPr="005E606C">
        <w:t>The Waun Wen Leg Club in the Rhondda received an international award at the annual Lindsay Leg Club Foundation Awards for their work to provide community based treatment and care for people of all ages who suffer leg-related problems</w:t>
      </w:r>
      <w:r>
        <w:t>.</w:t>
      </w:r>
    </w:p>
    <w:p w14:paraId="38D535DB" w14:textId="25AD5DB8" w:rsidR="00543467" w:rsidRPr="007A2088" w:rsidRDefault="00B55344" w:rsidP="00543467">
      <w:pPr>
        <w:rPr>
          <w:rFonts w:asciiTheme="minorHAnsi" w:hAnsiTheme="minorHAnsi" w:cstheme="minorHAnsi"/>
          <w:szCs w:val="22"/>
        </w:rPr>
      </w:pPr>
      <w:r w:rsidRPr="007A2088">
        <w:rPr>
          <w:rFonts w:asciiTheme="minorHAnsi" w:hAnsiTheme="minorHAnsi" w:cstheme="minorHAnsi"/>
          <w:noProof/>
          <w:szCs w:val="22"/>
        </w:rPr>
        <w:drawing>
          <wp:anchor distT="0" distB="0" distL="114300" distR="114300" simplePos="0" relativeHeight="252619776" behindDoc="0" locked="0" layoutInCell="1" allowOverlap="1" wp14:anchorId="0CE84DB9" wp14:editId="614F3FED">
            <wp:simplePos x="0" y="0"/>
            <wp:positionH relativeFrom="margin">
              <wp:align>right</wp:align>
            </wp:positionH>
            <wp:positionV relativeFrom="paragraph">
              <wp:posOffset>16510</wp:posOffset>
            </wp:positionV>
            <wp:extent cx="585470" cy="454025"/>
            <wp:effectExtent l="0" t="0" r="5080" b="3175"/>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85470" cy="454025"/>
                    </a:xfrm>
                    <a:prstGeom prst="rect">
                      <a:avLst/>
                    </a:prstGeom>
                    <a:noFill/>
                  </pic:spPr>
                </pic:pic>
              </a:graphicData>
            </a:graphic>
            <wp14:sizeRelH relativeFrom="margin">
              <wp14:pctWidth>0</wp14:pctWidth>
            </wp14:sizeRelH>
            <wp14:sizeRelV relativeFrom="margin">
              <wp14:pctHeight>0</wp14:pctHeight>
            </wp14:sizeRelV>
          </wp:anchor>
        </w:drawing>
      </w:r>
    </w:p>
    <w:p w14:paraId="667FE9FF" w14:textId="695308D0" w:rsidR="00543467" w:rsidRPr="007A2088" w:rsidRDefault="00B55344" w:rsidP="00A86D03">
      <w:pPr>
        <w:pStyle w:val="ListParagraph"/>
        <w:shd w:val="clear" w:color="auto" w:fill="C2D69B" w:themeFill="accent3" w:themeFillTint="99"/>
        <w:ind w:left="0"/>
        <w:rPr>
          <w:rFonts w:asciiTheme="minorHAnsi" w:hAnsiTheme="minorHAnsi" w:cstheme="minorHAnsi"/>
          <w:b/>
          <w:i/>
          <w:iCs/>
          <w:szCs w:val="22"/>
        </w:rPr>
      </w:pPr>
      <w:r w:rsidRPr="007A2088">
        <w:rPr>
          <w:rFonts w:asciiTheme="minorHAnsi" w:hAnsiTheme="minorHAnsi" w:cstheme="minorHAnsi"/>
          <w:b/>
          <w:i/>
          <w:iCs/>
          <w:szCs w:val="22"/>
        </w:rPr>
        <w:t xml:space="preserve">Mental Health, </w:t>
      </w:r>
      <w:r w:rsidR="00543467" w:rsidRPr="007A2088">
        <w:rPr>
          <w:rFonts w:asciiTheme="minorHAnsi" w:hAnsiTheme="minorHAnsi" w:cstheme="minorHAnsi"/>
          <w:b/>
          <w:i/>
          <w:iCs/>
          <w:szCs w:val="22"/>
        </w:rPr>
        <w:t>Primary Care, and Locality Services - Care Closer to Home</w:t>
      </w:r>
    </w:p>
    <w:p w14:paraId="5440DADD" w14:textId="77777777" w:rsidR="00543467" w:rsidRPr="007A2088" w:rsidRDefault="00543467" w:rsidP="00543467">
      <w:pPr>
        <w:rPr>
          <w:rFonts w:asciiTheme="minorHAnsi" w:hAnsiTheme="minorHAnsi" w:cstheme="minorHAnsi"/>
          <w:szCs w:val="22"/>
        </w:rPr>
      </w:pPr>
    </w:p>
    <w:p w14:paraId="4FC5CD64" w14:textId="77777777" w:rsidR="002E3731" w:rsidRPr="005E606C" w:rsidRDefault="002E3731" w:rsidP="003B1653">
      <w:pPr>
        <w:pStyle w:val="ListParagraph"/>
        <w:numPr>
          <w:ilvl w:val="0"/>
          <w:numId w:val="68"/>
        </w:numPr>
        <w:rPr>
          <w:rFonts w:asciiTheme="minorHAnsi" w:hAnsiTheme="minorHAnsi"/>
          <w:szCs w:val="22"/>
        </w:rPr>
      </w:pPr>
      <w:r w:rsidRPr="005E606C">
        <w:rPr>
          <w:rFonts w:asciiTheme="minorHAnsi" w:hAnsiTheme="minorHAnsi"/>
          <w:szCs w:val="22"/>
        </w:rPr>
        <w:t>The Primary Care and Community Resource Team provides vital clinical support across a range of care settings and are central to the training and education of health and social care professionals working in GP practices, Community Nursing Services and Community Hospitals as well a staff working in care Homes and local authority staff.</w:t>
      </w:r>
    </w:p>
    <w:p w14:paraId="72655E4D" w14:textId="77777777" w:rsidR="002E3731" w:rsidRPr="005E606C" w:rsidRDefault="002E3731" w:rsidP="003B1653">
      <w:pPr>
        <w:pStyle w:val="ListParagraph"/>
        <w:numPr>
          <w:ilvl w:val="0"/>
          <w:numId w:val="68"/>
        </w:numPr>
        <w:rPr>
          <w:rFonts w:asciiTheme="minorHAnsi" w:hAnsiTheme="minorHAnsi"/>
          <w:szCs w:val="22"/>
        </w:rPr>
      </w:pPr>
      <w:r w:rsidRPr="005E606C">
        <w:rPr>
          <w:rFonts w:asciiTheme="minorHAnsi" w:hAnsiTheme="minorHAnsi"/>
          <w:szCs w:val="22"/>
        </w:rPr>
        <w:t>In order to create a more home from home environment for the older person’s mental health ward at Royal Glamorgan Hospital and link patients to their former activities outside of hospital, staff have created a ‘pop-up’ traditional pub which, whilst it does not serve alcohol, includes a bar, television, pub games, books, a radio and tables for patients and their relatives.</w:t>
      </w:r>
    </w:p>
    <w:p w14:paraId="35DF9C2C" w14:textId="77777777" w:rsidR="002E3731" w:rsidRDefault="002E3731" w:rsidP="003B1653">
      <w:pPr>
        <w:pStyle w:val="ListParagraph"/>
        <w:numPr>
          <w:ilvl w:val="0"/>
          <w:numId w:val="68"/>
        </w:numPr>
        <w:rPr>
          <w:rFonts w:asciiTheme="minorHAnsi" w:hAnsiTheme="minorHAnsi"/>
          <w:szCs w:val="22"/>
        </w:rPr>
      </w:pPr>
      <w:r w:rsidRPr="005E606C">
        <w:rPr>
          <w:rFonts w:asciiTheme="minorHAnsi" w:hAnsiTheme="minorHAnsi"/>
          <w:szCs w:val="22"/>
        </w:rPr>
        <w:t>Further to this, the team on the older people’s mental health ward have set up a hair and beauty salon to improve patients’ experience during their stay in hospital and created a beach scene in the garden next to the ward to help patients relax outside.</w:t>
      </w:r>
    </w:p>
    <w:p w14:paraId="2CC76FA8" w14:textId="77777777" w:rsidR="002E3731" w:rsidRDefault="002E3731" w:rsidP="003B1653">
      <w:pPr>
        <w:pStyle w:val="ListParagraph"/>
        <w:numPr>
          <w:ilvl w:val="0"/>
          <w:numId w:val="68"/>
        </w:numPr>
        <w:rPr>
          <w:rFonts w:asciiTheme="minorHAnsi" w:hAnsiTheme="minorHAnsi"/>
          <w:szCs w:val="22"/>
        </w:rPr>
      </w:pPr>
      <w:r>
        <w:rPr>
          <w:rFonts w:asciiTheme="minorHAnsi" w:hAnsiTheme="minorHAnsi"/>
          <w:szCs w:val="22"/>
        </w:rPr>
        <w:t>For those patients in receipt of secondary mental health services with a valid care and treatment plan, performance at the end of September 2019 was 91.6%.</w:t>
      </w:r>
    </w:p>
    <w:p w14:paraId="322D42AB" w14:textId="7A134124" w:rsidR="002E3731" w:rsidRPr="002E3731" w:rsidRDefault="002E3731" w:rsidP="003B1653">
      <w:pPr>
        <w:pStyle w:val="ListParagraph"/>
        <w:numPr>
          <w:ilvl w:val="0"/>
          <w:numId w:val="68"/>
        </w:numPr>
        <w:rPr>
          <w:rFonts w:asciiTheme="minorHAnsi" w:hAnsiTheme="minorHAnsi"/>
          <w:szCs w:val="22"/>
        </w:rPr>
      </w:pPr>
      <w:r w:rsidRPr="002E3731">
        <w:rPr>
          <w:rFonts w:asciiTheme="minorHAnsi" w:hAnsiTheme="minorHAnsi"/>
          <w:szCs w:val="22"/>
        </w:rPr>
        <w:t xml:space="preserve">Access to specialist CAMHS has improved to 89% against the 28 day target of 80%.  </w:t>
      </w:r>
    </w:p>
    <w:p w14:paraId="4FB6FC5C" w14:textId="77777777" w:rsidR="002E3731" w:rsidRDefault="002E3731" w:rsidP="00543467">
      <w:pPr>
        <w:rPr>
          <w:rFonts w:asciiTheme="minorHAnsi" w:eastAsia="Calibri" w:hAnsiTheme="minorHAnsi" w:cstheme="minorHAnsi"/>
          <w:szCs w:val="22"/>
        </w:rPr>
      </w:pPr>
    </w:p>
    <w:p w14:paraId="39FC400C" w14:textId="23ABFD77" w:rsidR="002E3731" w:rsidRDefault="002E3731" w:rsidP="00543467">
      <w:pPr>
        <w:rPr>
          <w:rFonts w:asciiTheme="minorHAnsi" w:eastAsia="Calibri" w:hAnsiTheme="minorHAnsi" w:cstheme="minorHAnsi"/>
          <w:szCs w:val="22"/>
        </w:rPr>
      </w:pPr>
    </w:p>
    <w:p w14:paraId="64FA9AA2" w14:textId="75647FB4" w:rsidR="00543467" w:rsidRPr="007A2088" w:rsidRDefault="00543467" w:rsidP="00543467">
      <w:pPr>
        <w:rPr>
          <w:rFonts w:asciiTheme="minorHAnsi" w:eastAsia="Calibri" w:hAnsiTheme="minorHAnsi" w:cstheme="minorHAnsi"/>
          <w:szCs w:val="22"/>
        </w:rPr>
      </w:pPr>
    </w:p>
    <w:p w14:paraId="7D0B3561" w14:textId="7FA9728F" w:rsidR="00543467" w:rsidRPr="007A2088" w:rsidRDefault="002E3731" w:rsidP="00543467">
      <w:pPr>
        <w:shd w:val="clear" w:color="auto" w:fill="365F91" w:themeFill="accent1" w:themeFillShade="BF"/>
        <w:rPr>
          <w:rFonts w:asciiTheme="minorHAnsi" w:hAnsiTheme="minorHAnsi" w:cstheme="minorHAnsi"/>
          <w:b/>
          <w:i/>
          <w:iCs/>
          <w:color w:val="FFFFFF" w:themeColor="background1"/>
          <w:szCs w:val="22"/>
        </w:rPr>
      </w:pPr>
      <w:r w:rsidRPr="0047674D">
        <w:rPr>
          <w:b/>
          <w:noProof/>
          <w:color w:val="943634" w:themeColor="accent2" w:themeShade="BF"/>
          <w:szCs w:val="22"/>
        </w:rPr>
        <w:lastRenderedPageBreak/>
        <w:drawing>
          <wp:anchor distT="0" distB="0" distL="114300" distR="114300" simplePos="0" relativeHeight="252624896" behindDoc="0" locked="0" layoutInCell="1" allowOverlap="1" wp14:anchorId="52AA4685" wp14:editId="3D302170">
            <wp:simplePos x="0" y="0"/>
            <wp:positionH relativeFrom="margin">
              <wp:align>right</wp:align>
            </wp:positionH>
            <wp:positionV relativeFrom="paragraph">
              <wp:posOffset>-219916</wp:posOffset>
            </wp:positionV>
            <wp:extent cx="454660" cy="549275"/>
            <wp:effectExtent l="0" t="0" r="2540" b="3175"/>
            <wp:wrapNone/>
            <wp:docPr id="59" name="Picture 59"/>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23">
                      <a:extLst>
                        <a:ext uri="{28A0092B-C50C-407E-A947-70E740481C1C}">
                          <a14:useLocalDpi xmlns:a14="http://schemas.microsoft.com/office/drawing/2010/main" val="0"/>
                        </a:ext>
                      </a:extLst>
                    </a:blip>
                    <a:stretch>
                      <a:fillRect/>
                    </a:stretch>
                  </pic:blipFill>
                  <pic:spPr>
                    <a:xfrm>
                      <a:off x="0" y="0"/>
                      <a:ext cx="454660" cy="549275"/>
                    </a:xfrm>
                    <a:prstGeom prst="rect">
                      <a:avLst/>
                    </a:prstGeom>
                  </pic:spPr>
                </pic:pic>
              </a:graphicData>
            </a:graphic>
            <wp14:sizeRelH relativeFrom="margin">
              <wp14:pctWidth>0</wp14:pctWidth>
            </wp14:sizeRelH>
            <wp14:sizeRelV relativeFrom="margin">
              <wp14:pctHeight>0</wp14:pctHeight>
            </wp14:sizeRelV>
          </wp:anchor>
        </w:drawing>
      </w:r>
      <w:r w:rsidR="00543467" w:rsidRPr="007A2088">
        <w:rPr>
          <w:rFonts w:asciiTheme="minorHAnsi" w:hAnsiTheme="minorHAnsi" w:cstheme="minorHAnsi"/>
          <w:b/>
          <w:i/>
          <w:iCs/>
          <w:color w:val="FFFFFF" w:themeColor="background1"/>
          <w:szCs w:val="22"/>
        </w:rPr>
        <w:t xml:space="preserve">Acute Care – </w:t>
      </w:r>
      <w:r w:rsidR="00415DF7" w:rsidRPr="007A2088">
        <w:rPr>
          <w:rFonts w:asciiTheme="minorHAnsi" w:hAnsiTheme="minorHAnsi" w:cstheme="minorHAnsi"/>
          <w:b/>
          <w:i/>
          <w:iCs/>
          <w:color w:val="FFFFFF" w:themeColor="background1"/>
          <w:szCs w:val="22"/>
        </w:rPr>
        <w:t xml:space="preserve">Local and Regional </w:t>
      </w:r>
      <w:r w:rsidR="00B53E76" w:rsidRPr="007A2088">
        <w:rPr>
          <w:rFonts w:asciiTheme="minorHAnsi" w:hAnsiTheme="minorHAnsi" w:cstheme="minorHAnsi"/>
          <w:b/>
          <w:i/>
          <w:iCs/>
          <w:color w:val="FFFFFF" w:themeColor="background1"/>
          <w:szCs w:val="22"/>
        </w:rPr>
        <w:t>Secondary Care</w:t>
      </w:r>
    </w:p>
    <w:p w14:paraId="403F08EE" w14:textId="77777777" w:rsidR="00B55344" w:rsidRPr="007A2088" w:rsidRDefault="00B55344" w:rsidP="00543467">
      <w:pPr>
        <w:rPr>
          <w:rFonts w:asciiTheme="minorHAnsi" w:hAnsiTheme="minorHAnsi" w:cstheme="minorHAnsi"/>
          <w:iCs/>
          <w:szCs w:val="22"/>
        </w:rPr>
      </w:pPr>
    </w:p>
    <w:p w14:paraId="7BAEC5A8" w14:textId="77777777" w:rsidR="002E3731" w:rsidRPr="005E606C" w:rsidRDefault="002E3731" w:rsidP="002E3731">
      <w:pPr>
        <w:pStyle w:val="NormaBullet"/>
      </w:pPr>
      <w:r w:rsidRPr="005E606C">
        <w:t xml:space="preserve">Continued implementation of the Early Diagnosis programme, with improvements made to the urgent suspected cancer pathway, development of the Rapid Diagnostic pathway and single cancer pathway implementation. </w:t>
      </w:r>
    </w:p>
    <w:p w14:paraId="7AE1AF18" w14:textId="77777777" w:rsidR="002E3731" w:rsidRPr="005E606C" w:rsidRDefault="002E3731" w:rsidP="002E3731">
      <w:pPr>
        <w:pStyle w:val="NormaBullet"/>
      </w:pPr>
      <w:r w:rsidRPr="005E606C">
        <w:t>The Health Board is working to achieve the Single Cancer Pathway target and is making steady progress.  A Cancer Programme Board has been established to provide strategic oversight for cancer services and waiting time performance.</w:t>
      </w:r>
    </w:p>
    <w:p w14:paraId="3F072FAB" w14:textId="77777777" w:rsidR="002E3731" w:rsidRPr="005E606C" w:rsidRDefault="002E3731" w:rsidP="002E3731">
      <w:pPr>
        <w:pStyle w:val="NormaBullet"/>
      </w:pPr>
      <w:r w:rsidRPr="005E606C">
        <w:t>The Health Board continues to have the best performance across Wales for one hour emergency ambulance patient handovers in Prince Charles and Royal Glamorgan Hospitals and has performed highly with regard to the 15 minute ambulance handovers.  The challenges that are currently being experienced in relation to patient handover in Princess of Wales Hospital are being addressed through a programme of collaborative interventions which involve Senior Clinicians, Medical Staff and WAST.</w:t>
      </w:r>
    </w:p>
    <w:p w14:paraId="11BC8805" w14:textId="77777777" w:rsidR="002E3731" w:rsidRPr="005E606C" w:rsidRDefault="002E3731" w:rsidP="002E3731">
      <w:pPr>
        <w:pStyle w:val="NormaBullet"/>
      </w:pPr>
      <w:r w:rsidRPr="005E606C">
        <w:t>The Health Board works closely with WAST colleagues to sustain performance on the RED calls 8 minute response times.  This year has seen the Health Board’s performance remain above target (65%).</w:t>
      </w:r>
    </w:p>
    <w:p w14:paraId="08BAD394" w14:textId="77777777" w:rsidR="002E3731" w:rsidRPr="005E606C" w:rsidRDefault="002E3731" w:rsidP="002E3731">
      <w:pPr>
        <w:pStyle w:val="NormaBullet"/>
      </w:pPr>
      <w:r w:rsidRPr="005E606C">
        <w:t>The operational management boundaries for Bridgend locality in WAST have not changed in line with the Health Board arrangements in April of this year.  However, work is in progress to scope out the required work streams that are necessary to align Bridgend Locality and its staff into WAST Cwm Taf and we can expect this work to start in April 2020.</w:t>
      </w:r>
    </w:p>
    <w:p w14:paraId="02538B3E" w14:textId="77777777" w:rsidR="002E3731" w:rsidRDefault="002E3731" w:rsidP="002E3731">
      <w:pPr>
        <w:pStyle w:val="NormaBullet"/>
      </w:pPr>
      <w:r w:rsidRPr="005E606C">
        <w:t>WAST colleagues have continued to work collaboratively with us to support the Stay Well @Home Service where they refer directly to a multi-agency single point of access to avoid conveyances to hospital.</w:t>
      </w:r>
    </w:p>
    <w:p w14:paraId="5A117F05" w14:textId="77777777" w:rsidR="002E3731" w:rsidRPr="005E606C" w:rsidRDefault="002E3731" w:rsidP="002E3731">
      <w:pPr>
        <w:pStyle w:val="NormaBullet"/>
      </w:pPr>
      <w:r w:rsidRPr="005E606C">
        <w:t>The freestanding Midwifery-led unit was established in Royal Glamorgan Hospital in March 2019 with the new maternity unit established in Prince Charles Hospital providing doctor-led maternity care in labour and local neonatal unit.</w:t>
      </w:r>
    </w:p>
    <w:p w14:paraId="6C42D72E" w14:textId="77777777" w:rsidR="002E3731" w:rsidRPr="005E606C" w:rsidRDefault="002E3731" w:rsidP="002E3731">
      <w:pPr>
        <w:pStyle w:val="NormaBullet"/>
      </w:pPr>
      <w:r w:rsidRPr="005E606C">
        <w:t>The special care baby unit at the Princess of Wales Hospital has been awarded Stage 3 Baby Friendly accreditation from UNICEF and the World Health Organisation which recognises partnership working with parents and families to develop close relationships with their babies during their stay in the neonatal unit.</w:t>
      </w:r>
    </w:p>
    <w:p w14:paraId="5B45F3EC" w14:textId="77777777" w:rsidR="002E3731" w:rsidRPr="005E606C" w:rsidRDefault="002E3731" w:rsidP="002E3731">
      <w:pPr>
        <w:pStyle w:val="NormaBullet"/>
      </w:pPr>
      <w:r w:rsidRPr="005E606C">
        <w:t>The new state-of the-art Macmillan Unit on the Royal Glamorgan Hospital site took its first patients in September 2019 following a multi-million pound build by Macmillan Cancer Support and the Health Board, offering inpatient, outpatient and palliative day care to people in the Rhondda and Taff Ely area of Cwm Taf Morgannwg University Health Board.</w:t>
      </w:r>
    </w:p>
    <w:p w14:paraId="25AB9A73" w14:textId="77777777" w:rsidR="002E3731" w:rsidRPr="005E606C" w:rsidRDefault="002E3731" w:rsidP="002E3731">
      <w:pPr>
        <w:pStyle w:val="NormaBullet"/>
      </w:pPr>
      <w:r w:rsidRPr="005E606C">
        <w:t>The newly refurbished state-of-the-art Paediatric Assessment Unit at Princess of Wales Hospital was officially opened following significant renovation.  Patients and families are able to benefit from the improvements which include a full redesign of the wards using a Lego theme and the installation of new equipment, including state-of-the-art television sets and display screens.</w:t>
      </w:r>
    </w:p>
    <w:p w14:paraId="4350EEF7" w14:textId="77777777" w:rsidR="002E3731" w:rsidRPr="005E606C" w:rsidRDefault="002E3731" w:rsidP="002E3731">
      <w:pPr>
        <w:pStyle w:val="NormaBullet"/>
      </w:pPr>
      <w:r w:rsidRPr="005E606C">
        <w:t xml:space="preserve">Endoscopy staff at Princess of Wales Hospital have had their JAG accreditation from the Royal College of Physicians renewed with no recommendations for improvement, demonstrating their commitment to delivering the best care with a highly trained, supported and motivated team. </w:t>
      </w:r>
    </w:p>
    <w:p w14:paraId="455358D6" w14:textId="12EC549F" w:rsidR="009B7C95" w:rsidRPr="0047674D" w:rsidRDefault="002E3731" w:rsidP="002E3731">
      <w:pPr>
        <w:pStyle w:val="NormaBullet"/>
        <w:rPr>
          <w:color w:val="943634" w:themeColor="accent2" w:themeShade="BF"/>
        </w:rPr>
      </w:pPr>
      <w:r>
        <w:t>Work has been ongoing to reduce the number of patients waiting for an outpatient follow-up appointment.  The September position was the lowest number of patients waiting past their target date for a significant period of time, maintaining the downward trajectory from March 2019</w:t>
      </w:r>
    </w:p>
    <w:p w14:paraId="6C0A337B" w14:textId="14CACFC3" w:rsidR="001125D4" w:rsidRPr="007A2088" w:rsidRDefault="00FB600F" w:rsidP="00DA08D1">
      <w:pPr>
        <w:rPr>
          <w:szCs w:val="22"/>
        </w:rPr>
      </w:pPr>
      <w:r w:rsidRPr="007A2088">
        <w:rPr>
          <w:noProof/>
          <w:szCs w:val="22"/>
        </w:rPr>
        <w:drawing>
          <wp:anchor distT="0" distB="0" distL="114300" distR="114300" simplePos="0" relativeHeight="252745728" behindDoc="0" locked="0" layoutInCell="1" allowOverlap="1" wp14:anchorId="5AC9FE04" wp14:editId="17C15CC7">
            <wp:simplePos x="0" y="0"/>
            <wp:positionH relativeFrom="margin">
              <wp:align>right</wp:align>
            </wp:positionH>
            <wp:positionV relativeFrom="paragraph">
              <wp:posOffset>45720</wp:posOffset>
            </wp:positionV>
            <wp:extent cx="454025" cy="530860"/>
            <wp:effectExtent l="0" t="0" r="3175" b="2540"/>
            <wp:wrapNone/>
            <wp:docPr id="31" name="Picture 3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54025" cy="530860"/>
                    </a:xfrm>
                    <a:prstGeom prst="rect">
                      <a:avLst/>
                    </a:prstGeom>
                  </pic:spPr>
                </pic:pic>
              </a:graphicData>
            </a:graphic>
            <wp14:sizeRelH relativeFrom="margin">
              <wp14:pctWidth>0</wp14:pctWidth>
            </wp14:sizeRelH>
            <wp14:sizeRelV relativeFrom="margin">
              <wp14:pctHeight>0</wp14:pctHeight>
            </wp14:sizeRelV>
          </wp:anchor>
        </w:drawing>
      </w:r>
    </w:p>
    <w:p w14:paraId="23E53604" w14:textId="05101897" w:rsidR="00543467" w:rsidRPr="007A2088" w:rsidRDefault="00543467" w:rsidP="00543467">
      <w:pPr>
        <w:shd w:val="clear" w:color="auto" w:fill="92CDDC" w:themeFill="accent5" w:themeFillTint="99"/>
        <w:rPr>
          <w:rFonts w:asciiTheme="minorHAnsi" w:hAnsiTheme="minorHAnsi" w:cstheme="minorHAnsi"/>
          <w:b/>
          <w:i/>
          <w:iCs/>
          <w:szCs w:val="22"/>
        </w:rPr>
      </w:pPr>
      <w:r w:rsidRPr="007A2088">
        <w:rPr>
          <w:rFonts w:asciiTheme="minorHAnsi" w:hAnsiTheme="minorHAnsi" w:cstheme="minorHAnsi"/>
          <w:b/>
          <w:i/>
          <w:iCs/>
          <w:szCs w:val="22"/>
        </w:rPr>
        <w:t>Tertiary Services</w:t>
      </w:r>
    </w:p>
    <w:p w14:paraId="2B55EB9B" w14:textId="2228CD84" w:rsidR="00543467" w:rsidRPr="002E3731" w:rsidRDefault="00543467" w:rsidP="00543467">
      <w:pPr>
        <w:rPr>
          <w:rFonts w:asciiTheme="minorHAnsi" w:hAnsiTheme="minorHAnsi" w:cstheme="minorHAnsi"/>
          <w:iCs/>
          <w:szCs w:val="22"/>
        </w:rPr>
      </w:pPr>
    </w:p>
    <w:p w14:paraId="5BE3CF0C" w14:textId="77777777" w:rsidR="002E3731" w:rsidRPr="002E3731" w:rsidRDefault="002E3731" w:rsidP="002E3731">
      <w:pPr>
        <w:pStyle w:val="NormalBullet"/>
      </w:pPr>
      <w:r w:rsidRPr="002E3731">
        <w:t>Represented the Health Board on the network Board for Major Trauma to take forward implementation of the Major Trauma Network for South and West Wales and South Powys.  Support obtained from Community Health Council regarding implementation of Major Trauma services within Cwm Taf Morgannwg UHB.</w:t>
      </w:r>
    </w:p>
    <w:p w14:paraId="6A2683CD" w14:textId="4D8AE6FC" w:rsidR="00543467" w:rsidRPr="002E3731" w:rsidRDefault="002E3731" w:rsidP="002E3731">
      <w:pPr>
        <w:pStyle w:val="NormalBullet"/>
      </w:pPr>
      <w:r w:rsidRPr="002E3731">
        <w:t>The Health Board agreed the proposal put forward by WHSSC for the development of a single site model for the delivery of thoracic (chest and lung) surgery based at Morriston Hospital, Swansea</w:t>
      </w:r>
      <w:r w:rsidR="000B5889" w:rsidRPr="002E3731">
        <w:t>.</w:t>
      </w:r>
    </w:p>
    <w:p w14:paraId="6B110AEB" w14:textId="77777777" w:rsidR="007D2EAD" w:rsidRPr="007A2088" w:rsidRDefault="007D2EAD" w:rsidP="007D2EAD">
      <w:pPr>
        <w:rPr>
          <w:rFonts w:asciiTheme="minorHAnsi" w:hAnsiTheme="minorHAnsi" w:cstheme="minorHAnsi"/>
          <w:szCs w:val="22"/>
        </w:rPr>
      </w:pPr>
    </w:p>
    <w:p w14:paraId="4D42CA78" w14:textId="6674CED1" w:rsidR="007D2EAD" w:rsidRPr="007A2088" w:rsidRDefault="007D2EAD" w:rsidP="007D2EAD">
      <w:pPr>
        <w:shd w:val="clear" w:color="auto" w:fill="BFBFBF" w:themeFill="background1" w:themeFillShade="BF"/>
        <w:rPr>
          <w:rFonts w:asciiTheme="minorHAnsi" w:hAnsiTheme="minorHAnsi" w:cstheme="minorHAnsi"/>
          <w:b/>
          <w:i/>
          <w:iCs/>
          <w:szCs w:val="22"/>
        </w:rPr>
      </w:pPr>
      <w:r w:rsidRPr="007A2088">
        <w:rPr>
          <w:rFonts w:asciiTheme="minorHAnsi" w:hAnsiTheme="minorHAnsi" w:cstheme="minorHAnsi"/>
          <w:b/>
          <w:i/>
          <w:iCs/>
          <w:szCs w:val="22"/>
        </w:rPr>
        <w:t>Overarching Enablers</w:t>
      </w:r>
    </w:p>
    <w:p w14:paraId="35B511A6" w14:textId="77777777" w:rsidR="007D2EAD" w:rsidRPr="007A2088" w:rsidRDefault="007D2EAD" w:rsidP="007D2EAD">
      <w:pPr>
        <w:pStyle w:val="NormaBullet"/>
        <w:numPr>
          <w:ilvl w:val="0"/>
          <w:numId w:val="0"/>
        </w:numPr>
        <w:ind w:left="360"/>
        <w:rPr>
          <w:szCs w:val="22"/>
        </w:rPr>
      </w:pPr>
    </w:p>
    <w:p w14:paraId="7826894D" w14:textId="77777777" w:rsidR="002E3731" w:rsidRPr="00417601" w:rsidRDefault="002E3731" w:rsidP="002E3731">
      <w:pPr>
        <w:pStyle w:val="NormaBullet"/>
      </w:pPr>
      <w:r w:rsidRPr="00417601">
        <w:t xml:space="preserve">Our award-winning national recruitment campaign #joincwmtaf resulted in an increase in applications for our nursing, medical and allied health professional adverts.  We are making progress despite the </w:t>
      </w:r>
      <w:r w:rsidRPr="00417601">
        <w:lastRenderedPageBreak/>
        <w:t xml:space="preserve">demographic profiles of our nursing population and the voluntary movement of ward based nurses into other roles across the Health Board. </w:t>
      </w:r>
    </w:p>
    <w:p w14:paraId="796E46A1" w14:textId="77777777" w:rsidR="002E3731" w:rsidRPr="005E606C" w:rsidRDefault="002E3731" w:rsidP="002E3731">
      <w:pPr>
        <w:pStyle w:val="NormaBullet"/>
      </w:pPr>
      <w:r w:rsidRPr="005E606C">
        <w:t>The ongoing implementation of the ‘Graduate Growth’ programme which is an in-house Graduate Leadership and Management programme designed to grow the next generation of management leaders within Cwm Taf Morgannwg University Health Board.</w:t>
      </w:r>
    </w:p>
    <w:p w14:paraId="169891D7" w14:textId="77777777" w:rsidR="002E3731" w:rsidRPr="005E606C" w:rsidRDefault="002E3731" w:rsidP="002E3731">
      <w:pPr>
        <w:pStyle w:val="NormaBullet"/>
      </w:pPr>
      <w:r w:rsidRPr="005E606C">
        <w:t>Implementation of a staff engagement programme called ‘Let’s Talk Culture</w:t>
      </w:r>
      <w:r>
        <w:t>’</w:t>
      </w:r>
      <w:r w:rsidRPr="005E606C">
        <w:t>, ideas from which will be used to create the values and behaviours which will help shape the new organisation.</w:t>
      </w:r>
    </w:p>
    <w:p w14:paraId="761FA89D" w14:textId="77777777" w:rsidR="002E3731" w:rsidRPr="002E3731" w:rsidRDefault="002E3731" w:rsidP="002E3731">
      <w:pPr>
        <w:pStyle w:val="NormaBullet"/>
      </w:pPr>
      <w:r w:rsidRPr="005E606C">
        <w:t xml:space="preserve">Following funding from Welsh Government, work has commenced on </w:t>
      </w:r>
      <w:r w:rsidRPr="002E3731">
        <w:t>the Prince Charles Hospital ground and first floor phase 1b works which will tackle areas associated with the fire enforcement notice and provide a new restaurant, Barista Café, kitchens and new Pharmacy department.</w:t>
      </w:r>
    </w:p>
    <w:p w14:paraId="336C2947" w14:textId="14202173" w:rsidR="007A2088" w:rsidRDefault="002E3731" w:rsidP="002E3731">
      <w:pPr>
        <w:pStyle w:val="NormaBullet"/>
      </w:pPr>
      <w:r w:rsidRPr="002E3731">
        <w:t>Examples of quality improvement initiatives undertaken over the last year can be found within the Health Board’s Annual Quality Statement and the Quality, Safety and Risk Committee papers.</w:t>
      </w:r>
    </w:p>
    <w:p w14:paraId="3D91BD88" w14:textId="67469CB3" w:rsidR="0020655A" w:rsidRDefault="0020655A">
      <w:pPr>
        <w:jc w:val="left"/>
      </w:pPr>
      <w:r>
        <w:br w:type="page"/>
      </w:r>
    </w:p>
    <w:p w14:paraId="70BBC1E0" w14:textId="45A25526" w:rsidR="0031158E" w:rsidRPr="007A2088" w:rsidRDefault="001753D3" w:rsidP="009432C3">
      <w:pPr>
        <w:pStyle w:val="Heading1"/>
        <w:ind w:left="1077" w:hanging="1077"/>
        <w:rPr>
          <w:szCs w:val="26"/>
        </w:rPr>
      </w:pPr>
      <w:bookmarkStart w:id="44" w:name="_Toc532299673"/>
      <w:bookmarkStart w:id="45" w:name="_Toc532463958"/>
      <w:bookmarkStart w:id="46" w:name="_Toc536195551"/>
      <w:bookmarkStart w:id="47" w:name="_Toc441757240"/>
      <w:bookmarkStart w:id="48" w:name="_Toc447195645"/>
      <w:bookmarkStart w:id="49" w:name="_Toc471829991"/>
      <w:bookmarkStart w:id="50" w:name="_Toc473290308"/>
      <w:bookmarkStart w:id="51" w:name="_Toc478738528"/>
      <w:bookmarkStart w:id="52" w:name="_Toc25262167"/>
      <w:bookmarkEnd w:id="39"/>
      <w:bookmarkEnd w:id="40"/>
      <w:bookmarkEnd w:id="41"/>
      <w:bookmarkEnd w:id="42"/>
      <w:bookmarkEnd w:id="43"/>
      <w:r>
        <w:rPr>
          <w:szCs w:val="26"/>
        </w:rPr>
        <w:lastRenderedPageBreak/>
        <w:t>2020-23</w:t>
      </w:r>
      <w:r w:rsidR="0014493C" w:rsidRPr="007A2088">
        <w:rPr>
          <w:szCs w:val="26"/>
        </w:rPr>
        <w:t xml:space="preserve"> </w:t>
      </w:r>
      <w:r w:rsidR="00510B93" w:rsidRPr="007A2088">
        <w:rPr>
          <w:szCs w:val="26"/>
        </w:rPr>
        <w:t>DRIVERS FOR CHANGE</w:t>
      </w:r>
      <w:bookmarkEnd w:id="44"/>
      <w:bookmarkEnd w:id="45"/>
      <w:bookmarkEnd w:id="46"/>
      <w:bookmarkEnd w:id="52"/>
    </w:p>
    <w:p w14:paraId="17FA71A1" w14:textId="135EBF7F" w:rsidR="00E86BA1" w:rsidRPr="001753D3" w:rsidRDefault="00AB7439" w:rsidP="001D6EF0">
      <w:pPr>
        <w:pStyle w:val="ListParagraph"/>
        <w:ind w:left="0"/>
        <w:rPr>
          <w:i/>
          <w:szCs w:val="22"/>
        </w:rPr>
      </w:pPr>
      <w:r w:rsidRPr="001753D3">
        <w:rPr>
          <w:i/>
          <w:szCs w:val="22"/>
        </w:rPr>
        <w:t>Having considered the progress made against the 201</w:t>
      </w:r>
      <w:r w:rsidR="001753D3" w:rsidRPr="001753D3">
        <w:rPr>
          <w:i/>
          <w:szCs w:val="22"/>
        </w:rPr>
        <w:t>9</w:t>
      </w:r>
      <w:r w:rsidRPr="001753D3">
        <w:rPr>
          <w:i/>
          <w:szCs w:val="22"/>
        </w:rPr>
        <w:t>-202</w:t>
      </w:r>
      <w:r w:rsidR="001753D3" w:rsidRPr="001753D3">
        <w:rPr>
          <w:i/>
          <w:szCs w:val="22"/>
        </w:rPr>
        <w:t>2</w:t>
      </w:r>
      <w:r w:rsidRPr="001753D3">
        <w:rPr>
          <w:i/>
          <w:szCs w:val="22"/>
        </w:rPr>
        <w:t xml:space="preserve"> Plan, t</w:t>
      </w:r>
      <w:r w:rsidR="001D6EF0" w:rsidRPr="001753D3">
        <w:rPr>
          <w:i/>
          <w:szCs w:val="22"/>
        </w:rPr>
        <w:t xml:space="preserve">his chapter offers an overview of the </w:t>
      </w:r>
      <w:r w:rsidRPr="001753D3">
        <w:rPr>
          <w:i/>
          <w:szCs w:val="22"/>
        </w:rPr>
        <w:t xml:space="preserve">new and ongoing </w:t>
      </w:r>
      <w:r w:rsidR="001D6EF0" w:rsidRPr="001753D3">
        <w:rPr>
          <w:i/>
          <w:szCs w:val="22"/>
        </w:rPr>
        <w:t xml:space="preserve">challenges which the Health Board must look to address through delivery of this </w:t>
      </w:r>
      <w:r w:rsidRPr="001753D3">
        <w:rPr>
          <w:i/>
          <w:szCs w:val="22"/>
        </w:rPr>
        <w:t xml:space="preserve">updated </w:t>
      </w:r>
      <w:r w:rsidR="001D6EF0" w:rsidRPr="001753D3">
        <w:rPr>
          <w:i/>
          <w:szCs w:val="22"/>
        </w:rPr>
        <w:t>Plan.</w:t>
      </w:r>
    </w:p>
    <w:p w14:paraId="0DF91183" w14:textId="24EC8833" w:rsidR="009A6A77" w:rsidRPr="007A2088" w:rsidRDefault="007A2088" w:rsidP="009A6A77">
      <w:pPr>
        <w:pStyle w:val="Heading2"/>
        <w:ind w:left="709" w:hanging="709"/>
        <w:rPr>
          <w:szCs w:val="22"/>
        </w:rPr>
      </w:pPr>
      <w:bookmarkStart w:id="53" w:name="_Toc536195552"/>
      <w:bookmarkStart w:id="54" w:name="_Toc25262168"/>
      <w:r w:rsidRPr="007A2088">
        <w:rPr>
          <w:rFonts w:asciiTheme="minorHAnsi" w:hAnsiTheme="minorHAnsi"/>
          <w:b w:val="0"/>
          <w:noProof/>
          <w:szCs w:val="22"/>
          <w:lang w:eastAsia="en-GB"/>
        </w:rPr>
        <w:drawing>
          <wp:anchor distT="0" distB="0" distL="114300" distR="114300" simplePos="0" relativeHeight="252749824" behindDoc="0" locked="0" layoutInCell="1" allowOverlap="1" wp14:anchorId="4D34A91F" wp14:editId="4C16D1B5">
            <wp:simplePos x="0" y="0"/>
            <wp:positionH relativeFrom="margin">
              <wp:align>right</wp:align>
            </wp:positionH>
            <wp:positionV relativeFrom="paragraph">
              <wp:posOffset>350520</wp:posOffset>
            </wp:positionV>
            <wp:extent cx="2931795" cy="1870710"/>
            <wp:effectExtent l="0" t="0" r="1905" b="0"/>
            <wp:wrapSquare wrapText="bothSides"/>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931795" cy="1870710"/>
                    </a:xfrm>
                    <a:prstGeom prst="rect">
                      <a:avLst/>
                    </a:prstGeom>
                    <a:noFill/>
                  </pic:spPr>
                </pic:pic>
              </a:graphicData>
            </a:graphic>
            <wp14:sizeRelH relativeFrom="margin">
              <wp14:pctWidth>0</wp14:pctWidth>
            </wp14:sizeRelH>
            <wp14:sizeRelV relativeFrom="margin">
              <wp14:pctHeight>0</wp14:pctHeight>
            </wp14:sizeRelV>
          </wp:anchor>
        </w:drawing>
      </w:r>
      <w:r w:rsidR="00261D02" w:rsidRPr="007A2088">
        <w:rPr>
          <w:szCs w:val="22"/>
        </w:rPr>
        <w:t>Key Population Health Challenges</w:t>
      </w:r>
      <w:bookmarkEnd w:id="53"/>
      <w:bookmarkEnd w:id="54"/>
    </w:p>
    <w:p w14:paraId="5ECFA5E3" w14:textId="1E9F4951" w:rsidR="00261D02" w:rsidRPr="007F05EA" w:rsidRDefault="00261D02" w:rsidP="00261D02">
      <w:pPr>
        <w:pStyle w:val="Heading3"/>
        <w:ind w:left="709" w:hanging="709"/>
        <w:rPr>
          <w:szCs w:val="22"/>
        </w:rPr>
      </w:pPr>
      <w:r w:rsidRPr="007F05EA">
        <w:rPr>
          <w:szCs w:val="22"/>
        </w:rPr>
        <w:t>Our Population</w:t>
      </w:r>
    </w:p>
    <w:p w14:paraId="4734B459" w14:textId="73FB1D0D" w:rsidR="009A6A77" w:rsidRPr="001753D3" w:rsidRDefault="009A6A77" w:rsidP="00261D02">
      <w:pPr>
        <w:rPr>
          <w:rFonts w:asciiTheme="minorHAnsi" w:hAnsiTheme="minorHAnsi"/>
          <w:szCs w:val="22"/>
        </w:rPr>
      </w:pPr>
    </w:p>
    <w:p w14:paraId="5F1BD72B" w14:textId="05D8F6A7" w:rsidR="00261D02" w:rsidRPr="001753D3" w:rsidRDefault="001753D3" w:rsidP="00261D02">
      <w:pPr>
        <w:rPr>
          <w:rFonts w:asciiTheme="minorHAnsi" w:hAnsiTheme="minorHAnsi"/>
          <w:b/>
          <w:szCs w:val="22"/>
        </w:rPr>
      </w:pPr>
      <w:r w:rsidRPr="001753D3">
        <w:rPr>
          <w:rFonts w:asciiTheme="minorHAnsi" w:hAnsiTheme="minorHAnsi"/>
          <w:szCs w:val="22"/>
        </w:rPr>
        <w:t xml:space="preserve">The Cwm Taf Morgannwg </w:t>
      </w:r>
      <w:r w:rsidR="00261D02" w:rsidRPr="001753D3">
        <w:rPr>
          <w:rFonts w:asciiTheme="minorHAnsi" w:hAnsiTheme="minorHAnsi"/>
          <w:szCs w:val="22"/>
        </w:rPr>
        <w:t xml:space="preserve">population served by the Health Board </w:t>
      </w:r>
      <w:r w:rsidRPr="001753D3">
        <w:rPr>
          <w:rFonts w:asciiTheme="minorHAnsi" w:hAnsiTheme="minorHAnsi"/>
          <w:szCs w:val="22"/>
        </w:rPr>
        <w:t xml:space="preserve">is </w:t>
      </w:r>
      <w:r w:rsidR="00261D02" w:rsidRPr="001753D3">
        <w:rPr>
          <w:rFonts w:asciiTheme="minorHAnsi" w:hAnsiTheme="minorHAnsi"/>
          <w:b/>
          <w:szCs w:val="22"/>
        </w:rPr>
        <w:t>441,293</w:t>
      </w:r>
      <w:r w:rsidR="00261D02" w:rsidRPr="001753D3">
        <w:rPr>
          <w:rFonts w:asciiTheme="minorHAnsi" w:hAnsiTheme="minorHAnsi"/>
          <w:szCs w:val="22"/>
        </w:rPr>
        <w:t xml:space="preserve"> (Stats Wales 2016).  </w:t>
      </w:r>
    </w:p>
    <w:p w14:paraId="4A1A876E" w14:textId="23DB8928" w:rsidR="00261D02" w:rsidRPr="001753D3" w:rsidRDefault="00261D02" w:rsidP="009A6A77">
      <w:pPr>
        <w:rPr>
          <w:rFonts w:asciiTheme="minorHAnsi" w:hAnsiTheme="minorHAnsi"/>
          <w:szCs w:val="22"/>
        </w:rPr>
      </w:pPr>
    </w:p>
    <w:p w14:paraId="11EC911E" w14:textId="314ADFD1" w:rsidR="006C4862" w:rsidRPr="006C4862" w:rsidRDefault="006C4862" w:rsidP="009A6A77">
      <w:pPr>
        <w:rPr>
          <w:rFonts w:asciiTheme="minorHAnsi" w:hAnsiTheme="minorHAnsi"/>
          <w:szCs w:val="22"/>
        </w:rPr>
      </w:pPr>
    </w:p>
    <w:p w14:paraId="3B87E212" w14:textId="47FBEBE6" w:rsidR="006C4862" w:rsidRDefault="006C4862" w:rsidP="009A6A77">
      <w:pPr>
        <w:rPr>
          <w:rFonts w:asciiTheme="minorHAnsi" w:hAnsiTheme="minorHAnsi"/>
          <w:szCs w:val="22"/>
        </w:rPr>
      </w:pPr>
    </w:p>
    <w:p w14:paraId="763EDEF7" w14:textId="77777777" w:rsidR="001753D3" w:rsidRDefault="001753D3" w:rsidP="009A6A77">
      <w:pPr>
        <w:rPr>
          <w:rFonts w:asciiTheme="minorHAnsi" w:hAnsiTheme="minorHAnsi"/>
          <w:szCs w:val="22"/>
        </w:rPr>
      </w:pPr>
    </w:p>
    <w:p w14:paraId="64FC9E9E" w14:textId="77777777" w:rsidR="001753D3" w:rsidRPr="006C4862" w:rsidRDefault="001753D3" w:rsidP="009A6A77">
      <w:pPr>
        <w:rPr>
          <w:rFonts w:asciiTheme="minorHAnsi" w:hAnsiTheme="minorHAnsi"/>
          <w:szCs w:val="22"/>
        </w:rPr>
      </w:pPr>
    </w:p>
    <w:p w14:paraId="0B321C35" w14:textId="77777777" w:rsidR="006C4862" w:rsidRDefault="006C4862" w:rsidP="009A6A77">
      <w:pPr>
        <w:rPr>
          <w:rFonts w:asciiTheme="minorHAnsi" w:hAnsiTheme="minorHAnsi"/>
          <w:b/>
          <w:szCs w:val="22"/>
        </w:rPr>
      </w:pPr>
    </w:p>
    <w:p w14:paraId="67E26491" w14:textId="77777777" w:rsidR="006C4862" w:rsidRDefault="006C4862" w:rsidP="009A6A77">
      <w:pPr>
        <w:rPr>
          <w:rFonts w:asciiTheme="minorHAnsi" w:hAnsiTheme="minorHAnsi"/>
          <w:b/>
          <w:szCs w:val="22"/>
        </w:rPr>
      </w:pPr>
    </w:p>
    <w:p w14:paraId="684DE778" w14:textId="0B336908" w:rsidR="009A6A77" w:rsidRPr="009B5C69" w:rsidRDefault="006C4862" w:rsidP="009A6A77">
      <w:pPr>
        <w:rPr>
          <w:rFonts w:asciiTheme="minorHAnsi" w:hAnsiTheme="minorHAnsi"/>
          <w:i/>
          <w:sz w:val="16"/>
          <w:szCs w:val="16"/>
        </w:rPr>
      </w:pPr>
      <w:r>
        <w:rPr>
          <w:rFonts w:asciiTheme="minorHAnsi" w:hAnsiTheme="minorHAnsi"/>
          <w:noProof/>
        </w:rPr>
        <w:drawing>
          <wp:anchor distT="0" distB="0" distL="114300" distR="114300" simplePos="0" relativeHeight="252778496" behindDoc="0" locked="0" layoutInCell="1" allowOverlap="1" wp14:anchorId="7EB8C811" wp14:editId="13218627">
            <wp:simplePos x="0" y="0"/>
            <wp:positionH relativeFrom="column">
              <wp:posOffset>2150110</wp:posOffset>
            </wp:positionH>
            <wp:positionV relativeFrom="page">
              <wp:posOffset>5971540</wp:posOffset>
            </wp:positionV>
            <wp:extent cx="4088765" cy="1806575"/>
            <wp:effectExtent l="0" t="0" r="6985" b="3175"/>
            <wp:wrapSquare wrapText="bothSides"/>
            <wp:docPr id="1792" name="Picture 17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088765" cy="1806575"/>
                    </a:xfrm>
                    <a:prstGeom prst="rect">
                      <a:avLst/>
                    </a:prstGeom>
                    <a:noFill/>
                  </pic:spPr>
                </pic:pic>
              </a:graphicData>
            </a:graphic>
            <wp14:sizeRelH relativeFrom="margin">
              <wp14:pctWidth>0</wp14:pctWidth>
            </wp14:sizeRelH>
            <wp14:sizeRelV relativeFrom="margin">
              <wp14:pctHeight>0</wp14:pctHeight>
            </wp14:sizeRelV>
          </wp:anchor>
        </w:drawing>
      </w:r>
      <w:r w:rsidR="00261D02" w:rsidRPr="007A2088">
        <w:rPr>
          <w:rFonts w:asciiTheme="minorHAnsi" w:hAnsiTheme="minorHAnsi"/>
          <w:b/>
          <w:szCs w:val="22"/>
        </w:rPr>
        <w:t>Years of Life and Years of Health</w:t>
      </w:r>
      <w:r w:rsidR="009A6A77">
        <w:rPr>
          <w:rFonts w:asciiTheme="minorHAnsi" w:hAnsiTheme="minorHAnsi"/>
          <w:b/>
        </w:rPr>
        <w:t xml:space="preserve"> -</w:t>
      </w:r>
      <w:r w:rsidR="009A6A77" w:rsidRPr="009A6A77">
        <w:rPr>
          <w:rFonts w:asciiTheme="minorHAnsi" w:hAnsiTheme="minorHAnsi"/>
          <w:i/>
          <w:sz w:val="16"/>
          <w:szCs w:val="16"/>
        </w:rPr>
        <w:t xml:space="preserve"> </w:t>
      </w:r>
      <w:r w:rsidR="009A6A77" w:rsidRPr="009B5C69">
        <w:rPr>
          <w:rFonts w:asciiTheme="minorHAnsi" w:hAnsiTheme="minorHAnsi"/>
          <w:i/>
          <w:sz w:val="16"/>
          <w:szCs w:val="16"/>
        </w:rPr>
        <w:t>Source: Public Health Wales Observatory</w:t>
      </w:r>
    </w:p>
    <w:p w14:paraId="4B441D6A" w14:textId="590E0DC7" w:rsidR="00261D02" w:rsidRPr="001753D3" w:rsidRDefault="00261D02" w:rsidP="00261D02">
      <w:pPr>
        <w:rPr>
          <w:rFonts w:asciiTheme="minorHAnsi" w:hAnsiTheme="minorHAnsi"/>
          <w:szCs w:val="22"/>
        </w:rPr>
      </w:pPr>
      <w:r w:rsidRPr="001753D3">
        <w:rPr>
          <w:rFonts w:asciiTheme="minorHAnsi" w:hAnsiTheme="minorHAnsi"/>
          <w:szCs w:val="22"/>
        </w:rPr>
        <w:t>Life expectancy and healthy life expectancy in each of our Local Authority areas is lower than the Wales average, with the Bridgend population slightly higher than Rhondda Cynon Taf and Merthyr Tydf</w:t>
      </w:r>
      <w:r w:rsidR="009A6A77" w:rsidRPr="001753D3">
        <w:rPr>
          <w:rFonts w:asciiTheme="minorHAnsi" w:hAnsiTheme="minorHAnsi"/>
          <w:szCs w:val="22"/>
        </w:rPr>
        <w:t>il for both males and females.</w:t>
      </w:r>
    </w:p>
    <w:p w14:paraId="0DCD184D" w14:textId="6D5C3F8E" w:rsidR="007A2088" w:rsidRPr="001753D3" w:rsidRDefault="007A2088" w:rsidP="00261D02">
      <w:pPr>
        <w:rPr>
          <w:rFonts w:asciiTheme="minorHAnsi" w:hAnsiTheme="minorHAnsi"/>
          <w:szCs w:val="22"/>
        </w:rPr>
      </w:pPr>
    </w:p>
    <w:p w14:paraId="40C2D805" w14:textId="6B1BF178" w:rsidR="009A6A77" w:rsidRPr="00A05324" w:rsidRDefault="009A6A77" w:rsidP="009C5E68">
      <w:pPr>
        <w:jc w:val="center"/>
        <w:rPr>
          <w:rFonts w:asciiTheme="minorHAnsi" w:hAnsiTheme="minorHAnsi"/>
        </w:rPr>
      </w:pPr>
    </w:p>
    <w:p w14:paraId="22D558E9" w14:textId="0E4F361A" w:rsidR="009C5E68" w:rsidRPr="007A2088" w:rsidRDefault="009C5E68" w:rsidP="009A6A77">
      <w:pPr>
        <w:rPr>
          <w:rFonts w:asciiTheme="minorHAnsi" w:hAnsiTheme="minorHAnsi"/>
          <w:b/>
          <w:szCs w:val="22"/>
        </w:rPr>
      </w:pPr>
    </w:p>
    <w:p w14:paraId="74243786" w14:textId="3450424D" w:rsidR="006C4862" w:rsidRDefault="006C4862" w:rsidP="009A6A77">
      <w:pPr>
        <w:rPr>
          <w:rFonts w:asciiTheme="minorHAnsi" w:hAnsiTheme="minorHAnsi"/>
          <w:b/>
          <w:szCs w:val="22"/>
        </w:rPr>
      </w:pPr>
      <w:r>
        <w:rPr>
          <w:rFonts w:asciiTheme="minorHAnsi" w:hAnsiTheme="minorHAnsi"/>
          <w:b/>
          <w:noProof/>
        </w:rPr>
        <w:drawing>
          <wp:anchor distT="0" distB="0" distL="114300" distR="114300" simplePos="0" relativeHeight="252779520" behindDoc="0" locked="0" layoutInCell="1" allowOverlap="1" wp14:anchorId="7FBD7EA6" wp14:editId="62BF81C6">
            <wp:simplePos x="0" y="0"/>
            <wp:positionH relativeFrom="margin">
              <wp:posOffset>2169160</wp:posOffset>
            </wp:positionH>
            <wp:positionV relativeFrom="page">
              <wp:posOffset>8020050</wp:posOffset>
            </wp:positionV>
            <wp:extent cx="4165600" cy="1849755"/>
            <wp:effectExtent l="0" t="0" r="6350" b="0"/>
            <wp:wrapSquare wrapText="bothSides"/>
            <wp:docPr id="1793" name="Picture 17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165600" cy="1849755"/>
                    </a:xfrm>
                    <a:prstGeom prst="rect">
                      <a:avLst/>
                    </a:prstGeom>
                    <a:noFill/>
                  </pic:spPr>
                </pic:pic>
              </a:graphicData>
            </a:graphic>
            <wp14:sizeRelH relativeFrom="margin">
              <wp14:pctWidth>0</wp14:pctWidth>
            </wp14:sizeRelH>
            <wp14:sizeRelV relativeFrom="margin">
              <wp14:pctHeight>0</wp14:pctHeight>
            </wp14:sizeRelV>
          </wp:anchor>
        </w:drawing>
      </w:r>
    </w:p>
    <w:p w14:paraId="36DD5CF9" w14:textId="770E9BC2" w:rsidR="009A6A77" w:rsidRPr="009B5C69" w:rsidRDefault="009A6A77" w:rsidP="009A6A77">
      <w:pPr>
        <w:rPr>
          <w:rFonts w:asciiTheme="minorHAnsi" w:hAnsiTheme="minorHAnsi"/>
          <w:i/>
          <w:sz w:val="16"/>
          <w:szCs w:val="16"/>
        </w:rPr>
      </w:pPr>
      <w:r w:rsidRPr="007A2088">
        <w:rPr>
          <w:rFonts w:asciiTheme="minorHAnsi" w:hAnsiTheme="minorHAnsi"/>
          <w:b/>
          <w:szCs w:val="22"/>
        </w:rPr>
        <w:t>A Fair Chance for H</w:t>
      </w:r>
      <w:r w:rsidR="00261D02" w:rsidRPr="007A2088">
        <w:rPr>
          <w:rFonts w:asciiTheme="minorHAnsi" w:hAnsiTheme="minorHAnsi"/>
          <w:b/>
          <w:szCs w:val="22"/>
        </w:rPr>
        <w:t>ealth</w:t>
      </w:r>
      <w:r w:rsidRPr="007A2088">
        <w:rPr>
          <w:rFonts w:asciiTheme="minorHAnsi" w:hAnsiTheme="minorHAnsi"/>
          <w:b/>
          <w:szCs w:val="22"/>
        </w:rPr>
        <w:t xml:space="preserve"> -</w:t>
      </w:r>
      <w:r>
        <w:rPr>
          <w:rFonts w:asciiTheme="minorHAnsi" w:hAnsiTheme="minorHAnsi"/>
          <w:b/>
        </w:rPr>
        <w:t xml:space="preserve"> </w:t>
      </w:r>
      <w:r w:rsidRPr="009B5C69">
        <w:rPr>
          <w:rFonts w:asciiTheme="minorHAnsi" w:hAnsiTheme="minorHAnsi"/>
          <w:i/>
          <w:sz w:val="16"/>
          <w:szCs w:val="16"/>
        </w:rPr>
        <w:t>Source: Public Health Wales Observatory</w:t>
      </w:r>
    </w:p>
    <w:p w14:paraId="3ED58554" w14:textId="439132A2" w:rsidR="00261D02" w:rsidRPr="001753D3" w:rsidRDefault="00261D02" w:rsidP="00261D02">
      <w:pPr>
        <w:rPr>
          <w:rFonts w:asciiTheme="minorHAnsi" w:hAnsiTheme="minorHAnsi"/>
          <w:szCs w:val="22"/>
        </w:rPr>
      </w:pPr>
      <w:r w:rsidRPr="001753D3">
        <w:rPr>
          <w:rFonts w:asciiTheme="minorHAnsi" w:hAnsiTheme="minorHAnsi"/>
          <w:szCs w:val="22"/>
        </w:rPr>
        <w:t>The gap in life expectancy and healthy life expectancy in all our Local Authority areas is lower than Wales and there are great inequalities in outcomes for the poorest compared to the most affluent.</w:t>
      </w:r>
    </w:p>
    <w:p w14:paraId="1029ED49" w14:textId="77777777" w:rsidR="007A2088" w:rsidRPr="001753D3" w:rsidRDefault="007A2088" w:rsidP="00261D02">
      <w:pPr>
        <w:rPr>
          <w:rFonts w:asciiTheme="minorHAnsi" w:hAnsiTheme="minorHAnsi"/>
          <w:szCs w:val="22"/>
        </w:rPr>
      </w:pPr>
    </w:p>
    <w:p w14:paraId="2A4A79B3" w14:textId="3380BC8C" w:rsidR="009A6A77" w:rsidRPr="009B5C69" w:rsidRDefault="00261D02" w:rsidP="00980370">
      <w:pPr>
        <w:jc w:val="left"/>
        <w:rPr>
          <w:rFonts w:asciiTheme="minorHAnsi" w:hAnsiTheme="minorHAnsi"/>
          <w:i/>
          <w:sz w:val="16"/>
          <w:szCs w:val="16"/>
        </w:rPr>
      </w:pPr>
      <w:r w:rsidRPr="009B5C69">
        <w:rPr>
          <w:rFonts w:asciiTheme="minorHAnsi" w:hAnsiTheme="minorHAnsi"/>
          <w:b/>
        </w:rPr>
        <w:t xml:space="preserve">Mental </w:t>
      </w:r>
      <w:r>
        <w:rPr>
          <w:rFonts w:asciiTheme="minorHAnsi" w:hAnsiTheme="minorHAnsi"/>
          <w:b/>
        </w:rPr>
        <w:t>W</w:t>
      </w:r>
      <w:r w:rsidRPr="009B5C69">
        <w:rPr>
          <w:rFonts w:asciiTheme="minorHAnsi" w:hAnsiTheme="minorHAnsi"/>
          <w:b/>
        </w:rPr>
        <w:t>ell-</w:t>
      </w:r>
      <w:r>
        <w:rPr>
          <w:rFonts w:asciiTheme="minorHAnsi" w:hAnsiTheme="minorHAnsi"/>
          <w:b/>
        </w:rPr>
        <w:t>B</w:t>
      </w:r>
      <w:r w:rsidRPr="009B5C69">
        <w:rPr>
          <w:rFonts w:asciiTheme="minorHAnsi" w:hAnsiTheme="minorHAnsi"/>
          <w:b/>
        </w:rPr>
        <w:t>eing</w:t>
      </w:r>
      <w:r w:rsidR="009A6A77">
        <w:rPr>
          <w:rFonts w:asciiTheme="minorHAnsi" w:hAnsiTheme="minorHAnsi"/>
          <w:b/>
        </w:rPr>
        <w:t xml:space="preserve"> - </w:t>
      </w:r>
      <w:r w:rsidR="009A6A77" w:rsidRPr="009B5C69">
        <w:rPr>
          <w:rFonts w:asciiTheme="minorHAnsi" w:hAnsiTheme="minorHAnsi"/>
          <w:i/>
          <w:sz w:val="16"/>
          <w:szCs w:val="16"/>
        </w:rPr>
        <w:t>Source: Public Health Wales Observatory</w:t>
      </w:r>
    </w:p>
    <w:p w14:paraId="4AF6645B" w14:textId="5135C71B" w:rsidR="00261D02" w:rsidRPr="001753D3" w:rsidRDefault="00261D02" w:rsidP="00261D02">
      <w:pPr>
        <w:rPr>
          <w:rFonts w:asciiTheme="minorHAnsi" w:hAnsiTheme="minorHAnsi"/>
          <w:szCs w:val="22"/>
        </w:rPr>
      </w:pPr>
      <w:r w:rsidRPr="001753D3">
        <w:rPr>
          <w:rFonts w:asciiTheme="minorHAnsi" w:hAnsiTheme="minorHAnsi"/>
          <w:szCs w:val="22"/>
        </w:rPr>
        <w:t>Mental well-being of adults in Bridgend is higher than Wales, Rhondda Cynon Taf and Merthyr Tydfil.</w:t>
      </w:r>
    </w:p>
    <w:p w14:paraId="22C7C8DC" w14:textId="7D868F2D" w:rsidR="00980370" w:rsidRPr="009B5C69" w:rsidRDefault="006C4862" w:rsidP="00980370">
      <w:pPr>
        <w:jc w:val="center"/>
        <w:rPr>
          <w:rFonts w:asciiTheme="minorHAnsi" w:hAnsiTheme="minorHAnsi"/>
          <w:b/>
        </w:rPr>
      </w:pPr>
      <w:r>
        <w:rPr>
          <w:rFonts w:asciiTheme="minorHAnsi" w:hAnsiTheme="minorHAnsi"/>
          <w:b/>
          <w:noProof/>
        </w:rPr>
        <w:drawing>
          <wp:anchor distT="0" distB="0" distL="114300" distR="114300" simplePos="0" relativeHeight="252780544" behindDoc="0" locked="0" layoutInCell="1" allowOverlap="1" wp14:anchorId="4C13A600" wp14:editId="7525FDAA">
            <wp:simplePos x="0" y="0"/>
            <wp:positionH relativeFrom="margin">
              <wp:align>center</wp:align>
            </wp:positionH>
            <wp:positionV relativeFrom="paragraph">
              <wp:posOffset>161290</wp:posOffset>
            </wp:positionV>
            <wp:extent cx="4579620" cy="1143000"/>
            <wp:effectExtent l="0" t="0" r="0" b="0"/>
            <wp:wrapTopAndBottom/>
            <wp:docPr id="1794" name="Picture 17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579620" cy="1143000"/>
                    </a:xfrm>
                    <a:prstGeom prst="rect">
                      <a:avLst/>
                    </a:prstGeom>
                    <a:noFill/>
                  </pic:spPr>
                </pic:pic>
              </a:graphicData>
            </a:graphic>
          </wp:anchor>
        </w:drawing>
      </w:r>
    </w:p>
    <w:p w14:paraId="2B41083E" w14:textId="16A2DFB5" w:rsidR="00261D02" w:rsidRPr="007A2088" w:rsidRDefault="00261D02" w:rsidP="00261D02">
      <w:pPr>
        <w:rPr>
          <w:rFonts w:asciiTheme="minorHAnsi" w:hAnsiTheme="minorHAnsi"/>
          <w:b/>
          <w:szCs w:val="22"/>
        </w:rPr>
      </w:pPr>
      <w:r w:rsidRPr="007A2088">
        <w:rPr>
          <w:rFonts w:asciiTheme="minorHAnsi" w:hAnsiTheme="minorHAnsi"/>
          <w:b/>
          <w:szCs w:val="22"/>
        </w:rPr>
        <w:t>Ways of Living that Improve Health</w:t>
      </w:r>
    </w:p>
    <w:p w14:paraId="29560169" w14:textId="016CE00D" w:rsidR="00261D02" w:rsidRPr="001753D3" w:rsidRDefault="00196841" w:rsidP="00261D02">
      <w:pPr>
        <w:rPr>
          <w:rFonts w:asciiTheme="minorHAnsi" w:hAnsiTheme="minorHAnsi"/>
          <w:szCs w:val="22"/>
        </w:rPr>
      </w:pPr>
      <w:r w:rsidRPr="001753D3">
        <w:rPr>
          <w:rFonts w:asciiTheme="minorHAnsi" w:hAnsiTheme="minorHAnsi"/>
          <w:noProof/>
        </w:rPr>
        <w:drawing>
          <wp:anchor distT="0" distB="0" distL="114300" distR="114300" simplePos="0" relativeHeight="252781568" behindDoc="0" locked="0" layoutInCell="1" allowOverlap="1" wp14:anchorId="2277EE3D" wp14:editId="2E715523">
            <wp:simplePos x="0" y="0"/>
            <wp:positionH relativeFrom="column">
              <wp:posOffset>2502535</wp:posOffset>
            </wp:positionH>
            <wp:positionV relativeFrom="page">
              <wp:posOffset>2609850</wp:posOffset>
            </wp:positionV>
            <wp:extent cx="3801110" cy="1139190"/>
            <wp:effectExtent l="0" t="0" r="8890" b="3810"/>
            <wp:wrapSquare wrapText="bothSides"/>
            <wp:docPr id="1795" name="Picture 17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801110" cy="1139190"/>
                    </a:xfrm>
                    <a:prstGeom prst="rect">
                      <a:avLst/>
                    </a:prstGeom>
                    <a:noFill/>
                  </pic:spPr>
                </pic:pic>
              </a:graphicData>
            </a:graphic>
            <wp14:sizeRelH relativeFrom="margin">
              <wp14:pctWidth>0</wp14:pctWidth>
            </wp14:sizeRelH>
            <wp14:sizeRelV relativeFrom="margin">
              <wp14:pctHeight>0</wp14:pctHeight>
            </wp14:sizeRelV>
          </wp:anchor>
        </w:drawing>
      </w:r>
      <w:r w:rsidR="00261D02" w:rsidRPr="001753D3">
        <w:rPr>
          <w:rFonts w:asciiTheme="minorHAnsi" w:hAnsiTheme="minorHAnsi"/>
          <w:szCs w:val="22"/>
        </w:rPr>
        <w:t>Many of the factors that contribute to the inequalities in health and well-being are preventable.  Healthy lifestyles can increase the quality and quantity of life and poor lifestyles can decrease it.  In particular, five harmful behaviours contribute to the four major causes of disease that account for 64% of early deaths.</w:t>
      </w:r>
    </w:p>
    <w:p w14:paraId="20930B1D" w14:textId="77777777" w:rsidR="00261D02" w:rsidRPr="007A2088" w:rsidRDefault="00261D02" w:rsidP="00261D02">
      <w:pPr>
        <w:pStyle w:val="Heading3"/>
        <w:ind w:left="709" w:hanging="709"/>
        <w:rPr>
          <w:szCs w:val="22"/>
        </w:rPr>
      </w:pPr>
      <w:r w:rsidRPr="007A2088">
        <w:rPr>
          <w:szCs w:val="22"/>
        </w:rPr>
        <w:lastRenderedPageBreak/>
        <w:t xml:space="preserve">A View of Key Population Health Challenges </w:t>
      </w:r>
    </w:p>
    <w:p w14:paraId="441E2263" w14:textId="2DF83555" w:rsidR="00261D02" w:rsidRPr="001753D3" w:rsidRDefault="00261D02" w:rsidP="00261D02">
      <w:pPr>
        <w:rPr>
          <w:szCs w:val="22"/>
        </w:rPr>
      </w:pPr>
      <w:r w:rsidRPr="001753D3">
        <w:rPr>
          <w:szCs w:val="22"/>
        </w:rPr>
        <w:t xml:space="preserve">In developing a view of the most significant challenges facing population health and wellbeing we have taken account of factors such as: magnitude of impact, numbers of people affected, short- to medium-term projected trends and availability of opportunities to redress.  The following are major health and wellbeing challenges in </w:t>
      </w:r>
      <w:r w:rsidR="00FA719A" w:rsidRPr="001753D3">
        <w:rPr>
          <w:szCs w:val="22"/>
        </w:rPr>
        <w:t>the Health Board,</w:t>
      </w:r>
      <w:r w:rsidRPr="001753D3">
        <w:rPr>
          <w:szCs w:val="22"/>
        </w:rPr>
        <w:t xml:space="preserve"> which the healthcare system could tackle both directly and in partnership:</w:t>
      </w:r>
    </w:p>
    <w:p w14:paraId="2B9A771E" w14:textId="77777777" w:rsidR="00261D02" w:rsidRPr="001753D3" w:rsidRDefault="00261D02" w:rsidP="00261D02">
      <w:pPr>
        <w:pStyle w:val="NormalBullet"/>
        <w:rPr>
          <w:rFonts w:asciiTheme="minorHAnsi" w:hAnsiTheme="minorHAnsi"/>
          <w:szCs w:val="22"/>
        </w:rPr>
      </w:pPr>
      <w:r w:rsidRPr="001753D3">
        <w:rPr>
          <w:rFonts w:asciiTheme="minorHAnsi" w:hAnsiTheme="minorHAnsi"/>
          <w:szCs w:val="22"/>
        </w:rPr>
        <w:t>Frailty – associated with an ageing population and low healthy life expectancy</w:t>
      </w:r>
    </w:p>
    <w:p w14:paraId="5FD889EC" w14:textId="77777777" w:rsidR="00261D02" w:rsidRPr="001753D3" w:rsidRDefault="00261D02" w:rsidP="00261D02">
      <w:pPr>
        <w:pStyle w:val="NormalBullet"/>
        <w:rPr>
          <w:rFonts w:asciiTheme="minorHAnsi" w:hAnsiTheme="minorHAnsi"/>
          <w:szCs w:val="22"/>
        </w:rPr>
      </w:pPr>
      <w:r w:rsidRPr="001753D3">
        <w:rPr>
          <w:rFonts w:asciiTheme="minorHAnsi" w:hAnsiTheme="minorHAnsi"/>
          <w:szCs w:val="22"/>
        </w:rPr>
        <w:t>Obesity/overweight</w:t>
      </w:r>
    </w:p>
    <w:p w14:paraId="112FFC47" w14:textId="77777777" w:rsidR="00261D02" w:rsidRPr="001753D3" w:rsidRDefault="00261D02" w:rsidP="00261D02">
      <w:pPr>
        <w:pStyle w:val="NormalBullet"/>
        <w:rPr>
          <w:rFonts w:asciiTheme="minorHAnsi" w:hAnsiTheme="minorHAnsi"/>
          <w:szCs w:val="22"/>
        </w:rPr>
      </w:pPr>
      <w:r w:rsidRPr="001753D3">
        <w:rPr>
          <w:rFonts w:asciiTheme="minorHAnsi" w:hAnsiTheme="minorHAnsi"/>
          <w:szCs w:val="22"/>
        </w:rPr>
        <w:t xml:space="preserve">Inequalities in health outcomes </w:t>
      </w:r>
    </w:p>
    <w:p w14:paraId="78EDE597" w14:textId="77777777" w:rsidR="00261D02" w:rsidRPr="001753D3" w:rsidRDefault="00261D02" w:rsidP="00261D02">
      <w:pPr>
        <w:pStyle w:val="NormalBullet"/>
        <w:rPr>
          <w:rFonts w:asciiTheme="minorHAnsi" w:hAnsiTheme="minorHAnsi"/>
          <w:szCs w:val="22"/>
        </w:rPr>
      </w:pPr>
      <w:r w:rsidRPr="001753D3">
        <w:rPr>
          <w:rFonts w:asciiTheme="minorHAnsi" w:hAnsiTheme="minorHAnsi"/>
          <w:szCs w:val="22"/>
        </w:rPr>
        <w:t>Loss of wellbeing (mental health)</w:t>
      </w:r>
    </w:p>
    <w:p w14:paraId="598DBBBA" w14:textId="77777777" w:rsidR="00261D02" w:rsidRPr="008B6B3F" w:rsidRDefault="00261D02" w:rsidP="00261D02">
      <w:pPr>
        <w:pStyle w:val="NormalBullet"/>
        <w:numPr>
          <w:ilvl w:val="0"/>
          <w:numId w:val="0"/>
        </w:numPr>
        <w:rPr>
          <w:rFonts w:asciiTheme="minorHAnsi" w:hAnsiTheme="minorHAnsi"/>
          <w:sz w:val="16"/>
          <w:szCs w:val="16"/>
        </w:rPr>
      </w:pPr>
      <w:r w:rsidRPr="008B6B3F">
        <w:rPr>
          <w:rFonts w:asciiTheme="minorHAnsi" w:hAnsiTheme="minorHAnsi"/>
          <w:sz w:val="16"/>
          <w:szCs w:val="16"/>
        </w:rPr>
        <w:t xml:space="preserve">Source: </w:t>
      </w:r>
      <w:hyperlink r:id="rId53" w:history="1">
        <w:r w:rsidRPr="008B6B3F">
          <w:rPr>
            <w:rStyle w:val="Hyperlink"/>
            <w:rFonts w:asciiTheme="minorHAnsi" w:hAnsiTheme="minorHAnsi"/>
            <w:sz w:val="16"/>
            <w:szCs w:val="16"/>
          </w:rPr>
          <w:t>The Fifth Wave</w:t>
        </w:r>
      </w:hyperlink>
    </w:p>
    <w:p w14:paraId="1F1BD5D4" w14:textId="3D99197E" w:rsidR="0031158E" w:rsidRDefault="00E86BA1" w:rsidP="00EE0997">
      <w:pPr>
        <w:pStyle w:val="Heading2"/>
        <w:ind w:left="709" w:hanging="709"/>
        <w:rPr>
          <w:szCs w:val="22"/>
        </w:rPr>
      </w:pPr>
      <w:bookmarkStart w:id="55" w:name="_Toc532299674"/>
      <w:bookmarkStart w:id="56" w:name="_Toc532463959"/>
      <w:bookmarkStart w:id="57" w:name="_Toc536195553"/>
      <w:bookmarkStart w:id="58" w:name="_Toc25262169"/>
      <w:r w:rsidRPr="007A2088">
        <w:rPr>
          <w:szCs w:val="22"/>
        </w:rPr>
        <w:t xml:space="preserve">Health Board Challenges and </w:t>
      </w:r>
      <w:r w:rsidR="00AB7439" w:rsidRPr="007A2088">
        <w:rPr>
          <w:szCs w:val="22"/>
        </w:rPr>
        <w:t>Legislative and Policy Drivers</w:t>
      </w:r>
      <w:bookmarkEnd w:id="55"/>
      <w:bookmarkEnd w:id="56"/>
      <w:bookmarkEnd w:id="57"/>
      <w:bookmarkEnd w:id="58"/>
    </w:p>
    <w:p w14:paraId="5FD4A35B" w14:textId="77777777" w:rsidR="00905C69" w:rsidRPr="00ED3450" w:rsidRDefault="00905C69" w:rsidP="00905C69">
      <w:pPr>
        <w:autoSpaceDE w:val="0"/>
        <w:autoSpaceDN w:val="0"/>
        <w:adjustRightInd w:val="0"/>
        <w:rPr>
          <w:rFonts w:cs="Calibri"/>
          <w:szCs w:val="22"/>
        </w:rPr>
      </w:pPr>
      <w:r w:rsidRPr="00ED3450">
        <w:rPr>
          <w:rFonts w:asciiTheme="minorHAnsi" w:hAnsiTheme="minorHAnsi" w:cstheme="minorHAnsi"/>
          <w:iCs/>
          <w:szCs w:val="22"/>
        </w:rPr>
        <w:t xml:space="preserve">The Health Board, like its neighbouring public sector organisations, </w:t>
      </w:r>
      <w:r w:rsidRPr="00ED3450">
        <w:rPr>
          <w:rFonts w:cs="Calibri"/>
          <w:szCs w:val="22"/>
        </w:rPr>
        <w:t xml:space="preserve">faces and will continue to face significant challenges, particularly in terms of improving health outcomes for our communities, system sustainability, service quality and performance, and ensuring the financial health of the organisation.  </w:t>
      </w:r>
      <w:r w:rsidRPr="00ED3450">
        <w:rPr>
          <w:rFonts w:asciiTheme="minorHAnsi" w:hAnsiTheme="minorHAnsi" w:cstheme="minorHAnsi"/>
          <w:szCs w:val="22"/>
          <w:lang w:eastAsia="en-US"/>
        </w:rPr>
        <w:t>Change is therefore inevitable, but it also brings with it the opportunity for development and improvement for patients, the workforce and partner agencies.</w:t>
      </w:r>
    </w:p>
    <w:p w14:paraId="222CAF8D" w14:textId="7B8BCFFE" w:rsidR="00261D02" w:rsidRPr="007A2088" w:rsidRDefault="00261D02" w:rsidP="00261D02">
      <w:pPr>
        <w:pStyle w:val="Heading3"/>
        <w:ind w:left="709" w:hanging="709"/>
        <w:rPr>
          <w:szCs w:val="22"/>
        </w:rPr>
      </w:pPr>
      <w:bookmarkStart w:id="59" w:name="_Toc492424968"/>
      <w:bookmarkStart w:id="60" w:name="_Toc500332736"/>
      <w:r w:rsidRPr="007A2088">
        <w:rPr>
          <w:szCs w:val="22"/>
        </w:rPr>
        <w:t>Quality</w:t>
      </w:r>
      <w:r w:rsidR="00905C69">
        <w:rPr>
          <w:szCs w:val="22"/>
        </w:rPr>
        <w:t xml:space="preserve"> Challenges</w:t>
      </w:r>
    </w:p>
    <w:p w14:paraId="42BA8EAE" w14:textId="77777777" w:rsidR="00ED3450" w:rsidRDefault="00095F39" w:rsidP="00095F39">
      <w:pPr>
        <w:autoSpaceDE w:val="0"/>
        <w:autoSpaceDN w:val="0"/>
        <w:adjustRightInd w:val="0"/>
        <w:rPr>
          <w:rFonts w:asciiTheme="minorHAnsi" w:hAnsiTheme="minorHAnsi" w:cstheme="minorHAnsi"/>
          <w:szCs w:val="22"/>
        </w:rPr>
      </w:pPr>
      <w:r w:rsidRPr="00ED3450">
        <w:rPr>
          <w:rFonts w:asciiTheme="minorHAnsi" w:hAnsiTheme="minorHAnsi" w:cstheme="minorHAnsi"/>
          <w:szCs w:val="22"/>
        </w:rPr>
        <w:t>Following agreement in January 2019, by Welsh Government, Wales Audit Office and Healthcare Inspectorate Wales</w:t>
      </w:r>
      <w:r w:rsidR="003F3522" w:rsidRPr="00ED3450">
        <w:rPr>
          <w:rFonts w:asciiTheme="minorHAnsi" w:hAnsiTheme="minorHAnsi" w:cstheme="minorHAnsi"/>
          <w:szCs w:val="22"/>
        </w:rPr>
        <w:t xml:space="preserve"> (HIW)</w:t>
      </w:r>
      <w:r w:rsidRPr="00ED3450">
        <w:rPr>
          <w:rFonts w:asciiTheme="minorHAnsi" w:hAnsiTheme="minorHAnsi" w:cstheme="minorHAnsi"/>
          <w:szCs w:val="22"/>
        </w:rPr>
        <w:t>, the escalation status for the Health Board was raised from ‘routine arrangements’ to ‘enhanced monitoring’ – the seco</w:t>
      </w:r>
      <w:r w:rsidR="00ED3450">
        <w:rPr>
          <w:rFonts w:asciiTheme="minorHAnsi" w:hAnsiTheme="minorHAnsi" w:cstheme="minorHAnsi"/>
          <w:szCs w:val="22"/>
        </w:rPr>
        <w:t>nd of four levels.</w:t>
      </w:r>
    </w:p>
    <w:p w14:paraId="50152261" w14:textId="77777777" w:rsidR="00ED3450" w:rsidRDefault="00ED3450" w:rsidP="00095F39">
      <w:pPr>
        <w:autoSpaceDE w:val="0"/>
        <w:autoSpaceDN w:val="0"/>
        <w:adjustRightInd w:val="0"/>
        <w:rPr>
          <w:rFonts w:asciiTheme="minorHAnsi" w:hAnsiTheme="minorHAnsi" w:cstheme="minorHAnsi"/>
          <w:szCs w:val="22"/>
        </w:rPr>
      </w:pPr>
    </w:p>
    <w:p w14:paraId="1A9D76A1" w14:textId="29644419" w:rsidR="00ED3450" w:rsidRPr="00BA6671" w:rsidRDefault="00ED3450" w:rsidP="00ED3450">
      <w:pPr>
        <w:ind w:right="-58"/>
        <w:rPr>
          <w:rFonts w:asciiTheme="minorHAnsi" w:hAnsiTheme="minorHAnsi" w:cstheme="minorHAnsi"/>
          <w:szCs w:val="22"/>
          <w:lang w:eastAsia="en-US"/>
        </w:rPr>
      </w:pPr>
      <w:r w:rsidRPr="00DA5F3D">
        <w:rPr>
          <w:rFonts w:asciiTheme="minorHAnsi" w:hAnsiTheme="minorHAnsi" w:cstheme="minorHAnsi"/>
          <w:szCs w:val="22"/>
          <w:lang w:eastAsia="en-US"/>
        </w:rPr>
        <w:t>During 2019, a</w:t>
      </w:r>
      <w:r w:rsidRPr="00BA6671">
        <w:rPr>
          <w:rFonts w:asciiTheme="minorHAnsi" w:hAnsiTheme="minorHAnsi" w:cstheme="minorHAnsi"/>
          <w:szCs w:val="22"/>
          <w:lang w:eastAsia="en-US"/>
        </w:rPr>
        <w:t xml:space="preserve"> joint review of maternity services by the Royal College of Obstetrics and Gynaecologists (RCOG) and the Royal College of Midwives (RCM) was published in March 2019 in which a number of recommendations were made. </w:t>
      </w:r>
      <w:r>
        <w:rPr>
          <w:rFonts w:asciiTheme="minorHAnsi" w:hAnsiTheme="minorHAnsi" w:cs="Arial"/>
          <w:szCs w:val="22"/>
          <w:lang w:eastAsia="en-US"/>
        </w:rPr>
        <w:t>Additionally, the</w:t>
      </w:r>
      <w:r w:rsidRPr="00BA6671">
        <w:rPr>
          <w:rFonts w:asciiTheme="minorHAnsi" w:hAnsiTheme="minorHAnsi" w:cs="Arial"/>
          <w:szCs w:val="22"/>
          <w:lang w:eastAsia="en-US"/>
        </w:rPr>
        <w:t xml:space="preserve"> Delivery Unit’s report “Management of Concerns (Learning Lessons and Managing Risk) and the Supporting Governance Arrangements”, </w:t>
      </w:r>
      <w:r>
        <w:rPr>
          <w:rFonts w:asciiTheme="minorHAnsi" w:hAnsiTheme="minorHAnsi" w:cs="Arial"/>
          <w:szCs w:val="22"/>
          <w:lang w:eastAsia="en-US"/>
        </w:rPr>
        <w:t>(</w:t>
      </w:r>
      <w:r w:rsidRPr="00BA6671">
        <w:rPr>
          <w:rFonts w:asciiTheme="minorHAnsi" w:hAnsiTheme="minorHAnsi" w:cs="Arial"/>
          <w:szCs w:val="22"/>
          <w:lang w:eastAsia="en-US"/>
        </w:rPr>
        <w:t>March 2019</w:t>
      </w:r>
      <w:r>
        <w:rPr>
          <w:rFonts w:asciiTheme="minorHAnsi" w:hAnsiTheme="minorHAnsi" w:cs="Arial"/>
          <w:szCs w:val="22"/>
          <w:lang w:eastAsia="en-US"/>
        </w:rPr>
        <w:t xml:space="preserve">) was published.  </w:t>
      </w:r>
      <w:r w:rsidRPr="00BA6671">
        <w:rPr>
          <w:rFonts w:asciiTheme="minorHAnsi" w:hAnsiTheme="minorHAnsi" w:cstheme="minorHAnsi"/>
          <w:szCs w:val="22"/>
          <w:lang w:eastAsia="en-US"/>
        </w:rPr>
        <w:t>The Minister for Health and Social Services, announced three external work streams, including work to be undertaken by the DU to ensure that there are effective arrangements for the reporting, management and review of patien</w:t>
      </w:r>
      <w:r>
        <w:rPr>
          <w:rFonts w:asciiTheme="minorHAnsi" w:hAnsiTheme="minorHAnsi" w:cstheme="minorHAnsi"/>
          <w:szCs w:val="22"/>
          <w:lang w:eastAsia="en-US"/>
        </w:rPr>
        <w:t>t safety incidents and concerns</w:t>
      </w:r>
      <w:r w:rsidRPr="00BA6671">
        <w:rPr>
          <w:rFonts w:asciiTheme="minorHAnsi" w:hAnsiTheme="minorHAnsi" w:cs="Arial"/>
          <w:szCs w:val="22"/>
          <w:lang w:eastAsia="en-US"/>
        </w:rPr>
        <w:t xml:space="preserve">. </w:t>
      </w:r>
    </w:p>
    <w:p w14:paraId="25DCAE85" w14:textId="77777777" w:rsidR="00ED3450" w:rsidRPr="00BA6671" w:rsidRDefault="00ED3450" w:rsidP="00ED3450">
      <w:pPr>
        <w:ind w:right="-23"/>
        <w:rPr>
          <w:rFonts w:asciiTheme="minorHAnsi" w:hAnsiTheme="minorHAnsi" w:cs="Arial"/>
          <w:szCs w:val="22"/>
          <w:lang w:eastAsia="en-US"/>
        </w:rPr>
      </w:pPr>
    </w:p>
    <w:p w14:paraId="55D4B4FC" w14:textId="1E1FE85B" w:rsidR="00ED3450" w:rsidRDefault="00ED3450" w:rsidP="00ED3450">
      <w:pPr>
        <w:autoSpaceDE w:val="0"/>
        <w:autoSpaceDN w:val="0"/>
        <w:adjustRightInd w:val="0"/>
        <w:rPr>
          <w:szCs w:val="22"/>
        </w:rPr>
      </w:pPr>
      <w:r w:rsidRPr="00DA5F3D">
        <w:rPr>
          <w:rFonts w:asciiTheme="minorHAnsi" w:hAnsiTheme="minorHAnsi" w:cs="Arial"/>
          <w:szCs w:val="22"/>
          <w:lang w:eastAsia="en-US"/>
        </w:rPr>
        <w:t>A further review undertaken by the Delivery Unit: ‘</w:t>
      </w:r>
      <w:r w:rsidRPr="00DA5F3D">
        <w:rPr>
          <w:rFonts w:asciiTheme="minorHAnsi" w:hAnsiTheme="minorHAnsi" w:cs="Arial"/>
          <w:szCs w:val="22"/>
        </w:rPr>
        <w:t>Cwm Taf Morga</w:t>
      </w:r>
      <w:r>
        <w:rPr>
          <w:rFonts w:asciiTheme="minorHAnsi" w:hAnsiTheme="minorHAnsi" w:cs="Arial"/>
          <w:szCs w:val="22"/>
        </w:rPr>
        <w:t>n</w:t>
      </w:r>
      <w:r w:rsidRPr="00DA5F3D">
        <w:rPr>
          <w:rFonts w:asciiTheme="minorHAnsi" w:hAnsiTheme="minorHAnsi" w:cs="Arial"/>
          <w:szCs w:val="22"/>
        </w:rPr>
        <w:t>nwg</w:t>
      </w:r>
      <w:r>
        <w:rPr>
          <w:rFonts w:asciiTheme="minorHAnsi" w:hAnsiTheme="minorHAnsi" w:cs="Arial"/>
          <w:szCs w:val="22"/>
        </w:rPr>
        <w:t xml:space="preserve"> u</w:t>
      </w:r>
      <w:r w:rsidRPr="00DA5F3D">
        <w:rPr>
          <w:rFonts w:asciiTheme="minorHAnsi" w:hAnsiTheme="minorHAnsi" w:cs="Arial"/>
          <w:szCs w:val="22"/>
        </w:rPr>
        <w:t xml:space="preserve">niversity </w:t>
      </w:r>
      <w:r>
        <w:rPr>
          <w:rFonts w:asciiTheme="minorHAnsi" w:hAnsiTheme="minorHAnsi" w:cs="Arial"/>
          <w:szCs w:val="22"/>
        </w:rPr>
        <w:t>Health Board</w:t>
      </w:r>
      <w:r w:rsidRPr="00DA5F3D">
        <w:rPr>
          <w:rFonts w:asciiTheme="minorHAnsi" w:hAnsiTheme="minorHAnsi" w:cs="Arial"/>
          <w:szCs w:val="22"/>
        </w:rPr>
        <w:t xml:space="preserve"> systems and processes for reporting, management and review of patient safety incidents &amp; concerns, (September, 2019), whilst identifying some areas of good practice the DU found key areas of deficiency, which are subject to an improvement plan., reported through an improvement plan.</w:t>
      </w:r>
      <w:r w:rsidRPr="00DA5F3D">
        <w:rPr>
          <w:rFonts w:ascii="Verdana" w:hAnsi="Verdana" w:cs="Arial"/>
          <w:sz w:val="24"/>
        </w:rPr>
        <w:t xml:space="preserve"> </w:t>
      </w:r>
      <w:r w:rsidRPr="00DA5F3D">
        <w:rPr>
          <w:rFonts w:asciiTheme="minorHAnsi" w:hAnsiTheme="minorHAnsi" w:cstheme="minorHAnsi"/>
          <w:szCs w:val="22"/>
          <w:lang w:eastAsia="en-US"/>
        </w:rPr>
        <w:t xml:space="preserve">In November 2019, </w:t>
      </w:r>
      <w:r w:rsidRPr="00DA5F3D">
        <w:rPr>
          <w:rFonts w:asciiTheme="minorHAnsi" w:eastAsiaTheme="minorEastAsia" w:hAnsiTheme="minorHAnsi" w:cstheme="minorHAnsi"/>
          <w:bCs/>
          <w:kern w:val="24"/>
          <w:szCs w:val="22"/>
        </w:rPr>
        <w:t xml:space="preserve">‘a review of quality governance arrangements at Cwm Taf Morgannwg University </w:t>
      </w:r>
      <w:r>
        <w:rPr>
          <w:rFonts w:asciiTheme="minorHAnsi" w:eastAsiaTheme="minorEastAsia" w:hAnsiTheme="minorHAnsi" w:cstheme="minorHAnsi"/>
          <w:bCs/>
          <w:kern w:val="24"/>
          <w:szCs w:val="22"/>
        </w:rPr>
        <w:t>Health Board</w:t>
      </w:r>
      <w:r w:rsidRPr="00DA5F3D">
        <w:rPr>
          <w:rFonts w:asciiTheme="minorHAnsi" w:eastAsiaTheme="minorEastAsia" w:hAnsiTheme="minorHAnsi" w:cstheme="minorHAnsi"/>
          <w:bCs/>
          <w:kern w:val="24"/>
          <w:szCs w:val="22"/>
        </w:rPr>
        <w:t xml:space="preserve"> Joint Review’ undertaken by Healthcare Inspectorate Wales and the Wales Audit Office</w:t>
      </w:r>
      <w:r w:rsidRPr="00DA5F3D">
        <w:t xml:space="preserve">, </w:t>
      </w:r>
      <w:r w:rsidRPr="00C150EF">
        <w:rPr>
          <w:szCs w:val="22"/>
        </w:rPr>
        <w:t xml:space="preserve">highlighted a number of fundamental weaknesses in the </w:t>
      </w:r>
      <w:r>
        <w:rPr>
          <w:szCs w:val="22"/>
        </w:rPr>
        <w:t>Health Board</w:t>
      </w:r>
      <w:r w:rsidRPr="00C150EF">
        <w:rPr>
          <w:szCs w:val="22"/>
        </w:rPr>
        <w:t>’s governance arrangements in respect of the quality of care and patient safety, stating that significant and urgent improvements are needed at both the directorate and corporate level to either strengthen or more fundamentally overhaul existing arrangements, organisational structures and roles. Whilst the review has highlighted some significant concerns, it also highlighted there is cause for some optimism that the required improvements can be made through the new leadership and additional capacity in to strengthen quality governance arrangements.</w:t>
      </w:r>
    </w:p>
    <w:p w14:paraId="7492C0C3" w14:textId="77777777" w:rsidR="00ED3450" w:rsidRDefault="00ED3450" w:rsidP="00ED3450">
      <w:pPr>
        <w:autoSpaceDE w:val="0"/>
        <w:autoSpaceDN w:val="0"/>
        <w:adjustRightInd w:val="0"/>
        <w:rPr>
          <w:rFonts w:asciiTheme="minorHAnsi" w:hAnsiTheme="minorHAnsi" w:cstheme="minorHAnsi"/>
          <w:szCs w:val="22"/>
        </w:rPr>
      </w:pPr>
    </w:p>
    <w:p w14:paraId="0616BFC5" w14:textId="77777777" w:rsidR="00ED3450" w:rsidRPr="0047674D" w:rsidRDefault="00ED3450" w:rsidP="00ED3450">
      <w:pPr>
        <w:rPr>
          <w:rFonts w:asciiTheme="minorHAnsi" w:hAnsiTheme="minorHAnsi" w:cs="Arial"/>
          <w:color w:val="943634" w:themeColor="accent2" w:themeShade="BF"/>
          <w:szCs w:val="22"/>
          <w:lang w:val="en-US"/>
        </w:rPr>
      </w:pPr>
      <w:r w:rsidRPr="0047674D">
        <w:rPr>
          <w:rFonts w:asciiTheme="minorHAnsi" w:hAnsiTheme="minorHAnsi"/>
          <w:color w:val="943634" w:themeColor="accent2" w:themeShade="BF"/>
          <w:szCs w:val="22"/>
        </w:rPr>
        <w:t xml:space="preserve">During 2018, some progress has been made in relation to the requirements of the Nurse Staffing Levels (Wales) 2016 Act.  The Health Board undertook a </w:t>
      </w:r>
      <w:r w:rsidRPr="0047674D">
        <w:rPr>
          <w:rFonts w:asciiTheme="minorHAnsi" w:hAnsiTheme="minorHAnsi" w:cs="Arial"/>
          <w:color w:val="943634" w:themeColor="accent2" w:themeShade="BF"/>
          <w:szCs w:val="22"/>
          <w:lang w:val="en-US"/>
        </w:rPr>
        <w:t xml:space="preserve">review to identify optimum recruitment opportunities, and as part of the work undertaken to comply with the Act, Ward Sisters and Charge Nurses were enabled to be 100% supervisory, this is being progressed using a phased approach. </w:t>
      </w:r>
    </w:p>
    <w:p w14:paraId="31C7A6D5" w14:textId="77777777" w:rsidR="00ED3450" w:rsidRPr="0047674D" w:rsidRDefault="00ED3450" w:rsidP="00ED3450">
      <w:pPr>
        <w:rPr>
          <w:rFonts w:asciiTheme="minorHAnsi" w:hAnsiTheme="minorHAnsi" w:cs="Arial"/>
          <w:color w:val="943634" w:themeColor="accent2" w:themeShade="BF"/>
          <w:szCs w:val="22"/>
          <w:lang w:val="en-US"/>
        </w:rPr>
      </w:pPr>
    </w:p>
    <w:p w14:paraId="5358110B" w14:textId="77777777" w:rsidR="00ED3450" w:rsidRPr="0047674D" w:rsidRDefault="00ED3450" w:rsidP="00ED3450">
      <w:pPr>
        <w:rPr>
          <w:rFonts w:asciiTheme="minorHAnsi" w:hAnsiTheme="minorHAnsi" w:cs="Arial"/>
          <w:color w:val="943634" w:themeColor="accent2" w:themeShade="BF"/>
          <w:szCs w:val="22"/>
        </w:rPr>
      </w:pPr>
      <w:r w:rsidRPr="0047674D">
        <w:rPr>
          <w:rFonts w:asciiTheme="minorHAnsi" w:hAnsiTheme="minorHAnsi" w:cs="Arial"/>
          <w:color w:val="943634" w:themeColor="accent2" w:themeShade="BF"/>
          <w:szCs w:val="22"/>
          <w:lang w:val="en-US"/>
        </w:rPr>
        <w:t xml:space="preserve">A formal review was undertaken to inform nurse staffing levels calculations and therefore requirements, on each of the 20 adult acute medical and surgical wards covered by the Act. </w:t>
      </w:r>
      <w:r w:rsidRPr="0047674D">
        <w:rPr>
          <w:rFonts w:asciiTheme="minorHAnsi" w:hAnsiTheme="minorHAnsi" w:cs="Arial"/>
          <w:color w:val="943634" w:themeColor="accent2" w:themeShade="BF"/>
          <w:szCs w:val="22"/>
        </w:rPr>
        <w:t xml:space="preserve">Based upon the calculations undertaken using the required triangulated methodology, an uplift of 58.32 WTE registered nurses and 59.69 WTE Health Care Support Workers is required across the 20 wards.  The calculations have been determined using the </w:t>
      </w:r>
      <w:r w:rsidRPr="0047674D">
        <w:rPr>
          <w:rFonts w:asciiTheme="minorHAnsi" w:hAnsiTheme="minorHAnsi" w:cs="Arial"/>
          <w:color w:val="943634" w:themeColor="accent2" w:themeShade="BF"/>
          <w:szCs w:val="22"/>
        </w:rPr>
        <w:lastRenderedPageBreak/>
        <w:t>professional judgement of the senior nursing team and agreed by the Executive Director of Nursing, Midwifery and Patient Care.</w:t>
      </w:r>
    </w:p>
    <w:p w14:paraId="5C3007E7" w14:textId="77777777" w:rsidR="00ED3450" w:rsidRDefault="00ED3450" w:rsidP="00095F39">
      <w:pPr>
        <w:autoSpaceDE w:val="0"/>
        <w:autoSpaceDN w:val="0"/>
        <w:adjustRightInd w:val="0"/>
        <w:rPr>
          <w:rFonts w:asciiTheme="minorHAnsi" w:hAnsiTheme="minorHAnsi" w:cstheme="minorHAnsi"/>
          <w:szCs w:val="22"/>
        </w:rPr>
      </w:pPr>
    </w:p>
    <w:p w14:paraId="1DA4ED35" w14:textId="5208D7CE" w:rsidR="00ED3450" w:rsidRPr="0047674D" w:rsidRDefault="00ED3450" w:rsidP="00ED3450">
      <w:pPr>
        <w:rPr>
          <w:rFonts w:asciiTheme="minorHAnsi" w:hAnsiTheme="minorHAnsi" w:cs="Arial"/>
          <w:color w:val="943634" w:themeColor="accent2" w:themeShade="BF"/>
          <w:szCs w:val="22"/>
        </w:rPr>
      </w:pPr>
      <w:r w:rsidRPr="0047674D">
        <w:rPr>
          <w:rFonts w:asciiTheme="minorHAnsi" w:hAnsiTheme="minorHAnsi" w:cs="Arial"/>
          <w:color w:val="943634" w:themeColor="accent2" w:themeShade="BF"/>
          <w:szCs w:val="22"/>
        </w:rPr>
        <w:t xml:space="preserve">Detail on the steps being taken to address quality concerns can be found thought the Plan but in particular in </w:t>
      </w:r>
      <w:r w:rsidRPr="0047674D">
        <w:rPr>
          <w:rFonts w:asciiTheme="minorHAnsi" w:hAnsiTheme="minorHAnsi" w:cs="Arial"/>
          <w:b/>
          <w:color w:val="943634" w:themeColor="accent2" w:themeShade="BF"/>
          <w:szCs w:val="22"/>
        </w:rPr>
        <w:t>Chapter 4</w:t>
      </w:r>
      <w:r>
        <w:rPr>
          <w:rFonts w:asciiTheme="minorHAnsi" w:hAnsiTheme="minorHAnsi" w:cs="Arial"/>
          <w:color w:val="943634" w:themeColor="accent2" w:themeShade="BF"/>
          <w:szCs w:val="22"/>
        </w:rPr>
        <w:t>.</w:t>
      </w:r>
    </w:p>
    <w:p w14:paraId="327E9590" w14:textId="3DB73FBB" w:rsidR="00C25488" w:rsidRPr="007A2088" w:rsidRDefault="00C25488" w:rsidP="00C25488">
      <w:pPr>
        <w:pStyle w:val="Heading3"/>
        <w:rPr>
          <w:rFonts w:eastAsia="Verdana"/>
          <w:szCs w:val="22"/>
        </w:rPr>
      </w:pPr>
      <w:bookmarkStart w:id="61" w:name="_Toc532299689"/>
      <w:bookmarkStart w:id="62" w:name="_Toc532464016"/>
      <w:r w:rsidRPr="007A2088">
        <w:rPr>
          <w:rFonts w:eastAsia="Verdana"/>
          <w:szCs w:val="22"/>
        </w:rPr>
        <w:t>Workforce</w:t>
      </w:r>
      <w:bookmarkEnd w:id="61"/>
      <w:bookmarkEnd w:id="62"/>
      <w:r w:rsidR="00905C69">
        <w:rPr>
          <w:rFonts w:eastAsia="Verdana"/>
          <w:szCs w:val="22"/>
        </w:rPr>
        <w:t xml:space="preserve"> Challenges</w:t>
      </w:r>
    </w:p>
    <w:p w14:paraId="5860906C" w14:textId="0AE0776D" w:rsidR="00C25488" w:rsidRPr="0047674D" w:rsidRDefault="00C25488" w:rsidP="00C25488">
      <w:pPr>
        <w:rPr>
          <w:rFonts w:asciiTheme="minorHAnsi" w:hAnsiTheme="minorHAnsi"/>
          <w:color w:val="943634" w:themeColor="accent2" w:themeShade="BF"/>
          <w:szCs w:val="22"/>
        </w:rPr>
      </w:pPr>
      <w:r w:rsidRPr="0047674D">
        <w:rPr>
          <w:rFonts w:asciiTheme="minorHAnsi" w:hAnsiTheme="minorHAnsi"/>
          <w:color w:val="943634" w:themeColor="accent2" w:themeShade="BF"/>
          <w:szCs w:val="22"/>
        </w:rPr>
        <w:t xml:space="preserve">As described in more detail in </w:t>
      </w:r>
      <w:r w:rsidRPr="0047674D">
        <w:rPr>
          <w:rFonts w:asciiTheme="minorHAnsi" w:hAnsiTheme="minorHAnsi"/>
          <w:b/>
          <w:color w:val="943634" w:themeColor="accent2" w:themeShade="BF"/>
          <w:szCs w:val="22"/>
        </w:rPr>
        <w:t>Chapter 5,</w:t>
      </w:r>
      <w:r w:rsidRPr="0047674D">
        <w:rPr>
          <w:rFonts w:asciiTheme="minorHAnsi" w:hAnsiTheme="minorHAnsi"/>
          <w:color w:val="943634" w:themeColor="accent2" w:themeShade="BF"/>
          <w:szCs w:val="22"/>
        </w:rPr>
        <w:t xml:space="preserve"> the approach to planning continues to incorporate Directorate and Locality plans together with cross-cutting themes.  The workforce implications have been developed as an integrated part of these local plans and the key implications have been identified throughout the Plan.  The delivery of these individual plans from a workforce perspective is monitored through the Directorates local IMTPs.  These are reviewed at the Clinical Business Meetings (CBMs) with the Service Managers and Workforce Business Partners who have been jointly engaged in their co-production.  Detail on the workforce challenges the organisation faces can be found in </w:t>
      </w:r>
      <w:r w:rsidRPr="0047674D">
        <w:rPr>
          <w:rFonts w:asciiTheme="minorHAnsi" w:hAnsiTheme="minorHAnsi"/>
          <w:b/>
          <w:color w:val="943634" w:themeColor="accent2" w:themeShade="BF"/>
          <w:szCs w:val="22"/>
        </w:rPr>
        <w:t>Book A4</w:t>
      </w:r>
      <w:r w:rsidRPr="0047674D">
        <w:rPr>
          <w:rFonts w:asciiTheme="minorHAnsi" w:hAnsiTheme="minorHAnsi"/>
          <w:color w:val="943634" w:themeColor="accent2" w:themeShade="BF"/>
          <w:szCs w:val="22"/>
        </w:rPr>
        <w:t>, and cover:</w:t>
      </w:r>
    </w:p>
    <w:p w14:paraId="59A21860" w14:textId="77777777" w:rsidR="00C25488" w:rsidRPr="0047674D" w:rsidRDefault="00C25488" w:rsidP="00C25488">
      <w:pPr>
        <w:rPr>
          <w:rFonts w:asciiTheme="minorHAnsi" w:hAnsiTheme="minorHAnsi"/>
          <w:color w:val="943634" w:themeColor="accent2" w:themeShade="BF"/>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7"/>
        <w:gridCol w:w="3629"/>
      </w:tblGrid>
      <w:tr w:rsidR="0047674D" w:rsidRPr="0047674D" w14:paraId="0086D282" w14:textId="77777777" w:rsidTr="0062325D">
        <w:tc>
          <w:tcPr>
            <w:tcW w:w="5387" w:type="dxa"/>
          </w:tcPr>
          <w:p w14:paraId="07C8A904" w14:textId="77777777" w:rsidR="0062325D" w:rsidRPr="0047674D" w:rsidRDefault="0062325D" w:rsidP="003B1653">
            <w:pPr>
              <w:pStyle w:val="ListParagraph"/>
              <w:numPr>
                <w:ilvl w:val="0"/>
                <w:numId w:val="17"/>
              </w:numPr>
              <w:ind w:left="357" w:hanging="357"/>
              <w:rPr>
                <w:rFonts w:asciiTheme="minorHAnsi" w:hAnsiTheme="minorHAnsi"/>
                <w:color w:val="943634" w:themeColor="accent2" w:themeShade="BF"/>
                <w:sz w:val="22"/>
                <w:szCs w:val="22"/>
              </w:rPr>
            </w:pPr>
            <w:r w:rsidRPr="0047674D">
              <w:rPr>
                <w:rFonts w:asciiTheme="minorHAnsi" w:hAnsiTheme="minorHAnsi"/>
                <w:color w:val="943634" w:themeColor="accent2" w:themeShade="BF"/>
                <w:sz w:val="22"/>
                <w:szCs w:val="22"/>
              </w:rPr>
              <w:t>Recruitment and retention difficulties;</w:t>
            </w:r>
          </w:p>
          <w:p w14:paraId="3808BA52" w14:textId="77777777" w:rsidR="0062325D" w:rsidRPr="0047674D" w:rsidRDefault="0062325D" w:rsidP="003B1653">
            <w:pPr>
              <w:pStyle w:val="ListParagraph"/>
              <w:numPr>
                <w:ilvl w:val="0"/>
                <w:numId w:val="17"/>
              </w:numPr>
              <w:ind w:left="357" w:hanging="357"/>
              <w:rPr>
                <w:rFonts w:asciiTheme="minorHAnsi" w:hAnsiTheme="minorHAnsi"/>
                <w:color w:val="943634" w:themeColor="accent2" w:themeShade="BF"/>
                <w:sz w:val="22"/>
                <w:szCs w:val="22"/>
              </w:rPr>
            </w:pPr>
            <w:r w:rsidRPr="0047674D">
              <w:rPr>
                <w:rFonts w:asciiTheme="minorHAnsi" w:hAnsiTheme="minorHAnsi"/>
                <w:color w:val="943634" w:themeColor="accent2" w:themeShade="BF"/>
                <w:sz w:val="22"/>
                <w:szCs w:val="22"/>
              </w:rPr>
              <w:t>Primary Care workforce challenges;</w:t>
            </w:r>
          </w:p>
          <w:p w14:paraId="41E0BAA6" w14:textId="77777777" w:rsidR="0062325D" w:rsidRPr="0047674D" w:rsidRDefault="0062325D" w:rsidP="003B1653">
            <w:pPr>
              <w:pStyle w:val="ListParagraph"/>
              <w:numPr>
                <w:ilvl w:val="0"/>
                <w:numId w:val="17"/>
              </w:numPr>
              <w:ind w:left="357" w:hanging="357"/>
              <w:rPr>
                <w:rFonts w:asciiTheme="minorHAnsi" w:hAnsiTheme="minorHAnsi"/>
                <w:color w:val="943634" w:themeColor="accent2" w:themeShade="BF"/>
                <w:sz w:val="22"/>
                <w:szCs w:val="22"/>
              </w:rPr>
            </w:pPr>
            <w:r w:rsidRPr="0047674D">
              <w:rPr>
                <w:rFonts w:asciiTheme="minorHAnsi" w:hAnsiTheme="minorHAnsi"/>
                <w:color w:val="943634" w:themeColor="accent2" w:themeShade="BF"/>
                <w:sz w:val="22"/>
                <w:szCs w:val="22"/>
              </w:rPr>
              <w:t>Mental Health workforce challenges;</w:t>
            </w:r>
          </w:p>
          <w:p w14:paraId="65654A7E" w14:textId="77777777" w:rsidR="0062325D" w:rsidRPr="0047674D" w:rsidRDefault="0062325D" w:rsidP="003B1653">
            <w:pPr>
              <w:pStyle w:val="ListParagraph"/>
              <w:numPr>
                <w:ilvl w:val="0"/>
                <w:numId w:val="17"/>
              </w:numPr>
              <w:ind w:left="357" w:hanging="357"/>
              <w:rPr>
                <w:rFonts w:asciiTheme="minorHAnsi" w:hAnsiTheme="minorHAnsi"/>
                <w:color w:val="943634" w:themeColor="accent2" w:themeShade="BF"/>
                <w:sz w:val="22"/>
                <w:szCs w:val="22"/>
              </w:rPr>
            </w:pPr>
            <w:r w:rsidRPr="0047674D">
              <w:rPr>
                <w:rFonts w:asciiTheme="minorHAnsi" w:hAnsiTheme="minorHAnsi"/>
                <w:color w:val="943634" w:themeColor="accent2" w:themeShade="BF"/>
                <w:sz w:val="22"/>
                <w:szCs w:val="22"/>
              </w:rPr>
              <w:t>Junior Doctor recruitment and retention;</w:t>
            </w:r>
          </w:p>
          <w:p w14:paraId="79E7BBF5" w14:textId="77777777" w:rsidR="0062325D" w:rsidRPr="0047674D" w:rsidRDefault="0062325D" w:rsidP="003B1653">
            <w:pPr>
              <w:pStyle w:val="ListParagraph"/>
              <w:numPr>
                <w:ilvl w:val="0"/>
                <w:numId w:val="17"/>
              </w:numPr>
              <w:ind w:left="357" w:hanging="357"/>
              <w:rPr>
                <w:rFonts w:asciiTheme="minorHAnsi" w:hAnsiTheme="minorHAnsi"/>
                <w:color w:val="943634" w:themeColor="accent2" w:themeShade="BF"/>
                <w:sz w:val="22"/>
                <w:szCs w:val="22"/>
              </w:rPr>
            </w:pPr>
            <w:r w:rsidRPr="0047674D">
              <w:rPr>
                <w:rFonts w:asciiTheme="minorHAnsi" w:hAnsiTheme="minorHAnsi"/>
                <w:color w:val="943634" w:themeColor="accent2" w:themeShade="BF"/>
                <w:sz w:val="22"/>
                <w:szCs w:val="22"/>
              </w:rPr>
              <w:t>Nursing recruitment and retention;</w:t>
            </w:r>
          </w:p>
          <w:p w14:paraId="4A228D54" w14:textId="77777777" w:rsidR="0062325D" w:rsidRPr="0047674D" w:rsidRDefault="0062325D" w:rsidP="003B1653">
            <w:pPr>
              <w:pStyle w:val="ListParagraph"/>
              <w:numPr>
                <w:ilvl w:val="0"/>
                <w:numId w:val="17"/>
              </w:numPr>
              <w:ind w:left="357" w:hanging="357"/>
              <w:rPr>
                <w:rFonts w:asciiTheme="minorHAnsi" w:hAnsiTheme="minorHAnsi"/>
                <w:color w:val="943634" w:themeColor="accent2" w:themeShade="BF"/>
                <w:sz w:val="22"/>
                <w:szCs w:val="22"/>
              </w:rPr>
            </w:pPr>
            <w:r w:rsidRPr="0047674D">
              <w:rPr>
                <w:rFonts w:asciiTheme="minorHAnsi" w:hAnsiTheme="minorHAnsi"/>
                <w:color w:val="943634" w:themeColor="accent2" w:themeShade="BF"/>
                <w:sz w:val="22"/>
                <w:szCs w:val="22"/>
              </w:rPr>
              <w:t>Implementation of the South Wales Programme;</w:t>
            </w:r>
          </w:p>
        </w:tc>
        <w:tc>
          <w:tcPr>
            <w:tcW w:w="3629" w:type="dxa"/>
          </w:tcPr>
          <w:p w14:paraId="2A94BBF0" w14:textId="77777777" w:rsidR="0062325D" w:rsidRPr="0047674D" w:rsidRDefault="0062325D" w:rsidP="003B1653">
            <w:pPr>
              <w:pStyle w:val="ListParagraph"/>
              <w:numPr>
                <w:ilvl w:val="0"/>
                <w:numId w:val="17"/>
              </w:numPr>
              <w:ind w:left="357" w:hanging="357"/>
              <w:rPr>
                <w:rFonts w:asciiTheme="minorHAnsi" w:hAnsiTheme="minorHAnsi"/>
                <w:color w:val="943634" w:themeColor="accent2" w:themeShade="BF"/>
                <w:sz w:val="22"/>
                <w:szCs w:val="22"/>
              </w:rPr>
            </w:pPr>
            <w:r w:rsidRPr="0047674D">
              <w:rPr>
                <w:rFonts w:asciiTheme="minorHAnsi" w:hAnsiTheme="minorHAnsi"/>
                <w:color w:val="943634" w:themeColor="accent2" w:themeShade="BF"/>
                <w:sz w:val="22"/>
                <w:szCs w:val="22"/>
              </w:rPr>
              <w:t>Impact of Sickness Absence;</w:t>
            </w:r>
          </w:p>
          <w:p w14:paraId="26FAB9A9" w14:textId="77777777" w:rsidR="0062325D" w:rsidRPr="0047674D" w:rsidRDefault="0062325D" w:rsidP="003B1653">
            <w:pPr>
              <w:pStyle w:val="ListParagraph"/>
              <w:numPr>
                <w:ilvl w:val="0"/>
                <w:numId w:val="17"/>
              </w:numPr>
              <w:ind w:left="357" w:hanging="357"/>
              <w:rPr>
                <w:rFonts w:asciiTheme="minorHAnsi" w:hAnsiTheme="minorHAnsi"/>
                <w:color w:val="943634" w:themeColor="accent2" w:themeShade="BF"/>
                <w:sz w:val="22"/>
                <w:szCs w:val="22"/>
              </w:rPr>
            </w:pPr>
            <w:r w:rsidRPr="0047674D">
              <w:rPr>
                <w:rFonts w:asciiTheme="minorHAnsi" w:hAnsiTheme="minorHAnsi"/>
                <w:color w:val="943634" w:themeColor="accent2" w:themeShade="BF"/>
                <w:sz w:val="22"/>
                <w:szCs w:val="22"/>
              </w:rPr>
              <w:t xml:space="preserve">UK leaving the European Union </w:t>
            </w:r>
          </w:p>
          <w:p w14:paraId="7BB14934" w14:textId="77777777" w:rsidR="0062325D" w:rsidRPr="0047674D" w:rsidRDefault="0062325D" w:rsidP="003B1653">
            <w:pPr>
              <w:pStyle w:val="ListParagraph"/>
              <w:numPr>
                <w:ilvl w:val="0"/>
                <w:numId w:val="17"/>
              </w:numPr>
              <w:ind w:left="357" w:hanging="357"/>
              <w:rPr>
                <w:rFonts w:asciiTheme="minorHAnsi" w:hAnsiTheme="minorHAnsi"/>
                <w:color w:val="943634" w:themeColor="accent2" w:themeShade="BF"/>
                <w:sz w:val="22"/>
                <w:szCs w:val="22"/>
              </w:rPr>
            </w:pPr>
            <w:r w:rsidRPr="0047674D">
              <w:rPr>
                <w:rFonts w:asciiTheme="minorHAnsi" w:hAnsiTheme="minorHAnsi"/>
                <w:color w:val="943634" w:themeColor="accent2" w:themeShade="BF"/>
                <w:sz w:val="22"/>
                <w:szCs w:val="22"/>
              </w:rPr>
              <w:t>Essential skills levels.</w:t>
            </w:r>
          </w:p>
          <w:p w14:paraId="5B5254AA" w14:textId="77777777" w:rsidR="0062325D" w:rsidRPr="0047674D" w:rsidRDefault="0062325D" w:rsidP="003B1653">
            <w:pPr>
              <w:pStyle w:val="ListParagraph"/>
              <w:numPr>
                <w:ilvl w:val="0"/>
                <w:numId w:val="17"/>
              </w:numPr>
              <w:ind w:left="357" w:hanging="357"/>
              <w:rPr>
                <w:rFonts w:asciiTheme="minorHAnsi" w:hAnsiTheme="minorHAnsi"/>
                <w:color w:val="943634" w:themeColor="accent2" w:themeShade="BF"/>
                <w:sz w:val="22"/>
                <w:szCs w:val="22"/>
              </w:rPr>
            </w:pPr>
            <w:r w:rsidRPr="0047674D">
              <w:rPr>
                <w:rFonts w:asciiTheme="minorHAnsi" w:hAnsiTheme="minorHAnsi"/>
                <w:color w:val="943634" w:themeColor="accent2" w:themeShade="BF"/>
                <w:sz w:val="22"/>
                <w:szCs w:val="22"/>
              </w:rPr>
              <w:t>Legislative Changes to HMRC rules around employment status and pension taxation;</w:t>
            </w:r>
          </w:p>
        </w:tc>
      </w:tr>
    </w:tbl>
    <w:p w14:paraId="5776FC1D" w14:textId="3A14B789" w:rsidR="00261D02" w:rsidRPr="00FE6DEC" w:rsidRDefault="00261D02" w:rsidP="00FE6DEC">
      <w:pPr>
        <w:pStyle w:val="Heading3"/>
      </w:pPr>
      <w:r w:rsidRPr="00FE6DEC">
        <w:t>Performance</w:t>
      </w:r>
      <w:r w:rsidR="00905C69">
        <w:t xml:space="preserve"> Challenges</w:t>
      </w:r>
    </w:p>
    <w:bookmarkEnd w:id="59"/>
    <w:bookmarkEnd w:id="60"/>
    <w:p w14:paraId="071C7A63" w14:textId="77777777" w:rsidR="00A27200" w:rsidRPr="0047674D" w:rsidRDefault="00A27200" w:rsidP="00A27200">
      <w:pPr>
        <w:rPr>
          <w:rFonts w:asciiTheme="minorHAnsi" w:hAnsiTheme="minorHAnsi"/>
          <w:color w:val="943634" w:themeColor="accent2" w:themeShade="BF"/>
          <w:szCs w:val="22"/>
        </w:rPr>
      </w:pPr>
      <w:r w:rsidRPr="0047674D">
        <w:rPr>
          <w:rFonts w:asciiTheme="minorHAnsi" w:hAnsiTheme="minorHAnsi"/>
          <w:color w:val="943634" w:themeColor="accent2" w:themeShade="BF"/>
          <w:szCs w:val="22"/>
        </w:rPr>
        <w:t>Whilst the Health Board has built on the successes of previous years in terms of the delivery of elective care, there remain areas where performance is below our aspiration, particularly in A&amp;E measures, urgent suspected cancer targets and the volume of follow up outpatients waiting beyond their target date for their next appointment.</w:t>
      </w:r>
    </w:p>
    <w:p w14:paraId="6A8FE840" w14:textId="77777777" w:rsidR="00A27200" w:rsidRPr="0047674D" w:rsidRDefault="00A27200" w:rsidP="00A27200">
      <w:pPr>
        <w:rPr>
          <w:rFonts w:asciiTheme="minorHAnsi" w:hAnsiTheme="minorHAnsi"/>
          <w:color w:val="943634" w:themeColor="accent2" w:themeShade="BF"/>
          <w:szCs w:val="22"/>
        </w:rPr>
      </w:pPr>
    </w:p>
    <w:p w14:paraId="2C895F7B" w14:textId="77777777" w:rsidR="00A27200" w:rsidRPr="0047674D" w:rsidRDefault="00A27200" w:rsidP="00D621FF">
      <w:pPr>
        <w:rPr>
          <w:rFonts w:asciiTheme="minorHAnsi" w:hAnsiTheme="minorHAnsi"/>
          <w:color w:val="943634" w:themeColor="accent2" w:themeShade="BF"/>
          <w:szCs w:val="22"/>
        </w:rPr>
      </w:pPr>
      <w:r w:rsidRPr="0047674D">
        <w:rPr>
          <w:rFonts w:asciiTheme="minorHAnsi" w:hAnsiTheme="minorHAnsi"/>
          <w:color w:val="943634" w:themeColor="accent2" w:themeShade="BF"/>
          <w:szCs w:val="22"/>
        </w:rPr>
        <w:t>For A&amp;E measures (percentage of patients waiting less than 4 hours and the number of patients waiting more than or equal to 12 hours for completed treatment in A&amp;E), the Health Board has not been able to deliver the same performance trajectory this year as it did up to November 2017.  That said, compliance remains above the majority of other Health Board in Wales and robust plans are in place in preparation for the winter months.</w:t>
      </w:r>
    </w:p>
    <w:p w14:paraId="2D20C90D" w14:textId="77777777" w:rsidR="00A27200" w:rsidRPr="0047674D" w:rsidRDefault="00A27200" w:rsidP="00D621FF">
      <w:pPr>
        <w:rPr>
          <w:rFonts w:asciiTheme="minorHAnsi" w:hAnsiTheme="minorHAnsi"/>
          <w:color w:val="943634" w:themeColor="accent2" w:themeShade="BF"/>
          <w:szCs w:val="22"/>
        </w:rPr>
      </w:pPr>
    </w:p>
    <w:p w14:paraId="5DCDC99E" w14:textId="77777777" w:rsidR="00A27200" w:rsidRPr="0047674D" w:rsidRDefault="00A27200" w:rsidP="00D621FF">
      <w:pPr>
        <w:rPr>
          <w:rFonts w:asciiTheme="minorHAnsi" w:hAnsiTheme="minorHAnsi"/>
          <w:color w:val="943634" w:themeColor="accent2" w:themeShade="BF"/>
          <w:szCs w:val="22"/>
        </w:rPr>
      </w:pPr>
      <w:r w:rsidRPr="0047674D">
        <w:rPr>
          <w:rFonts w:asciiTheme="minorHAnsi" w:hAnsiTheme="minorHAnsi"/>
          <w:color w:val="943634" w:themeColor="accent2" w:themeShade="BF"/>
          <w:szCs w:val="22"/>
        </w:rPr>
        <w:t>In terms of the percentage of our patients referred as urgent suspected cancer seen within 62 days, Urology continues to be a major challenge, though there are signs that the pathway improvement work is beginning to beat fruit, with the backlog of patients reducing, which should lead to improved performance.  The Health Board remains committed to achieving a minimum performance of 90% and is additionally responding positively to the challenge of implementing the Single Cancer Pathway in the future.</w:t>
      </w:r>
    </w:p>
    <w:p w14:paraId="3ABCA0B2" w14:textId="77777777" w:rsidR="00A27200" w:rsidRPr="0047674D" w:rsidRDefault="00A27200" w:rsidP="00D621FF">
      <w:pPr>
        <w:rPr>
          <w:rFonts w:asciiTheme="minorHAnsi" w:hAnsiTheme="minorHAnsi"/>
          <w:color w:val="943634" w:themeColor="accent2" w:themeShade="BF"/>
          <w:szCs w:val="22"/>
        </w:rPr>
      </w:pPr>
    </w:p>
    <w:p w14:paraId="716D8E86" w14:textId="25050369" w:rsidR="00A27200" w:rsidRPr="0047674D" w:rsidRDefault="00A27200" w:rsidP="00D621FF">
      <w:pPr>
        <w:rPr>
          <w:rFonts w:asciiTheme="minorHAnsi" w:hAnsiTheme="minorHAnsi"/>
          <w:color w:val="943634" w:themeColor="accent2" w:themeShade="BF"/>
          <w:szCs w:val="22"/>
        </w:rPr>
      </w:pPr>
      <w:r w:rsidRPr="0047674D">
        <w:rPr>
          <w:rFonts w:asciiTheme="minorHAnsi" w:hAnsiTheme="minorHAnsi"/>
          <w:color w:val="943634" w:themeColor="accent2" w:themeShade="BF"/>
          <w:szCs w:val="22"/>
        </w:rPr>
        <w:t>In terms follow up outpatients, we have made considerable progress in ensuring that these patients have a target date for next appointment.  This exercise has masked improvements made in some specialties such as Gastroenterology, Paediatrics, General Surgery and Child and Adolescent Psychiatry.  An improvement trajectory will be in place from January 2019, which will be the result of detailed action plans from each area.</w:t>
      </w:r>
    </w:p>
    <w:p w14:paraId="2D39DC03" w14:textId="77777777" w:rsidR="00F83FA9" w:rsidRPr="0047674D" w:rsidRDefault="00F83FA9" w:rsidP="00D621FF">
      <w:pPr>
        <w:rPr>
          <w:rFonts w:asciiTheme="minorHAnsi" w:hAnsiTheme="minorHAnsi"/>
          <w:color w:val="943634" w:themeColor="accent2" w:themeShade="BF"/>
          <w:szCs w:val="22"/>
        </w:rPr>
      </w:pPr>
    </w:p>
    <w:p w14:paraId="5B9670E3" w14:textId="43A9FFCA" w:rsidR="0062325D" w:rsidRPr="0047674D" w:rsidRDefault="00926E53" w:rsidP="00D621FF">
      <w:pPr>
        <w:rPr>
          <w:rFonts w:asciiTheme="minorHAnsi" w:hAnsiTheme="minorHAnsi"/>
          <w:color w:val="943634" w:themeColor="accent2" w:themeShade="BF"/>
          <w:szCs w:val="22"/>
        </w:rPr>
      </w:pPr>
      <w:r w:rsidRPr="0047674D">
        <w:rPr>
          <w:rFonts w:asciiTheme="minorHAnsi" w:hAnsiTheme="minorHAnsi"/>
          <w:color w:val="943634" w:themeColor="accent2" w:themeShade="BF"/>
          <w:szCs w:val="22"/>
        </w:rPr>
        <w:t>Compliance with national targets for Child and Adolescent Mental Health Services continue to be challenging, particularly in terms of initial assessment within 28 days.  Demand and capacity work undertaken has shown a shortfall in capacity, which in recent years has been dealt within on a non-recurrent basis by year-end, however this provides a sustainability challenge.  Being able now to recruit staff to substantive posts within the Directorate allows a more sustainable solution to be in place from 2019/20, albeit that the further increase in referrals during 2018/19 could pose further challenges were this trend to continue.</w:t>
      </w:r>
    </w:p>
    <w:p w14:paraId="200E02BC" w14:textId="77777777" w:rsidR="00FE6DEC" w:rsidRPr="00081017" w:rsidRDefault="00FE6DEC" w:rsidP="00FE6DEC">
      <w:pPr>
        <w:pStyle w:val="Heading3"/>
      </w:pPr>
      <w:r w:rsidRPr="00081017">
        <w:t>Legislative and Policy Drivers</w:t>
      </w:r>
    </w:p>
    <w:p w14:paraId="4AEBDEE2" w14:textId="77777777" w:rsidR="00FE6DEC" w:rsidRPr="0047674D" w:rsidRDefault="00FE6DEC" w:rsidP="00FE6DEC">
      <w:pPr>
        <w:autoSpaceDE w:val="0"/>
        <w:autoSpaceDN w:val="0"/>
        <w:adjustRightInd w:val="0"/>
        <w:rPr>
          <w:rFonts w:cs="Calibri"/>
          <w:color w:val="943634" w:themeColor="accent2" w:themeShade="BF"/>
          <w:szCs w:val="22"/>
        </w:rPr>
      </w:pPr>
      <w:r w:rsidRPr="0047674D">
        <w:rPr>
          <w:rFonts w:cs="Calibri"/>
          <w:color w:val="943634" w:themeColor="accent2" w:themeShade="BF"/>
          <w:szCs w:val="22"/>
        </w:rPr>
        <w:t xml:space="preserve">The Health Board continues to reflect on the legislative landscape of the Well-Being of Future Generations (Wales) Act (2015, the Social Services and Well-Being Act (2014) and the Public Health (Wales) Act 2017, </w:t>
      </w:r>
      <w:r w:rsidRPr="0047674D">
        <w:rPr>
          <w:rFonts w:cs="Calibri"/>
          <w:color w:val="943634" w:themeColor="accent2" w:themeShade="BF"/>
          <w:szCs w:val="22"/>
        </w:rPr>
        <w:lastRenderedPageBreak/>
        <w:t>recognising particularly its changed and growing responsibilities as a consequence of the Bridgend boundary change, e.g. the requirement for a new Regional Area Plan.</w:t>
      </w:r>
    </w:p>
    <w:p w14:paraId="55D2686E" w14:textId="77777777" w:rsidR="00FE6DEC" w:rsidRPr="0047674D" w:rsidRDefault="00FE6DEC" w:rsidP="00FE6DEC">
      <w:pPr>
        <w:autoSpaceDE w:val="0"/>
        <w:autoSpaceDN w:val="0"/>
        <w:adjustRightInd w:val="0"/>
        <w:rPr>
          <w:rFonts w:cs="Calibri"/>
          <w:color w:val="943634" w:themeColor="accent2" w:themeShade="BF"/>
          <w:szCs w:val="22"/>
          <w:highlight w:val="yellow"/>
        </w:rPr>
      </w:pPr>
    </w:p>
    <w:p w14:paraId="03FD261F" w14:textId="23D5E7C3" w:rsidR="00FE6DEC" w:rsidRPr="0047674D" w:rsidRDefault="00FE6DEC" w:rsidP="00FE6DEC">
      <w:pPr>
        <w:autoSpaceDE w:val="0"/>
        <w:autoSpaceDN w:val="0"/>
        <w:adjustRightInd w:val="0"/>
        <w:rPr>
          <w:rFonts w:cs="Calibri"/>
          <w:color w:val="943634" w:themeColor="accent2" w:themeShade="BF"/>
          <w:szCs w:val="22"/>
        </w:rPr>
      </w:pPr>
      <w:r w:rsidRPr="0047674D">
        <w:rPr>
          <w:rFonts w:cs="Calibri"/>
          <w:color w:val="943634" w:themeColor="accent2" w:themeShade="BF"/>
          <w:szCs w:val="22"/>
        </w:rPr>
        <w:t xml:space="preserve">Published this in 2018, A Healthier Wales: Our Plan for Health and Social Care, responds to the Parliamentary Review of Health and Social Care in Wales, and underpins </w:t>
      </w:r>
      <w:r w:rsidRPr="0047674D">
        <w:rPr>
          <w:rFonts w:asciiTheme="minorHAnsi" w:hAnsiTheme="minorHAnsi" w:cstheme="minorHAnsi"/>
          <w:color w:val="943634" w:themeColor="accent2" w:themeShade="BF"/>
          <w:szCs w:val="22"/>
        </w:rPr>
        <w:t>Prosperity For All: The National Strategy, Welsh Government 2017.  This brings a clear direction for the Health Board on its approach to cross-strategy working, collaboration and continued emphasis on well-being and sustainability.</w:t>
      </w:r>
    </w:p>
    <w:p w14:paraId="21AC24CB" w14:textId="77777777" w:rsidR="00FE6DEC" w:rsidRPr="0047674D" w:rsidRDefault="00FE6DEC" w:rsidP="00FE6DEC">
      <w:pPr>
        <w:autoSpaceDE w:val="0"/>
        <w:autoSpaceDN w:val="0"/>
        <w:adjustRightInd w:val="0"/>
        <w:rPr>
          <w:rFonts w:asciiTheme="minorHAnsi" w:hAnsiTheme="minorHAnsi" w:cstheme="minorHAnsi"/>
          <w:color w:val="943634" w:themeColor="accent2" w:themeShade="BF"/>
          <w:szCs w:val="22"/>
        </w:rPr>
      </w:pPr>
    </w:p>
    <w:p w14:paraId="640C35B1" w14:textId="5959324F" w:rsidR="00FE6DEC" w:rsidRDefault="00FE6DEC" w:rsidP="00FE6DEC">
      <w:pPr>
        <w:autoSpaceDE w:val="0"/>
        <w:autoSpaceDN w:val="0"/>
        <w:adjustRightInd w:val="0"/>
        <w:rPr>
          <w:rFonts w:asciiTheme="minorHAnsi" w:hAnsiTheme="minorHAnsi" w:cstheme="minorHAnsi"/>
          <w:color w:val="943634" w:themeColor="accent2" w:themeShade="BF"/>
          <w:szCs w:val="22"/>
        </w:rPr>
      </w:pPr>
      <w:r w:rsidRPr="0047674D">
        <w:rPr>
          <w:rFonts w:asciiTheme="minorHAnsi" w:hAnsiTheme="minorHAnsi" w:cstheme="minorHAnsi"/>
          <w:color w:val="943634" w:themeColor="accent2" w:themeShade="BF"/>
          <w:szCs w:val="22"/>
        </w:rPr>
        <w:t>This fundamental change in working will only be achieved if supported by appropriate technology</w:t>
      </w:r>
      <w:r w:rsidR="00FF28E8" w:rsidRPr="0047674D">
        <w:rPr>
          <w:rFonts w:asciiTheme="minorHAnsi" w:hAnsiTheme="minorHAnsi" w:cstheme="minorHAnsi"/>
          <w:color w:val="943634" w:themeColor="accent2" w:themeShade="BF"/>
          <w:szCs w:val="22"/>
        </w:rPr>
        <w:t xml:space="preserve">, </w:t>
      </w:r>
      <w:r w:rsidRPr="0047674D">
        <w:rPr>
          <w:rFonts w:asciiTheme="minorHAnsi" w:hAnsiTheme="minorHAnsi" w:cstheme="minorHAnsi"/>
          <w:color w:val="943634" w:themeColor="accent2" w:themeShade="BF"/>
          <w:szCs w:val="22"/>
        </w:rPr>
        <w:t>workforce planning</w:t>
      </w:r>
      <w:r w:rsidR="00FF28E8" w:rsidRPr="0047674D">
        <w:rPr>
          <w:rFonts w:asciiTheme="minorHAnsi" w:hAnsiTheme="minorHAnsi" w:cstheme="minorHAnsi"/>
          <w:color w:val="943634" w:themeColor="accent2" w:themeShade="BF"/>
          <w:szCs w:val="22"/>
        </w:rPr>
        <w:t xml:space="preserve"> and organisational development to underpin the cultural change required</w:t>
      </w:r>
      <w:r w:rsidRPr="0047674D">
        <w:rPr>
          <w:rFonts w:asciiTheme="minorHAnsi" w:hAnsiTheme="minorHAnsi" w:cstheme="minorHAnsi"/>
          <w:color w:val="943634" w:themeColor="accent2" w:themeShade="BF"/>
          <w:szCs w:val="22"/>
        </w:rPr>
        <w:t>.  The NHS Wales Informed Health and Care Digital Strategy provides both a driver for change and the opportunities to make sustainable collaborative working a reality and the creation of Health Education and Improvement Wales (HEIW) provides the strategic leadership for workforce planning.</w:t>
      </w:r>
    </w:p>
    <w:p w14:paraId="13180AC5" w14:textId="1C61F126" w:rsidR="0020655A" w:rsidRDefault="0020655A">
      <w:pPr>
        <w:jc w:val="left"/>
        <w:rPr>
          <w:rFonts w:asciiTheme="minorHAnsi" w:hAnsiTheme="minorHAnsi" w:cstheme="minorHAnsi"/>
          <w:color w:val="943634" w:themeColor="accent2" w:themeShade="BF"/>
          <w:szCs w:val="22"/>
        </w:rPr>
      </w:pPr>
      <w:r>
        <w:rPr>
          <w:rFonts w:asciiTheme="minorHAnsi" w:hAnsiTheme="minorHAnsi" w:cstheme="minorHAnsi"/>
          <w:color w:val="943634" w:themeColor="accent2" w:themeShade="BF"/>
          <w:szCs w:val="22"/>
        </w:rPr>
        <w:br w:type="page"/>
      </w:r>
    </w:p>
    <w:p w14:paraId="6CA88E29" w14:textId="2A208CF0" w:rsidR="00FB600F" w:rsidRPr="00ED3450" w:rsidRDefault="003A2D12" w:rsidP="00FB600F">
      <w:pPr>
        <w:pStyle w:val="Heading1"/>
        <w:ind w:left="1077" w:hanging="1077"/>
        <w:rPr>
          <w:szCs w:val="26"/>
        </w:rPr>
      </w:pPr>
      <w:bookmarkStart w:id="63" w:name="_Toc536195554"/>
      <w:bookmarkStart w:id="64" w:name="_Toc25262170"/>
      <w:r w:rsidRPr="0062325D">
        <w:rPr>
          <w:szCs w:val="26"/>
        </w:rPr>
        <w:lastRenderedPageBreak/>
        <w:t xml:space="preserve">QUALITY ASSURANCE AND </w:t>
      </w:r>
      <w:r w:rsidRPr="00ED3450">
        <w:rPr>
          <w:szCs w:val="26"/>
        </w:rPr>
        <w:t>IMPROVEMENT</w:t>
      </w:r>
      <w:bookmarkEnd w:id="63"/>
      <w:bookmarkEnd w:id="64"/>
    </w:p>
    <w:p w14:paraId="20141E64" w14:textId="6A640DC5" w:rsidR="00ED3450" w:rsidRPr="00ED3450" w:rsidRDefault="00ED3450" w:rsidP="00ED3450">
      <w:pPr>
        <w:pStyle w:val="ListParagraph"/>
        <w:ind w:left="0"/>
        <w:rPr>
          <w:rFonts w:asciiTheme="minorHAnsi" w:hAnsiTheme="minorHAnsi"/>
          <w:i/>
          <w:szCs w:val="22"/>
        </w:rPr>
      </w:pPr>
      <w:r w:rsidRPr="00ED3450">
        <w:rPr>
          <w:i/>
          <w:szCs w:val="22"/>
        </w:rPr>
        <w:t xml:space="preserve">This chapter reflects on the Health Board’s plan for quality, the improvements being made and the assurance of quality.  Looking to 2020 – 2023, further changes are being implemented to ensure that </w:t>
      </w:r>
      <w:r w:rsidRPr="00ED3450">
        <w:rPr>
          <w:rFonts w:asciiTheme="minorHAnsi" w:hAnsiTheme="minorHAnsi"/>
          <w:i/>
          <w:szCs w:val="22"/>
        </w:rPr>
        <w:t>there is a unified approach across the Health Board following the boundary change of April 2019 and that learning continues following the quality challenges in previous years which resulted in the Health Board escalation to targeted intervention and special measures.</w:t>
      </w:r>
    </w:p>
    <w:p w14:paraId="57231746" w14:textId="77775DD3" w:rsidR="007734DE" w:rsidRPr="0062325D" w:rsidRDefault="007734DE" w:rsidP="007734DE">
      <w:pPr>
        <w:pStyle w:val="Heading2"/>
        <w:rPr>
          <w:szCs w:val="22"/>
        </w:rPr>
      </w:pPr>
      <w:bookmarkStart w:id="65" w:name="_Toc536195555"/>
      <w:bookmarkStart w:id="66" w:name="_Toc25262171"/>
      <w:r w:rsidRPr="0062325D">
        <w:rPr>
          <w:szCs w:val="22"/>
        </w:rPr>
        <w:t xml:space="preserve">Quality </w:t>
      </w:r>
      <w:r w:rsidR="00FC4B95" w:rsidRPr="0062325D">
        <w:rPr>
          <w:szCs w:val="22"/>
        </w:rPr>
        <w:t>Strategy</w:t>
      </w:r>
      <w:bookmarkEnd w:id="65"/>
      <w:bookmarkEnd w:id="66"/>
    </w:p>
    <w:p w14:paraId="65A6395B" w14:textId="39575FC3" w:rsidR="00ED3450" w:rsidRDefault="00ED3450" w:rsidP="00ED3450">
      <w:pPr>
        <w:rPr>
          <w:rFonts w:asciiTheme="minorHAnsi" w:hAnsiTheme="minorHAnsi" w:cs="Arial"/>
          <w:szCs w:val="22"/>
          <w:shd w:val="clear" w:color="auto" w:fill="FFFFFF"/>
        </w:rPr>
      </w:pPr>
      <w:bookmarkStart w:id="67" w:name="_Toc536195556"/>
      <w:r w:rsidRPr="0062325D">
        <w:rPr>
          <w:rFonts w:asciiTheme="minorHAnsi" w:hAnsiTheme="minorHAnsi"/>
          <w:noProof/>
          <w:szCs w:val="22"/>
        </w:rPr>
        <w:drawing>
          <wp:anchor distT="0" distB="0" distL="114300" distR="114300" simplePos="0" relativeHeight="252750848" behindDoc="0" locked="0" layoutInCell="1" allowOverlap="1" wp14:anchorId="5E48A5BE" wp14:editId="3A0193E9">
            <wp:simplePos x="0" y="0"/>
            <wp:positionH relativeFrom="margin">
              <wp:posOffset>4018330</wp:posOffset>
            </wp:positionH>
            <wp:positionV relativeFrom="paragraph">
              <wp:posOffset>92826</wp:posOffset>
            </wp:positionV>
            <wp:extent cx="2293620" cy="1571625"/>
            <wp:effectExtent l="0" t="0" r="0" b="9525"/>
            <wp:wrapSquare wrapText="bothSides"/>
            <wp:docPr id="1796" name="Picture 17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293620" cy="1571625"/>
                    </a:xfrm>
                    <a:prstGeom prst="rect">
                      <a:avLst/>
                    </a:prstGeom>
                    <a:noFill/>
                  </pic:spPr>
                </pic:pic>
              </a:graphicData>
            </a:graphic>
            <wp14:sizeRelH relativeFrom="margin">
              <wp14:pctWidth>0</wp14:pctWidth>
            </wp14:sizeRelH>
            <wp14:sizeRelV relativeFrom="margin">
              <wp14:pctHeight>0</wp14:pctHeight>
            </wp14:sizeRelV>
          </wp:anchor>
        </w:drawing>
      </w:r>
      <w:r>
        <w:rPr>
          <w:rFonts w:asciiTheme="minorHAnsi" w:hAnsiTheme="minorHAnsi" w:cs="Arial"/>
          <w:szCs w:val="22"/>
          <w:shd w:val="clear" w:color="auto" w:fill="FFFFFF"/>
        </w:rPr>
        <w:t xml:space="preserve">As outlined in the previous IMTP, in August 2018 and Interim Quality Strategy was developed for the former Cwm Taf catchment of CTMUHB. This has six key areas of focus: listen, equity, enable, transparent, assure and improve. Whilst the direction of travel was considered as the development of a quality strategy for the new organisation’s foot print during 2019, it is apparent that quality requires fundamental embedding throughout the organisation in terms of planning, improvement and assurance. To enable this, work has commenced on Values and Behaviours, a critical piece of work in ensuring that our workforce is signed up to putting our population and patients at the centre of all we do. Additionally, the Health Board’s new operating model, which in turn will inform the development of the Health Board’s developing ‘Integrated Health and Care Strategy’, aligns the clinical and managerial leadership at service and locality levels, ensuring quality is embedded in all that we do and that performance, finance and regulatory excellence are an outcome of high quality care. </w:t>
      </w:r>
      <w:r>
        <w:rPr>
          <w:rFonts w:asciiTheme="minorHAnsi" w:hAnsiTheme="minorHAnsi" w:cs="Arial"/>
          <w:color w:val="1F1F1F"/>
          <w:szCs w:val="22"/>
          <w:lang w:val="en"/>
        </w:rPr>
        <w:t xml:space="preserve">The </w:t>
      </w:r>
      <w:r w:rsidRPr="00543ED6">
        <w:rPr>
          <w:rFonts w:asciiTheme="minorHAnsi" w:hAnsiTheme="minorHAnsi" w:cs="Arial"/>
          <w:color w:val="1F1F1F"/>
          <w:szCs w:val="22"/>
          <w:lang w:val="en"/>
        </w:rPr>
        <w:t>Health and Social Care (Quality and Engagement) (Wales) Bill</w:t>
      </w:r>
      <w:r>
        <w:rPr>
          <w:rFonts w:asciiTheme="minorHAnsi" w:hAnsiTheme="minorHAnsi" w:cs="Arial"/>
          <w:szCs w:val="22"/>
          <w:shd w:val="clear" w:color="auto" w:fill="FFFFFF"/>
        </w:rPr>
        <w:t xml:space="preserve"> will provide the legislative framework through which quality will be expressed, and Health Boards held to account.</w:t>
      </w:r>
    </w:p>
    <w:p w14:paraId="34F3418F" w14:textId="77777777" w:rsidR="00ED3450" w:rsidRDefault="00ED3450" w:rsidP="00ED3450">
      <w:pPr>
        <w:rPr>
          <w:rFonts w:asciiTheme="minorHAnsi" w:hAnsiTheme="minorHAnsi" w:cs="Arial"/>
          <w:szCs w:val="22"/>
          <w:shd w:val="clear" w:color="auto" w:fill="FFFFFF"/>
        </w:rPr>
      </w:pPr>
    </w:p>
    <w:p w14:paraId="7326DB32" w14:textId="77777777" w:rsidR="00ED3450" w:rsidRDefault="00ED3450" w:rsidP="00ED3450">
      <w:pPr>
        <w:rPr>
          <w:rFonts w:asciiTheme="minorHAnsi" w:eastAsiaTheme="minorEastAsia" w:hAnsiTheme="minorHAnsi" w:cstheme="minorHAnsi"/>
          <w:bCs/>
          <w:kern w:val="24"/>
          <w:szCs w:val="22"/>
        </w:rPr>
      </w:pPr>
      <w:r>
        <w:rPr>
          <w:rFonts w:asciiTheme="minorHAnsi" w:hAnsiTheme="minorHAnsi" w:cs="Arial"/>
          <w:szCs w:val="22"/>
          <w:shd w:val="clear" w:color="auto" w:fill="FFFFFF"/>
        </w:rPr>
        <w:t xml:space="preserve">During 2019, the Quality and Patient Safety Governance Framework was developed to enable and establish systems and processes and </w:t>
      </w:r>
      <w:r w:rsidRPr="0020655A">
        <w:rPr>
          <w:rFonts w:asciiTheme="minorHAnsi" w:hAnsiTheme="minorHAnsi" w:cs="Arial"/>
          <w:szCs w:val="22"/>
          <w:shd w:val="clear" w:color="auto" w:fill="FFFFFF"/>
        </w:rPr>
        <w:t xml:space="preserve">approved related to quality governance and improve the approach to assurance across the organisation. The framework identified the resources required to underpin its implementation. </w:t>
      </w:r>
      <w:r w:rsidRPr="0020655A">
        <w:rPr>
          <w:rFonts w:asciiTheme="minorHAnsi" w:eastAsiaTheme="minorEastAsia" w:hAnsiTheme="minorHAnsi" w:cstheme="minorHAnsi"/>
          <w:bCs/>
          <w:kern w:val="24"/>
          <w:szCs w:val="22"/>
        </w:rPr>
        <w:t>Progress made and the challenges faced, in implementing the quality &amp; patient safety governance framework, are highlighted below:</w:t>
      </w:r>
    </w:p>
    <w:p w14:paraId="6E596F79" w14:textId="77777777" w:rsidR="0020655A" w:rsidRPr="0020655A" w:rsidRDefault="0020655A" w:rsidP="00ED3450">
      <w:pPr>
        <w:rPr>
          <w:rFonts w:asciiTheme="minorHAnsi" w:eastAsiaTheme="minorEastAsia" w:hAnsiTheme="minorHAnsi" w:cstheme="minorHAnsi"/>
          <w:bCs/>
          <w:kern w:val="24"/>
          <w:szCs w:val="22"/>
        </w:rPr>
      </w:pPr>
    </w:p>
    <w:tbl>
      <w:tblPr>
        <w:tblStyle w:val="TableGrid"/>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4106"/>
        <w:gridCol w:w="5812"/>
      </w:tblGrid>
      <w:tr w:rsidR="0020655A" w:rsidRPr="0020655A" w14:paraId="3A96F3B4" w14:textId="77777777" w:rsidTr="0020655A">
        <w:tc>
          <w:tcPr>
            <w:tcW w:w="4106" w:type="dxa"/>
          </w:tcPr>
          <w:p w14:paraId="34FC4A25" w14:textId="77777777" w:rsidR="0020655A" w:rsidRPr="0020655A" w:rsidRDefault="0020655A" w:rsidP="000642A7">
            <w:pPr>
              <w:rPr>
                <w:rFonts w:asciiTheme="minorHAnsi" w:eastAsiaTheme="minorEastAsia" w:hAnsiTheme="minorHAnsi" w:cstheme="minorHAnsi"/>
                <w:b/>
                <w:bCs/>
                <w:kern w:val="24"/>
                <w:sz w:val="22"/>
                <w:szCs w:val="22"/>
              </w:rPr>
            </w:pPr>
            <w:r w:rsidRPr="0020655A">
              <w:rPr>
                <w:rFonts w:asciiTheme="minorHAnsi" w:eastAsiaTheme="minorEastAsia" w:hAnsiTheme="minorHAnsi" w:cstheme="minorHAnsi"/>
                <w:b/>
                <w:bCs/>
                <w:kern w:val="24"/>
                <w:sz w:val="22"/>
                <w:szCs w:val="22"/>
              </w:rPr>
              <w:t xml:space="preserve">Progress during 2019:  </w:t>
            </w:r>
          </w:p>
        </w:tc>
        <w:tc>
          <w:tcPr>
            <w:tcW w:w="5812" w:type="dxa"/>
          </w:tcPr>
          <w:p w14:paraId="4DB52D48" w14:textId="77777777" w:rsidR="0020655A" w:rsidRPr="0020655A" w:rsidRDefault="0020655A" w:rsidP="000642A7">
            <w:pPr>
              <w:rPr>
                <w:rFonts w:asciiTheme="minorHAnsi" w:eastAsiaTheme="minorEastAsia" w:hAnsiTheme="minorHAnsi" w:cstheme="minorHAnsi"/>
                <w:b/>
                <w:bCs/>
                <w:kern w:val="24"/>
                <w:sz w:val="22"/>
                <w:szCs w:val="22"/>
              </w:rPr>
            </w:pPr>
            <w:r w:rsidRPr="0020655A">
              <w:rPr>
                <w:rFonts w:asciiTheme="minorHAnsi" w:eastAsiaTheme="minorEastAsia" w:hAnsiTheme="minorHAnsi" w:cstheme="minorHAnsi"/>
                <w:b/>
                <w:bCs/>
                <w:kern w:val="24"/>
                <w:sz w:val="22"/>
                <w:szCs w:val="22"/>
              </w:rPr>
              <w:t xml:space="preserve">Challenges for 2020- 2023: </w:t>
            </w:r>
          </w:p>
        </w:tc>
      </w:tr>
      <w:tr w:rsidR="0020655A" w:rsidRPr="0020655A" w14:paraId="16F8569A" w14:textId="77777777" w:rsidTr="0020655A">
        <w:tc>
          <w:tcPr>
            <w:tcW w:w="4106" w:type="dxa"/>
          </w:tcPr>
          <w:p w14:paraId="4C102458" w14:textId="77777777" w:rsidR="0020655A" w:rsidRPr="0020655A" w:rsidRDefault="0020655A" w:rsidP="003B1653">
            <w:pPr>
              <w:numPr>
                <w:ilvl w:val="0"/>
                <w:numId w:val="97"/>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Increased clinical and management engagement</w:t>
            </w:r>
          </w:p>
          <w:p w14:paraId="224F29A6" w14:textId="77777777" w:rsidR="0020655A" w:rsidRPr="0020655A" w:rsidRDefault="0020655A" w:rsidP="003B1653">
            <w:pPr>
              <w:numPr>
                <w:ilvl w:val="0"/>
                <w:numId w:val="97"/>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Review of directorate governance arrangements (reporting December)</w:t>
            </w:r>
          </w:p>
          <w:p w14:paraId="51FD8B70" w14:textId="77777777" w:rsidR="0020655A" w:rsidRPr="0020655A" w:rsidRDefault="0020655A" w:rsidP="003B1653">
            <w:pPr>
              <w:numPr>
                <w:ilvl w:val="0"/>
                <w:numId w:val="97"/>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Alignment with values &amp; behaviours work &amp; targeted intervention workstream</w:t>
            </w:r>
          </w:p>
          <w:p w14:paraId="06DB2221" w14:textId="77777777" w:rsidR="0020655A" w:rsidRPr="0020655A" w:rsidRDefault="0020655A" w:rsidP="003B1653">
            <w:pPr>
              <w:numPr>
                <w:ilvl w:val="0"/>
                <w:numId w:val="97"/>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 xml:space="preserve">Quality dashboard development </w:t>
            </w:r>
          </w:p>
          <w:p w14:paraId="1FB908AF" w14:textId="77777777" w:rsidR="0020655A" w:rsidRPr="0020655A" w:rsidRDefault="0020655A" w:rsidP="003B1653">
            <w:pPr>
              <w:numPr>
                <w:ilvl w:val="0"/>
                <w:numId w:val="97"/>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All sub groups established, terms of reference review March 2020</w:t>
            </w:r>
          </w:p>
          <w:p w14:paraId="188ED9FF" w14:textId="77777777" w:rsidR="0020655A" w:rsidRPr="0020655A" w:rsidRDefault="0020655A" w:rsidP="003B1653">
            <w:pPr>
              <w:numPr>
                <w:ilvl w:val="0"/>
                <w:numId w:val="97"/>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Clinical policies sub group established, good engagement, reporting into Quality Improvement &amp; Clinical Effectiveness subgroup</w:t>
            </w:r>
          </w:p>
          <w:p w14:paraId="3B4DDCDC" w14:textId="77777777" w:rsidR="0020655A" w:rsidRPr="0020655A" w:rsidRDefault="0020655A" w:rsidP="003B1653">
            <w:pPr>
              <w:numPr>
                <w:ilvl w:val="0"/>
                <w:numId w:val="97"/>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Refresh of the framework underway</w:t>
            </w:r>
          </w:p>
          <w:p w14:paraId="351EB9DE" w14:textId="77777777" w:rsidR="0020655A" w:rsidRPr="0020655A" w:rsidRDefault="0020655A" w:rsidP="003B1653">
            <w:pPr>
              <w:numPr>
                <w:ilvl w:val="0"/>
                <w:numId w:val="97"/>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 xml:space="preserve">Quality governance webpage developing </w:t>
            </w:r>
          </w:p>
          <w:p w14:paraId="3A3FFFAA" w14:textId="4732C052" w:rsidR="0020655A" w:rsidRPr="0020655A" w:rsidRDefault="0020655A" w:rsidP="003B1653">
            <w:pPr>
              <w:numPr>
                <w:ilvl w:val="0"/>
                <w:numId w:val="97"/>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 xml:space="preserve">Standardised assurance templates finalised </w:t>
            </w:r>
          </w:p>
        </w:tc>
        <w:tc>
          <w:tcPr>
            <w:tcW w:w="5812" w:type="dxa"/>
          </w:tcPr>
          <w:p w14:paraId="443FFDF1" w14:textId="77777777" w:rsidR="0020655A" w:rsidRPr="0020655A" w:rsidRDefault="0020655A" w:rsidP="003B1653">
            <w:pPr>
              <w:numPr>
                <w:ilvl w:val="0"/>
                <w:numId w:val="98"/>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Generating and sharing learning at pace</w:t>
            </w:r>
          </w:p>
          <w:p w14:paraId="65FDD094" w14:textId="77777777" w:rsidR="0020655A" w:rsidRPr="0020655A" w:rsidRDefault="0020655A" w:rsidP="003B1653">
            <w:pPr>
              <w:numPr>
                <w:ilvl w:val="0"/>
                <w:numId w:val="98"/>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Ensuring full implementation of the recommendations and applying learning following external reviews</w:t>
            </w:r>
          </w:p>
          <w:p w14:paraId="5537A949" w14:textId="77777777" w:rsidR="0020655A" w:rsidRPr="0020655A" w:rsidRDefault="0020655A" w:rsidP="003B1653">
            <w:pPr>
              <w:numPr>
                <w:ilvl w:val="0"/>
                <w:numId w:val="98"/>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 xml:space="preserve">Securing and developing clinical and management leadership &amp; engagement, including front line staff </w:t>
            </w:r>
          </w:p>
          <w:p w14:paraId="53664875" w14:textId="77777777" w:rsidR="0020655A" w:rsidRPr="0020655A" w:rsidRDefault="0020655A" w:rsidP="003B1653">
            <w:pPr>
              <w:numPr>
                <w:ilvl w:val="0"/>
                <w:numId w:val="98"/>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 xml:space="preserve">Bridging the disconnect between service delivery, middle management and Board </w:t>
            </w:r>
          </w:p>
          <w:p w14:paraId="15F6A2C6" w14:textId="77777777" w:rsidR="0020655A" w:rsidRPr="0020655A" w:rsidRDefault="0020655A" w:rsidP="003B1653">
            <w:pPr>
              <w:numPr>
                <w:ilvl w:val="0"/>
                <w:numId w:val="98"/>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Addressing variation in directorate governance arrangements and spreading good practice</w:t>
            </w:r>
          </w:p>
          <w:p w14:paraId="31CF397B" w14:textId="77777777" w:rsidR="0020655A" w:rsidRPr="0020655A" w:rsidRDefault="0020655A" w:rsidP="003B1653">
            <w:pPr>
              <w:numPr>
                <w:ilvl w:val="0"/>
                <w:numId w:val="98"/>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 xml:space="preserve">Embedding quality governance within new organisational structure at all levels: capacity and capability </w:t>
            </w:r>
          </w:p>
          <w:p w14:paraId="75DCFC52" w14:textId="77777777" w:rsidR="0020655A" w:rsidRPr="0020655A" w:rsidRDefault="0020655A" w:rsidP="003B1653">
            <w:pPr>
              <w:numPr>
                <w:ilvl w:val="0"/>
                <w:numId w:val="98"/>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Sustained clinical leadership and ownership of sub groups</w:t>
            </w:r>
          </w:p>
          <w:p w14:paraId="39C8D16C" w14:textId="77777777" w:rsidR="0020655A" w:rsidRPr="0020655A" w:rsidRDefault="0020655A" w:rsidP="003B1653">
            <w:pPr>
              <w:numPr>
                <w:ilvl w:val="0"/>
                <w:numId w:val="98"/>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 xml:space="preserve">Ensuring refresh of the framework increases its utility </w:t>
            </w:r>
          </w:p>
          <w:p w14:paraId="6816EAFB" w14:textId="77777777" w:rsidR="0020655A" w:rsidRPr="0020655A" w:rsidRDefault="0020655A" w:rsidP="003B1653">
            <w:pPr>
              <w:numPr>
                <w:ilvl w:val="0"/>
                <w:numId w:val="98"/>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Sustainable focus and pace at a time of senior leadership flux &amp; competing priorities and demand</w:t>
            </w:r>
          </w:p>
          <w:p w14:paraId="52419BB7" w14:textId="77777777" w:rsidR="0020655A" w:rsidRPr="0020655A" w:rsidRDefault="0020655A" w:rsidP="003B1653">
            <w:pPr>
              <w:numPr>
                <w:ilvl w:val="0"/>
                <w:numId w:val="98"/>
              </w:numPr>
              <w:kinsoku w:val="0"/>
              <w:overflowPunct w:val="0"/>
              <w:contextualSpacing/>
              <w:jc w:val="left"/>
              <w:textAlignment w:val="baseline"/>
              <w:rPr>
                <w:rFonts w:asciiTheme="minorHAnsi" w:hAnsiTheme="minorHAnsi" w:cstheme="minorHAnsi"/>
                <w:sz w:val="22"/>
                <w:szCs w:val="22"/>
              </w:rPr>
            </w:pPr>
            <w:r w:rsidRPr="0020655A">
              <w:rPr>
                <w:rFonts w:asciiTheme="minorHAnsi" w:eastAsiaTheme="minorEastAsia" w:hAnsiTheme="minorHAnsi" w:cstheme="minorHAnsi"/>
                <w:kern w:val="24"/>
                <w:sz w:val="22"/>
                <w:szCs w:val="22"/>
              </w:rPr>
              <w:t xml:space="preserve">Meeting expectations re performance and finance </w:t>
            </w:r>
          </w:p>
          <w:p w14:paraId="1C6983F7" w14:textId="191CC810" w:rsidR="0020655A" w:rsidRPr="0020655A" w:rsidRDefault="0020655A" w:rsidP="003B1653">
            <w:pPr>
              <w:pStyle w:val="ListParagraph"/>
              <w:numPr>
                <w:ilvl w:val="0"/>
                <w:numId w:val="98"/>
              </w:numPr>
              <w:rPr>
                <w:rFonts w:asciiTheme="minorHAnsi" w:hAnsiTheme="minorHAnsi"/>
                <w:sz w:val="22"/>
                <w:szCs w:val="22"/>
              </w:rPr>
            </w:pPr>
            <w:r w:rsidRPr="0020655A">
              <w:rPr>
                <w:rFonts w:asciiTheme="minorHAnsi" w:hAnsiTheme="minorHAnsi"/>
                <w:sz w:val="22"/>
                <w:szCs w:val="22"/>
              </w:rPr>
              <w:t>Continuing to embed quality governance alongside the values and behaviours and the new structures</w:t>
            </w:r>
          </w:p>
        </w:tc>
      </w:tr>
    </w:tbl>
    <w:p w14:paraId="5C06A393" w14:textId="0CB625AE" w:rsidR="00095F39" w:rsidRPr="00A73D1D" w:rsidRDefault="00095F39" w:rsidP="00AC05FA">
      <w:pPr>
        <w:pStyle w:val="Heading2"/>
      </w:pPr>
      <w:bookmarkStart w:id="68" w:name="_Toc25262172"/>
      <w:r w:rsidRPr="00A73D1D">
        <w:lastRenderedPageBreak/>
        <w:t xml:space="preserve">Quality Assurance </w:t>
      </w:r>
      <w:r w:rsidR="00166177" w:rsidRPr="00A73D1D">
        <w:t>and Quality Improvement</w:t>
      </w:r>
      <w:bookmarkEnd w:id="67"/>
      <w:bookmarkEnd w:id="68"/>
    </w:p>
    <w:p w14:paraId="415E2A57" w14:textId="77777777" w:rsidR="0020655A" w:rsidRDefault="0020655A" w:rsidP="0020655A">
      <w:pPr>
        <w:rPr>
          <w:rFonts w:asciiTheme="minorHAnsi" w:hAnsiTheme="minorHAnsi"/>
          <w:szCs w:val="22"/>
        </w:rPr>
      </w:pPr>
      <w:bookmarkStart w:id="69" w:name="_Toc536195557"/>
      <w:r w:rsidRPr="0062325D">
        <w:rPr>
          <w:rFonts w:asciiTheme="minorHAnsi" w:hAnsiTheme="minorHAnsi"/>
          <w:szCs w:val="22"/>
        </w:rPr>
        <w:t>Quality assurance provides a systematic approach to maintaining consistently high</w:t>
      </w:r>
      <w:r>
        <w:rPr>
          <w:rFonts w:asciiTheme="minorHAnsi" w:hAnsiTheme="minorHAnsi"/>
          <w:szCs w:val="22"/>
        </w:rPr>
        <w:t xml:space="preserve"> quality through ongoing measurement</w:t>
      </w:r>
      <w:r w:rsidRPr="0062325D">
        <w:rPr>
          <w:rFonts w:asciiTheme="minorHAnsi" w:hAnsiTheme="minorHAnsi"/>
          <w:szCs w:val="22"/>
        </w:rPr>
        <w:t xml:space="preserve"> and reporting on </w:t>
      </w:r>
      <w:r>
        <w:rPr>
          <w:rFonts w:asciiTheme="minorHAnsi" w:hAnsiTheme="minorHAnsi"/>
          <w:szCs w:val="22"/>
        </w:rPr>
        <w:t>safety, effectiveness and experience, identifying areas</w:t>
      </w:r>
      <w:r w:rsidRPr="0062325D">
        <w:rPr>
          <w:rFonts w:asciiTheme="minorHAnsi" w:hAnsiTheme="minorHAnsi"/>
          <w:szCs w:val="22"/>
        </w:rPr>
        <w:t xml:space="preserve"> for improvement and enabling the sharing of good practice.  </w:t>
      </w:r>
      <w:r>
        <w:rPr>
          <w:rFonts w:asciiTheme="minorHAnsi" w:hAnsiTheme="minorHAnsi"/>
          <w:szCs w:val="22"/>
        </w:rPr>
        <w:t>In 2020, the Health Board will continue this work.</w:t>
      </w:r>
    </w:p>
    <w:p w14:paraId="548B1183" w14:textId="77777777" w:rsidR="0020655A" w:rsidRDefault="0020655A" w:rsidP="0020655A">
      <w:pPr>
        <w:rPr>
          <w:rFonts w:asciiTheme="minorHAnsi" w:hAnsiTheme="minorHAnsi"/>
          <w:szCs w:val="22"/>
        </w:rPr>
      </w:pPr>
    </w:p>
    <w:p w14:paraId="762BBA7C" w14:textId="77777777" w:rsidR="0020655A" w:rsidRDefault="0020655A" w:rsidP="0020655A">
      <w:pPr>
        <w:rPr>
          <w:rFonts w:asciiTheme="minorHAnsi" w:hAnsiTheme="minorHAnsi"/>
          <w:szCs w:val="22"/>
        </w:rPr>
      </w:pPr>
      <w:r>
        <w:rPr>
          <w:rFonts w:asciiTheme="minorHAnsi" w:hAnsiTheme="minorHAnsi"/>
          <w:szCs w:val="22"/>
        </w:rPr>
        <w:t xml:space="preserve">The Board delegates assurance of quality through the Quality &amp; Safety Committee. The Quality &amp; Safety Committee in turn, now delegates appropriately to the relevant subcommittee. The newly established four sub committees of Quality &amp; Safety Committee: Quality Assurance, Patient Experience, Quality Improvement and Clinical Effectiveness and Quality Governance and Learning are now functioning and will be further embedded and reviewed as the organisation continues on its improvement journey. </w:t>
      </w:r>
    </w:p>
    <w:p w14:paraId="069E1678" w14:textId="77777777" w:rsidR="0020655A" w:rsidRDefault="0020655A" w:rsidP="0020655A">
      <w:pPr>
        <w:rPr>
          <w:rFonts w:asciiTheme="minorHAnsi" w:hAnsiTheme="minorHAnsi"/>
          <w:szCs w:val="22"/>
        </w:rPr>
      </w:pPr>
    </w:p>
    <w:p w14:paraId="79D0B0F6" w14:textId="77777777" w:rsidR="0020655A" w:rsidRDefault="0020655A" w:rsidP="0020655A">
      <w:pPr>
        <w:rPr>
          <w:rFonts w:asciiTheme="minorHAnsi" w:hAnsiTheme="minorHAnsi" w:cs="Arial"/>
          <w:szCs w:val="22"/>
          <w:shd w:val="clear" w:color="auto" w:fill="FFFFFF"/>
        </w:rPr>
      </w:pPr>
      <w:r>
        <w:rPr>
          <w:rFonts w:asciiTheme="minorHAnsi" w:hAnsiTheme="minorHAnsi" w:cs="Arial"/>
          <w:szCs w:val="22"/>
          <w:shd w:val="clear" w:color="auto" w:fill="FFFFFF"/>
        </w:rPr>
        <w:t>Recognising that the management of risk in the organisation requires further development, the interim Board Secretary is reviewing current arrangement and develop a new plan to ensure that risks are identified, reviewed and mitigated against as a core part of governance at all levels. This will support a clear line of sight from the front line of care to the Board and enhanced interface between Quality &amp; Safety Committee and the Audit committees.</w:t>
      </w:r>
    </w:p>
    <w:p w14:paraId="5621D67C" w14:textId="77777777" w:rsidR="0020655A" w:rsidRDefault="0020655A" w:rsidP="0020655A">
      <w:pPr>
        <w:rPr>
          <w:rFonts w:asciiTheme="minorHAnsi" w:hAnsiTheme="minorHAnsi"/>
          <w:szCs w:val="22"/>
        </w:rPr>
      </w:pPr>
    </w:p>
    <w:p w14:paraId="6B2E3C78" w14:textId="77777777" w:rsidR="0020655A" w:rsidRDefault="0020655A" w:rsidP="0020655A">
      <w:pPr>
        <w:rPr>
          <w:rFonts w:asciiTheme="minorHAnsi" w:hAnsiTheme="minorHAnsi"/>
          <w:szCs w:val="22"/>
        </w:rPr>
      </w:pPr>
      <w:r>
        <w:rPr>
          <w:rFonts w:asciiTheme="minorHAnsi" w:hAnsiTheme="minorHAnsi"/>
          <w:szCs w:val="22"/>
        </w:rPr>
        <w:t xml:space="preserve">At Executive level, with the recent commencement of the Director of Therapies in post, there are three new Clinical Executives. They, along with the Director of Public Health will work in partnership and share collective responsibility for quality across the organisation. As three of the four Quality &amp; Safety sub committees are chaired by a Clinical Executive, there are clear plans to further strengthen governance in relation to all areas including national mandatory audits, patient engagement, public involvement and the use of validated data and evidence. This will build on the work commenced in 2018-19. </w:t>
      </w:r>
    </w:p>
    <w:p w14:paraId="67D2B73C" w14:textId="77777777" w:rsidR="0020655A" w:rsidRDefault="0020655A" w:rsidP="0020655A">
      <w:pPr>
        <w:rPr>
          <w:rFonts w:asciiTheme="minorHAnsi" w:hAnsiTheme="minorHAnsi"/>
          <w:szCs w:val="22"/>
        </w:rPr>
      </w:pPr>
    </w:p>
    <w:p w14:paraId="19CC6B84" w14:textId="77777777" w:rsidR="0020655A" w:rsidRDefault="0020655A" w:rsidP="0020655A">
      <w:pPr>
        <w:rPr>
          <w:rFonts w:asciiTheme="minorHAnsi" w:hAnsiTheme="minorHAnsi" w:cs="Arial"/>
          <w:szCs w:val="22"/>
          <w:shd w:val="clear" w:color="auto" w:fill="FFFFFF"/>
        </w:rPr>
      </w:pPr>
      <w:r>
        <w:rPr>
          <w:rFonts w:asciiTheme="minorHAnsi" w:hAnsiTheme="minorHAnsi"/>
          <w:szCs w:val="22"/>
        </w:rPr>
        <w:t xml:space="preserve">Medical leadership in relation to quality across the organisation will also be strengthened through the new operating model. </w:t>
      </w:r>
      <w:r>
        <w:rPr>
          <w:rFonts w:asciiTheme="minorHAnsi" w:hAnsiTheme="minorHAnsi" w:cs="Arial"/>
          <w:szCs w:val="22"/>
          <w:shd w:val="clear" w:color="auto" w:fill="FFFFFF"/>
        </w:rPr>
        <w:t>At all levels, development around quality will be implemented through the workforce and OD work streams.</w:t>
      </w:r>
    </w:p>
    <w:p w14:paraId="52455DF3" w14:textId="77777777" w:rsidR="0020655A" w:rsidRDefault="0020655A" w:rsidP="0020655A">
      <w:pPr>
        <w:rPr>
          <w:rFonts w:asciiTheme="minorHAnsi" w:hAnsiTheme="minorHAnsi"/>
          <w:szCs w:val="22"/>
        </w:rPr>
      </w:pPr>
    </w:p>
    <w:p w14:paraId="4A32198E" w14:textId="77777777" w:rsidR="0020655A" w:rsidRDefault="0020655A" w:rsidP="0020655A">
      <w:pPr>
        <w:rPr>
          <w:rFonts w:asciiTheme="minorHAnsi" w:hAnsiTheme="minorHAnsi"/>
          <w:szCs w:val="22"/>
        </w:rPr>
      </w:pPr>
      <w:r>
        <w:rPr>
          <w:rFonts w:asciiTheme="minorHAnsi" w:hAnsiTheme="minorHAnsi"/>
          <w:szCs w:val="22"/>
        </w:rPr>
        <w:t>In order to support the quality improvement approach to enhancing the care we provide, to reduce unwarranted variation and to support the pockets of good practice in relation to improvement methodology already in place, a Health Board wide quality improvement function is being established. Looking outwards to learn from others and enhancing our openness and transparency, this will be in partnership with Improvement Cymru.</w:t>
      </w:r>
    </w:p>
    <w:p w14:paraId="7F0B3419" w14:textId="77777777" w:rsidR="0020655A" w:rsidRDefault="0020655A" w:rsidP="0020655A">
      <w:pPr>
        <w:rPr>
          <w:rFonts w:asciiTheme="minorHAnsi" w:hAnsiTheme="minorHAnsi"/>
          <w:szCs w:val="22"/>
        </w:rPr>
      </w:pPr>
    </w:p>
    <w:p w14:paraId="6BDAA947" w14:textId="77777777" w:rsidR="0020655A" w:rsidRDefault="0020655A" w:rsidP="0020655A">
      <w:pPr>
        <w:rPr>
          <w:rFonts w:asciiTheme="minorHAnsi" w:hAnsiTheme="minorHAnsi"/>
          <w:szCs w:val="22"/>
        </w:rPr>
      </w:pPr>
      <w:r>
        <w:rPr>
          <w:rFonts w:asciiTheme="minorHAnsi" w:hAnsiTheme="minorHAnsi"/>
          <w:szCs w:val="22"/>
        </w:rPr>
        <w:t>At Directorate level (pending the implementation of the new operating model) the principles and good practice outlined in the framework are starting to be embedded through the quality governance meetings where the quality domains and any issues / risks are discussed. Standardised templates for reports and escalation will become the norm. Quality concerns, issues, risks and any reparative actions are now escalated through the clinical business meetings (CBMs). Enhancing and building governance capacity at Directorate level was endorsed by Quality &amp; Safety Committee through to the Board. These service level committees are being reviewed to ensure that the quality focus is robust and that there is a unified approach across the Health Board. Furthermore, in order to join up planning with quality, performance and finance, all of the IMTP proposals will be independently reviewed for their quality impact. In future years, this will become more evidence based.</w:t>
      </w:r>
    </w:p>
    <w:p w14:paraId="3E9CEEEC" w14:textId="77777777" w:rsidR="0020655A" w:rsidRDefault="0020655A" w:rsidP="0020655A">
      <w:pPr>
        <w:rPr>
          <w:rFonts w:asciiTheme="minorHAnsi" w:hAnsiTheme="minorHAnsi"/>
          <w:szCs w:val="22"/>
        </w:rPr>
      </w:pPr>
    </w:p>
    <w:p w14:paraId="25869D64" w14:textId="77777777" w:rsidR="0020655A" w:rsidRPr="00C72202" w:rsidRDefault="0020655A" w:rsidP="0020655A">
      <w:pPr>
        <w:rPr>
          <w:rFonts w:asciiTheme="minorHAnsi" w:hAnsiTheme="minorHAnsi"/>
          <w:szCs w:val="22"/>
        </w:rPr>
      </w:pPr>
      <w:r>
        <w:rPr>
          <w:rFonts w:asciiTheme="minorHAnsi" w:hAnsiTheme="minorHAnsi"/>
          <w:szCs w:val="22"/>
        </w:rPr>
        <w:t>A clear step change, which will continue to be built on over the next three years, is the emphasis that quality is not only a nursing responsibility, rather it is the responsibility of all who work in the Health Board. This transition has commenced as part of the engagement work in embedding the new framework.</w:t>
      </w:r>
      <w:r w:rsidRPr="002D009E">
        <w:rPr>
          <w:rFonts w:asciiTheme="minorHAnsi" w:hAnsiTheme="minorHAnsi" w:cs="Arial"/>
          <w:szCs w:val="22"/>
        </w:rPr>
        <w:t xml:space="preserve"> </w:t>
      </w:r>
      <w:r>
        <w:rPr>
          <w:rFonts w:asciiTheme="minorHAnsi" w:hAnsiTheme="minorHAnsi" w:cs="Arial"/>
          <w:szCs w:val="22"/>
        </w:rPr>
        <w:t>T</w:t>
      </w:r>
      <w:r w:rsidRPr="0062325D">
        <w:rPr>
          <w:rFonts w:asciiTheme="minorHAnsi" w:hAnsiTheme="minorHAnsi" w:cs="Arial"/>
          <w:szCs w:val="22"/>
        </w:rPr>
        <w:t>his is underpinned by a strong Welsh Government legislative and policy context.</w:t>
      </w:r>
    </w:p>
    <w:p w14:paraId="200DA936" w14:textId="34CB40B6" w:rsidR="00095F39" w:rsidRPr="00A73D1D" w:rsidRDefault="00166177" w:rsidP="00F27379">
      <w:pPr>
        <w:pStyle w:val="Heading2"/>
        <w:rPr>
          <w:szCs w:val="22"/>
        </w:rPr>
      </w:pPr>
      <w:bookmarkStart w:id="70" w:name="_Toc25262173"/>
      <w:r w:rsidRPr="00A73D1D">
        <w:rPr>
          <w:szCs w:val="22"/>
        </w:rPr>
        <w:t>Add</w:t>
      </w:r>
      <w:r w:rsidR="00095F39" w:rsidRPr="00A73D1D">
        <w:rPr>
          <w:szCs w:val="22"/>
        </w:rPr>
        <w:t>ressing Quality Concerns</w:t>
      </w:r>
      <w:bookmarkEnd w:id="69"/>
      <w:bookmarkEnd w:id="70"/>
    </w:p>
    <w:p w14:paraId="1F487102" w14:textId="77777777" w:rsidR="0020655A" w:rsidRDefault="0020655A" w:rsidP="0020655A">
      <w:pPr>
        <w:rPr>
          <w:rFonts w:asciiTheme="minorHAnsi" w:hAnsiTheme="minorHAnsi"/>
          <w:szCs w:val="22"/>
        </w:rPr>
      </w:pPr>
      <w:bookmarkStart w:id="71" w:name="_Toc532299676"/>
      <w:bookmarkStart w:id="72" w:name="_Toc532463963"/>
      <w:bookmarkStart w:id="73" w:name="_Toc536195558"/>
      <w:bookmarkEnd w:id="47"/>
      <w:bookmarkEnd w:id="48"/>
      <w:bookmarkEnd w:id="49"/>
      <w:bookmarkEnd w:id="50"/>
      <w:bookmarkEnd w:id="51"/>
      <w:r w:rsidRPr="003C622D">
        <w:rPr>
          <w:rFonts w:asciiTheme="minorHAnsi" w:hAnsiTheme="minorHAnsi"/>
          <w:szCs w:val="22"/>
        </w:rPr>
        <w:t xml:space="preserve">The joint review by HIW and WAO </w:t>
      </w:r>
      <w:r>
        <w:rPr>
          <w:rFonts w:asciiTheme="minorHAnsi" w:hAnsiTheme="minorHAnsi"/>
          <w:szCs w:val="22"/>
        </w:rPr>
        <w:t xml:space="preserve">(November 201)9 </w:t>
      </w:r>
      <w:r w:rsidRPr="003C622D">
        <w:rPr>
          <w:rFonts w:asciiTheme="minorHAnsi" w:hAnsiTheme="minorHAnsi"/>
          <w:szCs w:val="22"/>
        </w:rPr>
        <w:t xml:space="preserve">identified that whilst developments are positive, the scale of the challenge to improve quality and patient safety governance is not to be underestimated and will require focused and sustained commitment by the </w:t>
      </w:r>
      <w:r>
        <w:rPr>
          <w:rFonts w:asciiTheme="minorHAnsi" w:hAnsiTheme="minorHAnsi"/>
          <w:szCs w:val="22"/>
        </w:rPr>
        <w:t>Health Board</w:t>
      </w:r>
      <w:r w:rsidRPr="003C622D">
        <w:rPr>
          <w:rFonts w:asciiTheme="minorHAnsi" w:hAnsiTheme="minorHAnsi"/>
          <w:szCs w:val="22"/>
        </w:rPr>
        <w:t xml:space="preserve">, the 14 recommendations re aimed at focussing the </w:t>
      </w:r>
      <w:r>
        <w:rPr>
          <w:rFonts w:asciiTheme="minorHAnsi" w:hAnsiTheme="minorHAnsi"/>
          <w:szCs w:val="22"/>
        </w:rPr>
        <w:t>Health Board</w:t>
      </w:r>
      <w:r w:rsidRPr="003C622D">
        <w:rPr>
          <w:rFonts w:asciiTheme="minorHAnsi" w:hAnsiTheme="minorHAnsi"/>
          <w:szCs w:val="22"/>
        </w:rPr>
        <w:t xml:space="preserve"> in addressing the issues raised. </w:t>
      </w:r>
    </w:p>
    <w:p w14:paraId="39242661" w14:textId="77777777" w:rsidR="0020655A" w:rsidRDefault="0020655A" w:rsidP="0020655A">
      <w:pPr>
        <w:rPr>
          <w:rFonts w:asciiTheme="minorHAnsi" w:hAnsiTheme="minorHAnsi"/>
          <w:szCs w:val="22"/>
        </w:rPr>
      </w:pPr>
    </w:p>
    <w:p w14:paraId="3AE12A1C" w14:textId="77777777" w:rsidR="0020655A" w:rsidRDefault="0020655A" w:rsidP="0020655A">
      <w:pPr>
        <w:rPr>
          <w:rFonts w:asciiTheme="minorHAnsi" w:hAnsiTheme="minorHAnsi" w:cstheme="minorHAnsi"/>
          <w:szCs w:val="22"/>
        </w:rPr>
      </w:pPr>
      <w:r w:rsidRPr="003C622D">
        <w:rPr>
          <w:rFonts w:asciiTheme="minorHAnsi" w:hAnsiTheme="minorHAnsi"/>
          <w:szCs w:val="22"/>
        </w:rPr>
        <w:lastRenderedPageBreak/>
        <w:t>The actions required are mirrored in the interventions being progressed to address the issues raised resulting in t</w:t>
      </w:r>
      <w:r w:rsidRPr="003C622D">
        <w:rPr>
          <w:rFonts w:asciiTheme="minorHAnsi" w:hAnsiTheme="minorHAnsi" w:cs="Arial"/>
          <w:szCs w:val="22"/>
        </w:rPr>
        <w:t xml:space="preserve">argeted interventions, the emerging programme of work has three key strands – quality and governance, leadership and culture and trust and confidence. Building on the experience of developing a maturity matrix for maternity services, a similar matrix for quality governance is being developed which will enable the </w:t>
      </w:r>
      <w:r>
        <w:rPr>
          <w:rFonts w:asciiTheme="minorHAnsi" w:hAnsiTheme="minorHAnsi" w:cs="Arial"/>
          <w:szCs w:val="22"/>
        </w:rPr>
        <w:t>Health Board</w:t>
      </w:r>
      <w:r w:rsidRPr="003C622D">
        <w:rPr>
          <w:rFonts w:asciiTheme="minorHAnsi" w:hAnsiTheme="minorHAnsi" w:cs="Arial"/>
          <w:szCs w:val="22"/>
        </w:rPr>
        <w:t xml:space="preserve"> to demonstrate progress and be held to account for it be external partners.  </w:t>
      </w:r>
      <w:r>
        <w:rPr>
          <w:rFonts w:asciiTheme="minorHAnsi" w:hAnsiTheme="minorHAnsi"/>
          <w:szCs w:val="22"/>
        </w:rPr>
        <w:t>In conjunction with the continued implementation of t</w:t>
      </w:r>
      <w:r w:rsidRPr="003C622D">
        <w:rPr>
          <w:rFonts w:asciiTheme="minorHAnsi" w:hAnsiTheme="minorHAnsi"/>
          <w:szCs w:val="22"/>
        </w:rPr>
        <w:t>he Quality and Pati</w:t>
      </w:r>
      <w:r>
        <w:rPr>
          <w:rFonts w:asciiTheme="minorHAnsi" w:hAnsiTheme="minorHAnsi"/>
          <w:szCs w:val="22"/>
        </w:rPr>
        <w:t xml:space="preserve">ent Safety Governance Framework, the Health Board will be better positioned to </w:t>
      </w:r>
      <w:r w:rsidRPr="003C622D">
        <w:rPr>
          <w:rFonts w:asciiTheme="minorHAnsi" w:hAnsiTheme="minorHAnsi"/>
          <w:szCs w:val="22"/>
        </w:rPr>
        <w:t>identify</w:t>
      </w:r>
      <w:r>
        <w:rPr>
          <w:rFonts w:asciiTheme="minorHAnsi" w:hAnsiTheme="minorHAnsi"/>
          <w:szCs w:val="22"/>
        </w:rPr>
        <w:t>, respond and learn from</w:t>
      </w:r>
      <w:r w:rsidRPr="003C622D">
        <w:rPr>
          <w:rFonts w:asciiTheme="minorHAnsi" w:hAnsiTheme="minorHAnsi"/>
          <w:szCs w:val="22"/>
        </w:rPr>
        <w:t xml:space="preserve"> quality concerns </w:t>
      </w:r>
      <w:r>
        <w:rPr>
          <w:rFonts w:asciiTheme="minorHAnsi" w:hAnsiTheme="minorHAnsi"/>
          <w:szCs w:val="22"/>
        </w:rPr>
        <w:t xml:space="preserve">in a timely way. The development of a learning culture is of utmost priority for the Health Board, and will continue to develop over the next three years. In addition to the work being undertaken by the Maternity Improvement Board (MIB), the Health Board is undertaking development work around response to concerns. This is being supported by the Delivery Unit and will be spread across the whole organisation. </w:t>
      </w:r>
      <w:r w:rsidRPr="008A562F">
        <w:rPr>
          <w:rFonts w:asciiTheme="minorHAnsi" w:hAnsiTheme="minorHAnsi" w:cstheme="minorHAnsi"/>
          <w:szCs w:val="22"/>
        </w:rPr>
        <w:t>The following identifies the high level developments and interventions required to achieve this:</w:t>
      </w:r>
    </w:p>
    <w:p w14:paraId="6B1949F6" w14:textId="77777777" w:rsidR="0020655A" w:rsidRDefault="0020655A" w:rsidP="0020655A">
      <w:pPr>
        <w:rPr>
          <w:rFonts w:asciiTheme="minorHAnsi" w:hAnsiTheme="minorHAnsi" w:cstheme="minorHAnsi"/>
          <w:szCs w:val="22"/>
        </w:rPr>
      </w:pPr>
    </w:p>
    <w:tbl>
      <w:tblPr>
        <w:tblStyle w:val="TableGrid"/>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9918"/>
      </w:tblGrid>
      <w:tr w:rsidR="0020655A" w:rsidRPr="0020655A" w14:paraId="51DBE7F0" w14:textId="77777777" w:rsidTr="0020655A">
        <w:trPr>
          <w:trHeight w:val="438"/>
        </w:trPr>
        <w:tc>
          <w:tcPr>
            <w:tcW w:w="9918" w:type="dxa"/>
            <w:shd w:val="clear" w:color="auto" w:fill="F2F2F2" w:themeFill="background1" w:themeFillShade="F2"/>
            <w:vAlign w:val="center"/>
          </w:tcPr>
          <w:p w14:paraId="79B5E33F" w14:textId="637804F5" w:rsidR="0020655A" w:rsidRPr="0020655A" w:rsidRDefault="0020655A" w:rsidP="0020655A">
            <w:pPr>
              <w:jc w:val="left"/>
              <w:rPr>
                <w:rFonts w:asciiTheme="minorHAnsi" w:hAnsiTheme="minorHAnsi"/>
                <w:b/>
                <w:sz w:val="22"/>
                <w:szCs w:val="22"/>
              </w:rPr>
            </w:pPr>
            <w:r w:rsidRPr="0020655A">
              <w:rPr>
                <w:rFonts w:asciiTheme="minorHAnsi" w:hAnsiTheme="minorHAnsi"/>
                <w:b/>
                <w:sz w:val="22"/>
                <w:szCs w:val="22"/>
              </w:rPr>
              <w:t xml:space="preserve">Overarching quality and patient safety priorities 2020 - 2023 </w:t>
            </w:r>
          </w:p>
        </w:tc>
      </w:tr>
      <w:tr w:rsidR="0020655A" w:rsidRPr="0020655A" w14:paraId="036D858A" w14:textId="77777777" w:rsidTr="0020655A">
        <w:tc>
          <w:tcPr>
            <w:tcW w:w="9918" w:type="dxa"/>
          </w:tcPr>
          <w:p w14:paraId="7C5DCC5C" w14:textId="77777777" w:rsidR="0020655A" w:rsidRPr="0020655A" w:rsidRDefault="0020655A" w:rsidP="000642A7">
            <w:pPr>
              <w:rPr>
                <w:rFonts w:asciiTheme="minorHAnsi" w:hAnsiTheme="minorHAnsi" w:cstheme="minorHAnsi"/>
                <w:color w:val="FF0000"/>
                <w:sz w:val="22"/>
                <w:szCs w:val="22"/>
              </w:rPr>
            </w:pPr>
            <w:r w:rsidRPr="0020655A">
              <w:rPr>
                <w:rFonts w:asciiTheme="minorHAnsi" w:eastAsiaTheme="minorEastAsia" w:hAnsiTheme="minorHAnsi" w:cstheme="minorHAnsi"/>
                <w:kern w:val="24"/>
                <w:sz w:val="22"/>
                <w:szCs w:val="22"/>
              </w:rPr>
              <w:t xml:space="preserve">1. </w:t>
            </w:r>
            <w:r w:rsidRPr="0020655A">
              <w:rPr>
                <w:rFonts w:asciiTheme="minorHAnsi" w:eastAsiaTheme="minorEastAsia" w:hAnsiTheme="minorHAnsi" w:cstheme="minorHAnsi"/>
                <w:b/>
                <w:kern w:val="24"/>
                <w:sz w:val="22"/>
                <w:szCs w:val="22"/>
              </w:rPr>
              <w:t>Strengthened focus on quality in strategic planning</w:t>
            </w:r>
            <w:r w:rsidRPr="0020655A">
              <w:rPr>
                <w:rFonts w:asciiTheme="minorHAnsi" w:eastAsiaTheme="minorEastAsia" w:hAnsiTheme="minorHAnsi" w:cstheme="minorHAnsi"/>
                <w:kern w:val="24"/>
                <w:sz w:val="22"/>
                <w:szCs w:val="22"/>
              </w:rPr>
              <w:t xml:space="preserve">: to include a whole system, population health perspective shaped by the wider integrated partnership agenda, aligned with each of the 5 ways of working outlined within the </w:t>
            </w:r>
            <w:r w:rsidRPr="0020655A">
              <w:rPr>
                <w:sz w:val="22"/>
                <w:szCs w:val="22"/>
                <w:lang w:val="en-US"/>
              </w:rPr>
              <w:t xml:space="preserve">Well-being of Future Generations (Wales) Act 2015. This includes the development of an Integrated Health &amp; Care Strategy with quality as the golden thread throughout it, and a </w:t>
            </w:r>
            <w:r w:rsidRPr="0020655A">
              <w:rPr>
                <w:rFonts w:asciiTheme="minorHAnsi" w:eastAsiaTheme="minorEastAsia" w:hAnsiTheme="minorHAnsi" w:cstheme="minorHAnsi"/>
                <w:kern w:val="24"/>
                <w:sz w:val="22"/>
                <w:szCs w:val="22"/>
              </w:rPr>
              <w:t xml:space="preserve">revised, joined up approach to developing the IMTP, including a ‘panel’ approach and strengthened guidance related to quality impact assessment  </w:t>
            </w:r>
          </w:p>
          <w:p w14:paraId="3575CE06" w14:textId="77777777" w:rsidR="0020655A" w:rsidRPr="0020655A" w:rsidRDefault="0020655A" w:rsidP="000642A7">
            <w:pPr>
              <w:rPr>
                <w:rFonts w:asciiTheme="minorHAnsi" w:hAnsiTheme="minorHAnsi"/>
                <w:sz w:val="22"/>
                <w:szCs w:val="22"/>
              </w:rPr>
            </w:pPr>
          </w:p>
        </w:tc>
      </w:tr>
      <w:tr w:rsidR="0020655A" w:rsidRPr="0020655A" w14:paraId="110F2518" w14:textId="77777777" w:rsidTr="0020655A">
        <w:tc>
          <w:tcPr>
            <w:tcW w:w="9918" w:type="dxa"/>
          </w:tcPr>
          <w:p w14:paraId="1BA8ABF1" w14:textId="77777777" w:rsidR="0020655A" w:rsidRPr="0020655A" w:rsidRDefault="0020655A" w:rsidP="000642A7">
            <w:pPr>
              <w:rPr>
                <w:rFonts w:asciiTheme="minorHAnsi" w:hAnsiTheme="minorHAnsi" w:cstheme="minorHAnsi"/>
                <w:color w:val="FF0000"/>
                <w:sz w:val="22"/>
                <w:szCs w:val="22"/>
              </w:rPr>
            </w:pPr>
            <w:r w:rsidRPr="0020655A">
              <w:rPr>
                <w:rFonts w:asciiTheme="minorHAnsi" w:eastAsiaTheme="minorEastAsia" w:hAnsiTheme="minorHAnsi" w:cstheme="minorHAnsi"/>
                <w:b/>
                <w:kern w:val="24"/>
                <w:sz w:val="22"/>
                <w:szCs w:val="22"/>
              </w:rPr>
              <w:t xml:space="preserve">2. Individuals’ voices are better heard: </w:t>
            </w:r>
            <w:r w:rsidRPr="0020655A">
              <w:rPr>
                <w:rFonts w:asciiTheme="minorHAnsi" w:eastAsiaTheme="minorEastAsia" w:hAnsiTheme="minorHAnsi" w:cstheme="minorHAnsi"/>
                <w:kern w:val="24"/>
                <w:sz w:val="22"/>
                <w:szCs w:val="22"/>
              </w:rPr>
              <w:t xml:space="preserve">actively enabled through coproduced values and behaviours, investment in real time and friends and family test, a strategic approach to patient stories and targeted focus on the individuals’ experience of the services provided by the Health Board, through the Patient Experience sub-group, reporting directly to Quality &amp; Safety Committee. This priority aligns with involvement and collaboration as aspects of the 5 ways of working. </w:t>
            </w:r>
          </w:p>
          <w:p w14:paraId="30D907DB" w14:textId="77777777" w:rsidR="0020655A" w:rsidRPr="0020655A" w:rsidRDefault="0020655A" w:rsidP="000642A7">
            <w:pPr>
              <w:rPr>
                <w:rFonts w:asciiTheme="minorHAnsi" w:hAnsiTheme="minorHAnsi"/>
                <w:sz w:val="22"/>
                <w:szCs w:val="22"/>
              </w:rPr>
            </w:pPr>
          </w:p>
        </w:tc>
      </w:tr>
      <w:tr w:rsidR="0020655A" w:rsidRPr="0020655A" w14:paraId="322E9CC1" w14:textId="77777777" w:rsidTr="0020655A">
        <w:tc>
          <w:tcPr>
            <w:tcW w:w="9918" w:type="dxa"/>
          </w:tcPr>
          <w:p w14:paraId="0D0EB69B" w14:textId="77777777" w:rsidR="0020655A" w:rsidRPr="0020655A" w:rsidRDefault="0020655A" w:rsidP="000642A7">
            <w:pPr>
              <w:rPr>
                <w:rFonts w:asciiTheme="minorHAnsi" w:eastAsiaTheme="minorEastAsia" w:hAnsiTheme="minorHAnsi" w:cstheme="minorHAnsi"/>
                <w:kern w:val="24"/>
                <w:sz w:val="22"/>
                <w:szCs w:val="22"/>
              </w:rPr>
            </w:pPr>
            <w:r w:rsidRPr="0020655A">
              <w:rPr>
                <w:rFonts w:asciiTheme="minorHAnsi" w:eastAsiaTheme="minorEastAsia" w:hAnsiTheme="minorHAnsi" w:cstheme="minorHAnsi"/>
                <w:b/>
                <w:kern w:val="24"/>
                <w:sz w:val="22"/>
                <w:szCs w:val="22"/>
              </w:rPr>
              <w:t xml:space="preserve">3. Shared learning and continuous quality improvement: </w:t>
            </w:r>
            <w:r w:rsidRPr="0020655A">
              <w:rPr>
                <w:rFonts w:asciiTheme="minorHAnsi" w:eastAsiaTheme="minorEastAsia" w:hAnsiTheme="minorHAnsi" w:cstheme="minorHAnsi"/>
                <w:kern w:val="24"/>
                <w:sz w:val="22"/>
                <w:szCs w:val="22"/>
              </w:rPr>
              <w:t>aligned with prevention and long term as aspects of 5 ways of working,</w:t>
            </w:r>
            <w:r w:rsidRPr="0020655A">
              <w:rPr>
                <w:rFonts w:asciiTheme="minorHAnsi" w:eastAsiaTheme="minorEastAsia" w:hAnsiTheme="minorHAnsi" w:cstheme="minorHAnsi"/>
                <w:b/>
                <w:kern w:val="24"/>
                <w:sz w:val="22"/>
                <w:szCs w:val="22"/>
              </w:rPr>
              <w:t xml:space="preserve"> </w:t>
            </w:r>
            <w:r w:rsidRPr="0020655A">
              <w:rPr>
                <w:rFonts w:asciiTheme="minorHAnsi" w:eastAsiaTheme="minorEastAsia" w:hAnsiTheme="minorHAnsi" w:cstheme="minorHAnsi"/>
                <w:kern w:val="24"/>
                <w:sz w:val="22"/>
                <w:szCs w:val="22"/>
              </w:rPr>
              <w:t xml:space="preserve">through improved triangulation of intelligence and data integrity via investment in data systems and staffing, review of national audit where outlier status is applied, development of a database of external reviews, reports, and improvement plans, utilising the learning and governance sub group appropriately. </w:t>
            </w:r>
          </w:p>
          <w:p w14:paraId="08800438" w14:textId="77777777" w:rsidR="0020655A" w:rsidRPr="0020655A" w:rsidRDefault="0020655A" w:rsidP="000642A7">
            <w:pPr>
              <w:rPr>
                <w:rFonts w:asciiTheme="minorHAnsi" w:hAnsiTheme="minorHAnsi"/>
                <w:sz w:val="22"/>
                <w:szCs w:val="22"/>
              </w:rPr>
            </w:pPr>
          </w:p>
        </w:tc>
      </w:tr>
      <w:tr w:rsidR="0020655A" w:rsidRPr="0020655A" w14:paraId="2DC6D487" w14:textId="77777777" w:rsidTr="0020655A">
        <w:tc>
          <w:tcPr>
            <w:tcW w:w="9918" w:type="dxa"/>
          </w:tcPr>
          <w:p w14:paraId="41406BBC" w14:textId="77777777" w:rsidR="0020655A" w:rsidRPr="0020655A" w:rsidRDefault="0020655A" w:rsidP="000642A7">
            <w:pPr>
              <w:rPr>
                <w:rFonts w:asciiTheme="minorHAnsi" w:hAnsiTheme="minorHAnsi" w:cstheme="minorHAnsi"/>
                <w:color w:val="FF0000"/>
                <w:sz w:val="22"/>
                <w:szCs w:val="22"/>
              </w:rPr>
            </w:pPr>
            <w:r w:rsidRPr="0020655A">
              <w:rPr>
                <w:rFonts w:asciiTheme="minorHAnsi" w:eastAsiaTheme="minorEastAsia" w:hAnsiTheme="minorHAnsi" w:cstheme="minorHAnsi"/>
                <w:b/>
                <w:kern w:val="24"/>
                <w:sz w:val="22"/>
                <w:szCs w:val="22"/>
              </w:rPr>
              <w:t xml:space="preserve">4. Risk better articulated, shared &amp; mitigated: </w:t>
            </w:r>
            <w:r w:rsidRPr="0020655A">
              <w:rPr>
                <w:rFonts w:asciiTheme="minorHAnsi" w:hAnsiTheme="minorHAnsi" w:cstheme="minorHAnsi"/>
                <w:sz w:val="22"/>
                <w:szCs w:val="22"/>
              </w:rPr>
              <w:t>following an</w:t>
            </w:r>
            <w:r w:rsidRPr="0020655A">
              <w:rPr>
                <w:rFonts w:asciiTheme="minorHAnsi" w:hAnsiTheme="minorHAnsi" w:cstheme="minorHAnsi"/>
                <w:b/>
                <w:sz w:val="22"/>
                <w:szCs w:val="22"/>
              </w:rPr>
              <w:t xml:space="preserve"> e</w:t>
            </w:r>
            <w:r w:rsidRPr="0020655A">
              <w:rPr>
                <w:rFonts w:asciiTheme="minorHAnsi" w:eastAsiaTheme="minorEastAsia" w:hAnsiTheme="minorHAnsi" w:cstheme="minorHAnsi"/>
                <w:kern w:val="24"/>
                <w:sz w:val="22"/>
                <w:szCs w:val="22"/>
              </w:rPr>
              <w:t xml:space="preserve">xtensive revision of the Health Board’s approach to and management of risk, improving sight of significant service specific concerns and risks, improved exception reporting to Quality &amp; Safety Committee and development of a harm review process. </w:t>
            </w:r>
            <w:proofErr w:type="gramStart"/>
            <w:r w:rsidRPr="0020655A">
              <w:rPr>
                <w:rFonts w:asciiTheme="minorHAnsi" w:eastAsiaTheme="minorEastAsia" w:hAnsiTheme="minorHAnsi" w:cstheme="minorHAnsi"/>
                <w:kern w:val="24"/>
                <w:sz w:val="22"/>
                <w:szCs w:val="22"/>
              </w:rPr>
              <w:t>this</w:t>
            </w:r>
            <w:proofErr w:type="gramEnd"/>
            <w:r w:rsidRPr="0020655A">
              <w:rPr>
                <w:rFonts w:asciiTheme="minorHAnsi" w:eastAsiaTheme="minorEastAsia" w:hAnsiTheme="minorHAnsi" w:cstheme="minorHAnsi"/>
                <w:kern w:val="24"/>
                <w:sz w:val="22"/>
                <w:szCs w:val="22"/>
              </w:rPr>
              <w:t xml:space="preserve"> priority aligns with each of the 5 ways of working. </w:t>
            </w:r>
          </w:p>
          <w:p w14:paraId="5F71DA0B" w14:textId="77777777" w:rsidR="0020655A" w:rsidRPr="0020655A" w:rsidRDefault="0020655A" w:rsidP="000642A7">
            <w:pPr>
              <w:rPr>
                <w:rFonts w:asciiTheme="minorHAnsi" w:hAnsiTheme="minorHAnsi"/>
                <w:sz w:val="22"/>
                <w:szCs w:val="22"/>
              </w:rPr>
            </w:pPr>
          </w:p>
        </w:tc>
      </w:tr>
      <w:tr w:rsidR="0020655A" w:rsidRPr="0020655A" w14:paraId="0864F2AA" w14:textId="77777777" w:rsidTr="0020655A">
        <w:tc>
          <w:tcPr>
            <w:tcW w:w="9918" w:type="dxa"/>
          </w:tcPr>
          <w:p w14:paraId="3FD41489" w14:textId="77777777" w:rsidR="0020655A" w:rsidRPr="0020655A" w:rsidRDefault="0020655A" w:rsidP="000642A7">
            <w:pPr>
              <w:rPr>
                <w:rFonts w:asciiTheme="minorHAnsi" w:hAnsiTheme="minorHAnsi" w:cstheme="minorHAnsi"/>
                <w:b/>
                <w:sz w:val="22"/>
                <w:szCs w:val="22"/>
              </w:rPr>
            </w:pPr>
            <w:r w:rsidRPr="0020655A">
              <w:rPr>
                <w:rFonts w:asciiTheme="minorHAnsi" w:eastAsiaTheme="minorEastAsia" w:hAnsiTheme="minorHAnsi" w:cstheme="minorHAnsi"/>
                <w:b/>
                <w:kern w:val="24"/>
                <w:sz w:val="22"/>
                <w:szCs w:val="22"/>
              </w:rPr>
              <w:t xml:space="preserve">5. Strengthened two-way Ward to Board sight: </w:t>
            </w:r>
            <w:r w:rsidRPr="0020655A">
              <w:rPr>
                <w:rFonts w:asciiTheme="minorHAnsi" w:hAnsiTheme="minorHAnsi" w:cstheme="minorHAnsi"/>
                <w:sz w:val="22"/>
                <w:szCs w:val="22"/>
              </w:rPr>
              <w:t>ensuring that q</w:t>
            </w:r>
            <w:r w:rsidRPr="0020655A">
              <w:rPr>
                <w:rFonts w:asciiTheme="minorHAnsi" w:eastAsiaTheme="minorEastAsia" w:hAnsiTheme="minorHAnsi" w:cstheme="minorHAnsi"/>
                <w:kern w:val="24"/>
                <w:sz w:val="22"/>
                <w:szCs w:val="22"/>
              </w:rPr>
              <w:t>uality governance and patient safety shapes and features strongly in new organisational structure</w:t>
            </w:r>
            <w:r w:rsidRPr="0020655A">
              <w:rPr>
                <w:rFonts w:asciiTheme="minorHAnsi" w:hAnsiTheme="minorHAnsi" w:cstheme="minorHAnsi"/>
                <w:sz w:val="22"/>
                <w:szCs w:val="22"/>
              </w:rPr>
              <w:t xml:space="preserve"> supported by continued implementation </w:t>
            </w:r>
            <w:r w:rsidRPr="0020655A">
              <w:rPr>
                <w:rFonts w:asciiTheme="minorHAnsi" w:eastAsiaTheme="minorEastAsia" w:hAnsiTheme="minorHAnsi" w:cstheme="minorHAnsi"/>
                <w:kern w:val="24"/>
                <w:sz w:val="22"/>
                <w:szCs w:val="22"/>
              </w:rPr>
              <w:t xml:space="preserve">and refresh of the framework. </w:t>
            </w:r>
          </w:p>
          <w:p w14:paraId="4624AF46" w14:textId="77777777" w:rsidR="0020655A" w:rsidRPr="0020655A" w:rsidRDefault="0020655A" w:rsidP="000642A7">
            <w:pPr>
              <w:rPr>
                <w:rFonts w:asciiTheme="minorHAnsi" w:hAnsiTheme="minorHAnsi"/>
                <w:sz w:val="22"/>
                <w:szCs w:val="22"/>
              </w:rPr>
            </w:pPr>
          </w:p>
        </w:tc>
      </w:tr>
      <w:tr w:rsidR="0020655A" w:rsidRPr="0020655A" w14:paraId="1B6DCDA9" w14:textId="77777777" w:rsidTr="0020655A">
        <w:tc>
          <w:tcPr>
            <w:tcW w:w="9918" w:type="dxa"/>
          </w:tcPr>
          <w:p w14:paraId="23BE1C41" w14:textId="77777777" w:rsidR="0020655A" w:rsidRPr="0020655A" w:rsidRDefault="0020655A" w:rsidP="000642A7">
            <w:pPr>
              <w:rPr>
                <w:rFonts w:asciiTheme="minorHAnsi" w:hAnsiTheme="minorHAnsi" w:cstheme="minorHAnsi"/>
                <w:sz w:val="22"/>
                <w:szCs w:val="22"/>
              </w:rPr>
            </w:pPr>
            <w:r w:rsidRPr="0020655A">
              <w:rPr>
                <w:rFonts w:asciiTheme="minorHAnsi" w:eastAsiaTheme="minorEastAsia" w:hAnsiTheme="minorHAnsi" w:cstheme="minorHAnsi"/>
                <w:b/>
                <w:kern w:val="24"/>
                <w:sz w:val="22"/>
                <w:szCs w:val="22"/>
              </w:rPr>
              <w:t>6. Extensive review and improvement of the management of concerns and serious incidents</w:t>
            </w:r>
            <w:r w:rsidRPr="0020655A">
              <w:rPr>
                <w:rFonts w:asciiTheme="minorHAnsi" w:eastAsiaTheme="minorEastAsia" w:hAnsiTheme="minorHAnsi" w:cstheme="minorHAnsi"/>
                <w:kern w:val="24"/>
                <w:sz w:val="22"/>
                <w:szCs w:val="22"/>
              </w:rPr>
              <w:t xml:space="preserve">: through full engagement with supportive intervention of the Delivery Unit </w:t>
            </w:r>
            <w:r w:rsidRPr="0020655A">
              <w:rPr>
                <w:rFonts w:asciiTheme="minorHAnsi" w:hAnsiTheme="minorHAnsi" w:cstheme="minorHAnsi"/>
                <w:sz w:val="22"/>
                <w:szCs w:val="22"/>
              </w:rPr>
              <w:t>and achievement of the i</w:t>
            </w:r>
            <w:r w:rsidRPr="0020655A">
              <w:rPr>
                <w:rFonts w:asciiTheme="minorHAnsi" w:eastAsiaTheme="minorEastAsia" w:hAnsiTheme="minorHAnsi" w:cstheme="minorHAnsi"/>
                <w:kern w:val="24"/>
                <w:sz w:val="22"/>
                <w:szCs w:val="22"/>
              </w:rPr>
              <w:t xml:space="preserve">mprovement plan. </w:t>
            </w:r>
          </w:p>
          <w:p w14:paraId="4F4EC1CE" w14:textId="77777777" w:rsidR="0020655A" w:rsidRPr="0020655A" w:rsidRDefault="0020655A" w:rsidP="000642A7">
            <w:pPr>
              <w:rPr>
                <w:rFonts w:asciiTheme="minorHAnsi" w:hAnsiTheme="minorHAnsi"/>
                <w:sz w:val="22"/>
                <w:szCs w:val="22"/>
              </w:rPr>
            </w:pPr>
          </w:p>
        </w:tc>
      </w:tr>
    </w:tbl>
    <w:p w14:paraId="443761BF" w14:textId="77777777" w:rsidR="0020655A" w:rsidRPr="0020655A" w:rsidRDefault="0020655A" w:rsidP="0020655A">
      <w:pPr>
        <w:rPr>
          <w:rFonts w:asciiTheme="minorHAnsi" w:hAnsiTheme="minorHAnsi" w:cstheme="minorHAnsi"/>
          <w:szCs w:val="22"/>
        </w:rPr>
      </w:pPr>
    </w:p>
    <w:p w14:paraId="1C1E7C5F" w14:textId="77777777" w:rsidR="0020655A" w:rsidRDefault="0020655A" w:rsidP="0020655A">
      <w:pPr>
        <w:rPr>
          <w:szCs w:val="22"/>
        </w:rPr>
      </w:pPr>
      <w:r w:rsidRPr="0020655A">
        <w:rPr>
          <w:rFonts w:asciiTheme="minorHAnsi" w:hAnsiTheme="minorHAnsi"/>
          <w:szCs w:val="22"/>
        </w:rPr>
        <w:t>The Health Board recognises that there is more to do and is committed to ensuring that quality underpins all of its work.</w:t>
      </w:r>
      <w:r w:rsidRPr="0020655A">
        <w:rPr>
          <w:szCs w:val="22"/>
        </w:rPr>
        <w:t xml:space="preserve"> However, the scale of the challenge is recognised with pace and resilience essential, along with medium term planning and sustainability in mind. The Health Board is working to address many of the issues identified within this report and acknowledges the fundamental challenges that remain.</w:t>
      </w:r>
    </w:p>
    <w:p w14:paraId="589617C9" w14:textId="111B5A9B" w:rsidR="0020655A" w:rsidRDefault="0020655A">
      <w:pPr>
        <w:jc w:val="left"/>
        <w:rPr>
          <w:szCs w:val="22"/>
        </w:rPr>
      </w:pPr>
      <w:r>
        <w:rPr>
          <w:szCs w:val="22"/>
        </w:rPr>
        <w:br w:type="page"/>
      </w:r>
    </w:p>
    <w:p w14:paraId="3732376E" w14:textId="0F53C0E6" w:rsidR="005600F7" w:rsidRPr="0062325D" w:rsidRDefault="0031158E" w:rsidP="009432C3">
      <w:pPr>
        <w:pStyle w:val="Heading1"/>
        <w:ind w:left="1077" w:hanging="1077"/>
        <w:rPr>
          <w:szCs w:val="26"/>
        </w:rPr>
      </w:pPr>
      <w:bookmarkStart w:id="74" w:name="_Toc25262174"/>
      <w:r w:rsidRPr="0062325D">
        <w:rPr>
          <w:szCs w:val="26"/>
        </w:rPr>
        <w:lastRenderedPageBreak/>
        <w:t xml:space="preserve">SERVICE CHANGE IN </w:t>
      </w:r>
      <w:r w:rsidR="0047674D">
        <w:rPr>
          <w:szCs w:val="26"/>
        </w:rPr>
        <w:t>2020</w:t>
      </w:r>
      <w:r w:rsidR="00CA03CA" w:rsidRPr="0062325D">
        <w:rPr>
          <w:szCs w:val="26"/>
        </w:rPr>
        <w:t>-2</w:t>
      </w:r>
      <w:bookmarkEnd w:id="71"/>
      <w:bookmarkEnd w:id="72"/>
      <w:bookmarkEnd w:id="73"/>
      <w:r w:rsidR="0047674D">
        <w:rPr>
          <w:szCs w:val="26"/>
        </w:rPr>
        <w:t>3</w:t>
      </w:r>
      <w:bookmarkEnd w:id="74"/>
    </w:p>
    <w:p w14:paraId="6FD0BB48" w14:textId="02847F90" w:rsidR="004B08BD" w:rsidRPr="0062325D" w:rsidRDefault="0062325D" w:rsidP="00FB600F">
      <w:pPr>
        <w:pStyle w:val="ListParagraph"/>
        <w:ind w:left="0"/>
        <w:rPr>
          <w:i/>
          <w:szCs w:val="22"/>
        </w:rPr>
      </w:pPr>
      <w:r w:rsidRPr="0062325D">
        <w:rPr>
          <w:iCs/>
          <w:noProof/>
          <w:szCs w:val="22"/>
        </w:rPr>
        <w:drawing>
          <wp:anchor distT="0" distB="0" distL="114300" distR="114300" simplePos="0" relativeHeight="252626944" behindDoc="0" locked="0" layoutInCell="1" allowOverlap="1" wp14:anchorId="7245E6F0" wp14:editId="6E8DB8E2">
            <wp:simplePos x="0" y="0"/>
            <wp:positionH relativeFrom="margin">
              <wp:align>right</wp:align>
            </wp:positionH>
            <wp:positionV relativeFrom="paragraph">
              <wp:posOffset>474519</wp:posOffset>
            </wp:positionV>
            <wp:extent cx="434975" cy="541655"/>
            <wp:effectExtent l="0" t="0" r="3175" b="0"/>
            <wp:wrapNone/>
            <wp:docPr id="1863" name="Picture 18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34975" cy="541655"/>
                    </a:xfrm>
                    <a:prstGeom prst="rect">
                      <a:avLst/>
                    </a:prstGeom>
                    <a:noFill/>
                  </pic:spPr>
                </pic:pic>
              </a:graphicData>
            </a:graphic>
            <wp14:sizeRelH relativeFrom="margin">
              <wp14:pctWidth>0</wp14:pctWidth>
            </wp14:sizeRelH>
            <wp14:sizeRelV relativeFrom="margin">
              <wp14:pctHeight>0</wp14:pctHeight>
            </wp14:sizeRelV>
          </wp:anchor>
        </w:drawing>
      </w:r>
      <w:r w:rsidR="0074578E" w:rsidRPr="0062325D">
        <w:rPr>
          <w:i/>
          <w:szCs w:val="22"/>
        </w:rPr>
        <w:t>Reflecting on the progress made in 201</w:t>
      </w:r>
      <w:r w:rsidR="0047674D">
        <w:rPr>
          <w:i/>
          <w:szCs w:val="22"/>
        </w:rPr>
        <w:t>9/20</w:t>
      </w:r>
      <w:r w:rsidR="0074578E" w:rsidRPr="0062325D">
        <w:rPr>
          <w:i/>
          <w:szCs w:val="22"/>
        </w:rPr>
        <w:t xml:space="preserve"> and the challenges the Health Board continues to need to meet</w:t>
      </w:r>
      <w:r w:rsidR="00B65429" w:rsidRPr="0062325D">
        <w:rPr>
          <w:i/>
          <w:szCs w:val="22"/>
        </w:rPr>
        <w:t xml:space="preserve"> over the next three</w:t>
      </w:r>
      <w:r w:rsidR="0014493C" w:rsidRPr="0062325D">
        <w:rPr>
          <w:i/>
          <w:szCs w:val="22"/>
        </w:rPr>
        <w:t xml:space="preserve"> years</w:t>
      </w:r>
      <w:r w:rsidR="00B65429" w:rsidRPr="0062325D">
        <w:rPr>
          <w:i/>
          <w:szCs w:val="22"/>
        </w:rPr>
        <w:t>, this chapter offers a</w:t>
      </w:r>
      <w:r w:rsidR="0074578E" w:rsidRPr="0062325D">
        <w:rPr>
          <w:i/>
          <w:szCs w:val="22"/>
        </w:rPr>
        <w:t xml:space="preserve"> summary, within the context of the </w:t>
      </w:r>
      <w:r w:rsidR="00174521">
        <w:rPr>
          <w:i/>
          <w:szCs w:val="22"/>
        </w:rPr>
        <w:t>Integrated Health and Care</w:t>
      </w:r>
      <w:r w:rsidR="0074578E" w:rsidRPr="0062325D">
        <w:rPr>
          <w:i/>
          <w:szCs w:val="22"/>
        </w:rPr>
        <w:t xml:space="preserve"> Strategy, of the significant </w:t>
      </w:r>
      <w:r w:rsidR="00B65429" w:rsidRPr="0062325D">
        <w:rPr>
          <w:i/>
          <w:szCs w:val="22"/>
        </w:rPr>
        <w:t>service changed planned over</w:t>
      </w:r>
      <w:r w:rsidR="006B4B23" w:rsidRPr="0062325D">
        <w:rPr>
          <w:i/>
          <w:szCs w:val="22"/>
        </w:rPr>
        <w:t xml:space="preserve"> the cou</w:t>
      </w:r>
      <w:r w:rsidR="00174521">
        <w:rPr>
          <w:i/>
          <w:szCs w:val="22"/>
        </w:rPr>
        <w:t>rse of 2020</w:t>
      </w:r>
      <w:r w:rsidR="0074578E" w:rsidRPr="0062325D">
        <w:rPr>
          <w:i/>
          <w:szCs w:val="22"/>
        </w:rPr>
        <w:t>-2</w:t>
      </w:r>
      <w:r w:rsidR="00174521">
        <w:rPr>
          <w:i/>
          <w:szCs w:val="22"/>
        </w:rPr>
        <w:t>3</w:t>
      </w:r>
      <w:proofErr w:type="gramStart"/>
      <w:r w:rsidR="00A510B3">
        <w:rPr>
          <w:i/>
          <w:szCs w:val="22"/>
        </w:rPr>
        <w:t>.</w:t>
      </w:r>
      <w:r w:rsidR="00E31850" w:rsidRPr="0062325D">
        <w:rPr>
          <w:i/>
          <w:szCs w:val="22"/>
        </w:rPr>
        <w:t>.</w:t>
      </w:r>
      <w:bookmarkStart w:id="75" w:name="_Toc471829992"/>
      <w:bookmarkStart w:id="76" w:name="_Toc473290309"/>
      <w:bookmarkStart w:id="77" w:name="_Toc478738529"/>
      <w:proofErr w:type="gramEnd"/>
    </w:p>
    <w:p w14:paraId="54A76035" w14:textId="6E6168A2" w:rsidR="004B08BD" w:rsidRPr="0062325D" w:rsidRDefault="004B08BD" w:rsidP="004B08BD">
      <w:pPr>
        <w:pStyle w:val="Heading2"/>
        <w:shd w:val="clear" w:color="auto" w:fill="FFFF99"/>
        <w:rPr>
          <w:rFonts w:asciiTheme="minorHAnsi" w:hAnsiTheme="minorHAnsi"/>
          <w:iCs w:val="0"/>
          <w:szCs w:val="22"/>
        </w:rPr>
      </w:pPr>
      <w:bookmarkStart w:id="78" w:name="_Toc534875167"/>
      <w:bookmarkStart w:id="79" w:name="_Toc536195559"/>
      <w:bookmarkStart w:id="80" w:name="_Toc25262175"/>
      <w:r w:rsidRPr="0062325D">
        <w:rPr>
          <w:rFonts w:asciiTheme="minorHAnsi" w:hAnsiTheme="minorHAnsi"/>
          <w:iCs w:val="0"/>
          <w:szCs w:val="22"/>
        </w:rPr>
        <w:t>Well-being – Self Care and Supported Self Care</w:t>
      </w:r>
      <w:bookmarkEnd w:id="78"/>
      <w:bookmarkEnd w:id="79"/>
      <w:bookmarkEnd w:id="80"/>
    </w:p>
    <w:p w14:paraId="43353D34" w14:textId="0379A221" w:rsidR="00192D39" w:rsidRPr="0062325D" w:rsidRDefault="00192D39" w:rsidP="004B08BD">
      <w:pPr>
        <w:pStyle w:val="Heading3"/>
        <w:rPr>
          <w:szCs w:val="22"/>
        </w:rPr>
      </w:pPr>
      <w:bookmarkStart w:id="81" w:name="_Toc532463966"/>
      <w:bookmarkEnd w:id="75"/>
      <w:bookmarkEnd w:id="76"/>
      <w:bookmarkEnd w:id="77"/>
      <w:r w:rsidRPr="0062325D">
        <w:rPr>
          <w:szCs w:val="22"/>
        </w:rPr>
        <w:t>Wellbeing in Partnership</w:t>
      </w:r>
      <w:bookmarkEnd w:id="81"/>
      <w:r w:rsidRPr="0062325D">
        <w:rPr>
          <w:szCs w:val="22"/>
        </w:rPr>
        <w:t xml:space="preserve"> </w:t>
      </w:r>
    </w:p>
    <w:p w14:paraId="4C736208" w14:textId="283E46DA" w:rsidR="00192D39" w:rsidRPr="00A510B3" w:rsidRDefault="00192D39" w:rsidP="00192D39">
      <w:pPr>
        <w:rPr>
          <w:rFonts w:asciiTheme="minorHAnsi" w:hAnsiTheme="minorHAnsi" w:cs="Arial"/>
          <w:szCs w:val="22"/>
        </w:rPr>
      </w:pPr>
      <w:r w:rsidRPr="00A510B3">
        <w:rPr>
          <w:rFonts w:asciiTheme="minorHAnsi" w:hAnsiTheme="minorHAnsi"/>
          <w:noProof/>
          <w:szCs w:val="22"/>
        </w:rPr>
        <w:t>The</w:t>
      </w:r>
      <w:r w:rsidRPr="00A510B3">
        <w:rPr>
          <w:rFonts w:asciiTheme="minorHAnsi" w:hAnsiTheme="minorHAnsi"/>
          <w:szCs w:val="22"/>
          <w:lang w:eastAsia="en-US"/>
        </w:rPr>
        <w:t xml:space="preserve"> Cwm Taf Public Services Board (PSB) </w:t>
      </w:r>
      <w:r w:rsidRPr="00A510B3">
        <w:rPr>
          <w:rFonts w:asciiTheme="minorHAnsi" w:hAnsiTheme="minorHAnsi" w:cs="Arial"/>
          <w:szCs w:val="22"/>
        </w:rPr>
        <w:t>is chaired by the Health Board’s Chair</w:t>
      </w:r>
      <w:r w:rsidR="00516978" w:rsidRPr="00A510B3">
        <w:rPr>
          <w:rFonts w:asciiTheme="minorHAnsi" w:hAnsiTheme="minorHAnsi" w:cs="Arial"/>
          <w:szCs w:val="22"/>
        </w:rPr>
        <w:t xml:space="preserve">.  </w:t>
      </w:r>
      <w:r w:rsidRPr="00A510B3">
        <w:rPr>
          <w:rFonts w:asciiTheme="minorHAnsi" w:hAnsiTheme="minorHAnsi" w:cs="Arial"/>
          <w:szCs w:val="22"/>
        </w:rPr>
        <w:t xml:space="preserve">While the Bridgend PSB is chaired by the </w:t>
      </w:r>
      <w:r w:rsidR="00A510B3" w:rsidRPr="00A510B3">
        <w:rPr>
          <w:rFonts w:asciiTheme="minorHAnsi" w:hAnsiTheme="minorHAnsi" w:cs="Arial"/>
          <w:szCs w:val="22"/>
        </w:rPr>
        <w:t>Deputy Police and Crime Commissioner</w:t>
      </w:r>
      <w:r w:rsidRPr="00A510B3">
        <w:rPr>
          <w:rFonts w:asciiTheme="minorHAnsi" w:hAnsiTheme="minorHAnsi" w:cs="Arial"/>
          <w:szCs w:val="22"/>
        </w:rPr>
        <w:t xml:space="preserve">. </w:t>
      </w:r>
      <w:r w:rsidR="00A510B3" w:rsidRPr="00A510B3">
        <w:rPr>
          <w:rFonts w:asciiTheme="minorHAnsi" w:hAnsiTheme="minorHAnsi" w:cs="Arial"/>
          <w:szCs w:val="22"/>
        </w:rPr>
        <w:t xml:space="preserve"> Work will take place over 2020/21</w:t>
      </w:r>
      <w:r w:rsidR="00F10C1E" w:rsidRPr="00A510B3">
        <w:rPr>
          <w:rFonts w:asciiTheme="minorHAnsi" w:hAnsiTheme="minorHAnsi" w:cs="Arial"/>
          <w:szCs w:val="22"/>
        </w:rPr>
        <w:t xml:space="preserve"> to </w:t>
      </w:r>
      <w:r w:rsidR="00A510B3" w:rsidRPr="00A510B3">
        <w:rPr>
          <w:rFonts w:asciiTheme="minorHAnsi" w:hAnsiTheme="minorHAnsi" w:cs="Arial"/>
          <w:szCs w:val="22"/>
        </w:rPr>
        <w:t xml:space="preserve">further </w:t>
      </w:r>
      <w:r w:rsidR="00597733" w:rsidRPr="00A510B3">
        <w:rPr>
          <w:rFonts w:asciiTheme="minorHAnsi" w:hAnsiTheme="minorHAnsi" w:cs="Arial"/>
          <w:szCs w:val="22"/>
        </w:rPr>
        <w:t>consolidate</w:t>
      </w:r>
      <w:r w:rsidR="00F10C1E" w:rsidRPr="00A510B3">
        <w:rPr>
          <w:rFonts w:asciiTheme="minorHAnsi" w:hAnsiTheme="minorHAnsi" w:cs="Arial"/>
          <w:szCs w:val="22"/>
        </w:rPr>
        <w:t xml:space="preserve"> the two PSBs.</w:t>
      </w:r>
    </w:p>
    <w:p w14:paraId="7830D73C" w14:textId="77777777" w:rsidR="00A510B3" w:rsidRPr="00A510B3" w:rsidRDefault="00A510B3" w:rsidP="00192D39">
      <w:pPr>
        <w:rPr>
          <w:rFonts w:asciiTheme="minorHAnsi" w:hAnsiTheme="minorHAnsi" w:cs="Arial"/>
          <w:szCs w:val="22"/>
        </w:rPr>
      </w:pPr>
    </w:p>
    <w:p w14:paraId="57A4CE94" w14:textId="75BC4C4C" w:rsidR="00192D39" w:rsidRPr="00A510B3" w:rsidRDefault="00192D39" w:rsidP="00192D39">
      <w:pPr>
        <w:rPr>
          <w:rFonts w:asciiTheme="minorHAnsi" w:hAnsiTheme="minorHAnsi"/>
          <w:szCs w:val="22"/>
        </w:rPr>
      </w:pPr>
      <w:r w:rsidRPr="00A510B3">
        <w:rPr>
          <w:rFonts w:asciiTheme="minorHAnsi" w:hAnsiTheme="minorHAnsi"/>
          <w:szCs w:val="22"/>
        </w:rPr>
        <w:t>We will continue to deliver the priorities of the Cwm Taf PSB, working together to find innovative new ways of working for:</w:t>
      </w:r>
    </w:p>
    <w:p w14:paraId="6895D8F5" w14:textId="77777777" w:rsidR="00192D39" w:rsidRPr="00A510B3" w:rsidRDefault="00192D39" w:rsidP="00192D39">
      <w:pPr>
        <w:pStyle w:val="NormaBullet"/>
        <w:rPr>
          <w:szCs w:val="22"/>
        </w:rPr>
      </w:pPr>
      <w:r w:rsidRPr="00A510B3">
        <w:rPr>
          <w:szCs w:val="22"/>
        </w:rPr>
        <w:t>Preventing loneliness and isolation at every stage of life.</w:t>
      </w:r>
    </w:p>
    <w:p w14:paraId="57B12876" w14:textId="41677DFD" w:rsidR="00192D39" w:rsidRPr="00A510B3" w:rsidRDefault="00192D39" w:rsidP="00192D39">
      <w:pPr>
        <w:pStyle w:val="NormaBullet"/>
        <w:rPr>
          <w:szCs w:val="22"/>
        </w:rPr>
      </w:pPr>
      <w:r w:rsidRPr="00A510B3">
        <w:rPr>
          <w:szCs w:val="22"/>
        </w:rPr>
        <w:t>Piloting Community Zones to reduce adverse childhood experiences and find new ways of delivering one public service in our most challenged communities.</w:t>
      </w:r>
    </w:p>
    <w:p w14:paraId="426A2191" w14:textId="602BD23A" w:rsidR="00192D39" w:rsidRPr="00A510B3" w:rsidRDefault="00192D39" w:rsidP="00192D39">
      <w:pPr>
        <w:pStyle w:val="NormaBullet"/>
        <w:rPr>
          <w:szCs w:val="22"/>
        </w:rPr>
      </w:pPr>
      <w:r w:rsidRPr="00A510B3">
        <w:rPr>
          <w:szCs w:val="22"/>
        </w:rPr>
        <w:t>Redesign the services for families and early years, with support from the Welsh Government Co-Construction Programme</w:t>
      </w:r>
      <w:r w:rsidR="000A1B13" w:rsidRPr="00A510B3">
        <w:rPr>
          <w:szCs w:val="22"/>
        </w:rPr>
        <w:t>.</w:t>
      </w:r>
    </w:p>
    <w:p w14:paraId="7C968453" w14:textId="0C2CDA02" w:rsidR="00192D39" w:rsidRPr="00A510B3" w:rsidRDefault="00192D39" w:rsidP="00192D39">
      <w:pPr>
        <w:pStyle w:val="NormaBullet"/>
        <w:rPr>
          <w:szCs w:val="22"/>
        </w:rPr>
      </w:pPr>
      <w:r w:rsidRPr="00A510B3">
        <w:rPr>
          <w:szCs w:val="22"/>
        </w:rPr>
        <w:t>Help people live healthier for longer with one small change</w:t>
      </w:r>
      <w:r w:rsidR="000A1B13" w:rsidRPr="00A510B3">
        <w:rPr>
          <w:szCs w:val="22"/>
        </w:rPr>
        <w:t>.</w:t>
      </w:r>
    </w:p>
    <w:p w14:paraId="355F5D63" w14:textId="77777777" w:rsidR="00192D39" w:rsidRPr="00A510B3" w:rsidRDefault="00192D39" w:rsidP="00192D39">
      <w:pPr>
        <w:pStyle w:val="NormaBullet"/>
        <w:rPr>
          <w:szCs w:val="22"/>
        </w:rPr>
      </w:pPr>
      <w:r w:rsidRPr="00A510B3">
        <w:rPr>
          <w:szCs w:val="22"/>
        </w:rPr>
        <w:t xml:space="preserve">Build our economy through tourism and by linking our people with the skills needed in for careers in public services. </w:t>
      </w:r>
    </w:p>
    <w:p w14:paraId="268E74E9" w14:textId="77FE3623" w:rsidR="00192D39" w:rsidRPr="00A510B3" w:rsidRDefault="00192D39" w:rsidP="00192D39">
      <w:pPr>
        <w:rPr>
          <w:szCs w:val="22"/>
        </w:rPr>
      </w:pPr>
    </w:p>
    <w:p w14:paraId="4227CF3C" w14:textId="77777777" w:rsidR="00192D39" w:rsidRPr="00A510B3" w:rsidRDefault="00192D39" w:rsidP="00192D39">
      <w:pPr>
        <w:rPr>
          <w:rFonts w:asciiTheme="minorHAnsi" w:hAnsiTheme="minorHAnsi"/>
          <w:szCs w:val="22"/>
        </w:rPr>
      </w:pPr>
      <w:r w:rsidRPr="00A510B3">
        <w:rPr>
          <w:rFonts w:asciiTheme="minorHAnsi" w:hAnsiTheme="minorHAnsi"/>
          <w:szCs w:val="22"/>
        </w:rPr>
        <w:t xml:space="preserve">In Bridgend the Wellbeing Objectives have many similarities and we will seek to ensure that we work closely together to deliver them: </w:t>
      </w:r>
    </w:p>
    <w:p w14:paraId="0C45FA4E" w14:textId="2FB43786" w:rsidR="00192D39" w:rsidRPr="00A510B3" w:rsidRDefault="00192D39" w:rsidP="00192D39">
      <w:pPr>
        <w:pStyle w:val="NormaBullet"/>
        <w:rPr>
          <w:szCs w:val="22"/>
        </w:rPr>
      </w:pPr>
      <w:r w:rsidRPr="00A510B3">
        <w:rPr>
          <w:szCs w:val="22"/>
        </w:rPr>
        <w:t>Best start in Life</w:t>
      </w:r>
      <w:r w:rsidR="000A1B13" w:rsidRPr="00A510B3">
        <w:rPr>
          <w:szCs w:val="22"/>
        </w:rPr>
        <w:t>.</w:t>
      </w:r>
    </w:p>
    <w:p w14:paraId="73A03D14" w14:textId="2FC2DD62" w:rsidR="00192D39" w:rsidRPr="00A510B3" w:rsidRDefault="00192D39" w:rsidP="00192D39">
      <w:pPr>
        <w:pStyle w:val="NormaBullet"/>
        <w:rPr>
          <w:szCs w:val="22"/>
        </w:rPr>
      </w:pPr>
      <w:r w:rsidRPr="00A510B3">
        <w:rPr>
          <w:szCs w:val="22"/>
        </w:rPr>
        <w:t>Support communities to be safe and cohesive</w:t>
      </w:r>
      <w:r w:rsidR="000A1B13" w:rsidRPr="00A510B3">
        <w:rPr>
          <w:szCs w:val="22"/>
        </w:rPr>
        <w:t>.</w:t>
      </w:r>
    </w:p>
    <w:p w14:paraId="655411B0" w14:textId="61B3B9F0" w:rsidR="00192D39" w:rsidRPr="00A510B3" w:rsidRDefault="00192D39" w:rsidP="00192D39">
      <w:pPr>
        <w:pStyle w:val="NormaBullet"/>
        <w:rPr>
          <w:szCs w:val="22"/>
        </w:rPr>
      </w:pPr>
      <w:r w:rsidRPr="00A510B3">
        <w:rPr>
          <w:szCs w:val="22"/>
        </w:rPr>
        <w:t>Reduce social and economic inequalities</w:t>
      </w:r>
      <w:r w:rsidR="000A1B13" w:rsidRPr="00A510B3">
        <w:rPr>
          <w:szCs w:val="22"/>
        </w:rPr>
        <w:t>.</w:t>
      </w:r>
    </w:p>
    <w:p w14:paraId="65377CA7" w14:textId="46F11503" w:rsidR="00192D39" w:rsidRPr="00A510B3" w:rsidRDefault="00192D39" w:rsidP="00192D39">
      <w:pPr>
        <w:pStyle w:val="NormaBullet"/>
        <w:rPr>
          <w:szCs w:val="22"/>
        </w:rPr>
      </w:pPr>
      <w:r w:rsidRPr="00A510B3">
        <w:rPr>
          <w:szCs w:val="22"/>
        </w:rPr>
        <w:t>Health</w:t>
      </w:r>
      <w:r w:rsidR="00597733" w:rsidRPr="00A510B3">
        <w:rPr>
          <w:szCs w:val="22"/>
        </w:rPr>
        <w:t>y</w:t>
      </w:r>
      <w:r w:rsidRPr="00A510B3">
        <w:rPr>
          <w:szCs w:val="22"/>
        </w:rPr>
        <w:t xml:space="preserve"> choices in a healthy environment</w:t>
      </w:r>
      <w:r w:rsidR="000A1B13" w:rsidRPr="00A510B3">
        <w:rPr>
          <w:szCs w:val="22"/>
        </w:rPr>
        <w:t>.</w:t>
      </w:r>
    </w:p>
    <w:p w14:paraId="1CB60C34" w14:textId="0B35D7E0" w:rsidR="00192D39" w:rsidRPr="00A510B3" w:rsidRDefault="00192D39" w:rsidP="00192D39">
      <w:pPr>
        <w:rPr>
          <w:szCs w:val="22"/>
        </w:rPr>
      </w:pPr>
    </w:p>
    <w:p w14:paraId="0EFEF232" w14:textId="77777777" w:rsidR="00192D39" w:rsidRPr="00A510B3" w:rsidRDefault="00192D39" w:rsidP="00192D39">
      <w:pPr>
        <w:rPr>
          <w:rFonts w:asciiTheme="minorHAnsi" w:hAnsiTheme="minorHAnsi"/>
          <w:szCs w:val="22"/>
        </w:rPr>
      </w:pPr>
      <w:r w:rsidRPr="00A510B3">
        <w:rPr>
          <w:rFonts w:asciiTheme="minorHAnsi" w:hAnsiTheme="minorHAnsi"/>
          <w:szCs w:val="22"/>
        </w:rPr>
        <w:t xml:space="preserve">Some of this work also links closely with the Area Plans required under the Social Services and Well-being Act.  It will be important that the work plans dovetail where needed to deliver the most effective and efficient public services. </w:t>
      </w:r>
    </w:p>
    <w:p w14:paraId="4D90A82A" w14:textId="211DDF80" w:rsidR="000C71E6" w:rsidRPr="0062325D" w:rsidRDefault="000C71E6" w:rsidP="000C71E6">
      <w:pPr>
        <w:pStyle w:val="Heading4"/>
        <w:rPr>
          <w:szCs w:val="22"/>
        </w:rPr>
      </w:pPr>
      <w:bookmarkStart w:id="82" w:name="_Toc532463967"/>
      <w:r w:rsidRPr="0062325D">
        <w:rPr>
          <w:szCs w:val="22"/>
        </w:rPr>
        <w:t xml:space="preserve">Building Resilient Communities </w:t>
      </w:r>
      <w:r w:rsidR="00E45BB5" w:rsidRPr="0062325D">
        <w:rPr>
          <w:szCs w:val="22"/>
        </w:rPr>
        <w:t>through</w:t>
      </w:r>
      <w:r w:rsidR="00E34B30" w:rsidRPr="0062325D">
        <w:rPr>
          <w:szCs w:val="22"/>
        </w:rPr>
        <w:t xml:space="preserve"> a Place-Based A</w:t>
      </w:r>
      <w:r w:rsidRPr="0062325D">
        <w:rPr>
          <w:szCs w:val="22"/>
        </w:rPr>
        <w:t>pproach</w:t>
      </w:r>
      <w:bookmarkEnd w:id="82"/>
      <w:r w:rsidRPr="0062325D">
        <w:rPr>
          <w:szCs w:val="22"/>
        </w:rPr>
        <w:t xml:space="preserve"> </w:t>
      </w:r>
    </w:p>
    <w:p w14:paraId="0ED092AF" w14:textId="12051ED8" w:rsidR="00D116D8" w:rsidRPr="00A510B3" w:rsidRDefault="00D116D8" w:rsidP="00D116D8">
      <w:pPr>
        <w:rPr>
          <w:szCs w:val="22"/>
        </w:rPr>
      </w:pPr>
      <w:r w:rsidRPr="00A510B3">
        <w:rPr>
          <w:szCs w:val="22"/>
        </w:rPr>
        <w:t xml:space="preserve">The </w:t>
      </w:r>
      <w:r w:rsidR="009F6118" w:rsidRPr="00A510B3">
        <w:rPr>
          <w:szCs w:val="22"/>
        </w:rPr>
        <w:t xml:space="preserve">flagship project for </w:t>
      </w:r>
      <w:r w:rsidRPr="00A510B3">
        <w:rPr>
          <w:szCs w:val="22"/>
        </w:rPr>
        <w:t xml:space="preserve">Cwm Taf PSB continues to </w:t>
      </w:r>
      <w:r w:rsidR="009F6118" w:rsidRPr="00A510B3">
        <w:rPr>
          <w:szCs w:val="22"/>
        </w:rPr>
        <w:t xml:space="preserve">be the </w:t>
      </w:r>
      <w:r w:rsidRPr="00A510B3">
        <w:rPr>
          <w:szCs w:val="22"/>
        </w:rPr>
        <w:t>development of place based approaches as a key priority and in response to the “Children First” initiative proposing the development of Community Zones across the Cwm Taf region.</w:t>
      </w:r>
    </w:p>
    <w:p w14:paraId="72980941" w14:textId="77777777" w:rsidR="00D116D8" w:rsidRPr="00A510B3" w:rsidRDefault="00D116D8" w:rsidP="00D116D8">
      <w:pPr>
        <w:rPr>
          <w:szCs w:val="22"/>
        </w:rPr>
      </w:pPr>
    </w:p>
    <w:p w14:paraId="4C9FD59F" w14:textId="085C8E95" w:rsidR="008467D3" w:rsidRPr="00A510B3" w:rsidRDefault="00D116D8" w:rsidP="008467D3">
      <w:pPr>
        <w:rPr>
          <w:szCs w:val="22"/>
        </w:rPr>
      </w:pPr>
      <w:r w:rsidRPr="00A510B3">
        <w:rPr>
          <w:rFonts w:asciiTheme="minorHAnsi" w:hAnsiTheme="minorHAnsi"/>
          <w:szCs w:val="22"/>
        </w:rPr>
        <w:t>The approach will transform public services to deliver greater emphasis on preventative early intervention services through a different way of engaging with our communities.  By intervening early prior to crisis and by preventing the escalation of the many difficulties some families are facing, including adverse childhood experiences (ACEs), it will be possible to achieve better long-term outcomes for our residents and reduce their dependency on statutory services.</w:t>
      </w:r>
      <w:r w:rsidR="00FB7C54" w:rsidRPr="00A510B3">
        <w:rPr>
          <w:rFonts w:asciiTheme="minorHAnsi" w:hAnsiTheme="minorHAnsi"/>
          <w:szCs w:val="22"/>
        </w:rPr>
        <w:t xml:space="preserve">  </w:t>
      </w:r>
      <w:r w:rsidRPr="00A510B3">
        <w:rPr>
          <w:rFonts w:asciiTheme="minorHAnsi" w:hAnsiTheme="minorHAnsi"/>
          <w:szCs w:val="22"/>
        </w:rPr>
        <w:t xml:space="preserve">As a “pioneer area” for “Children First” </w:t>
      </w:r>
      <w:r w:rsidR="009F6118" w:rsidRPr="00A510B3">
        <w:rPr>
          <w:rFonts w:asciiTheme="minorHAnsi" w:hAnsiTheme="minorHAnsi"/>
          <w:szCs w:val="22"/>
        </w:rPr>
        <w:t>w</w:t>
      </w:r>
      <w:r w:rsidR="00F06323" w:rsidRPr="00A510B3">
        <w:rPr>
          <w:rFonts w:asciiTheme="minorHAnsi" w:hAnsiTheme="minorHAnsi"/>
          <w:szCs w:val="22"/>
        </w:rPr>
        <w:t>e</w:t>
      </w:r>
      <w:r w:rsidRPr="00A510B3">
        <w:rPr>
          <w:rFonts w:asciiTheme="minorHAnsi" w:hAnsiTheme="minorHAnsi"/>
          <w:szCs w:val="22"/>
        </w:rPr>
        <w:t xml:space="preserve"> implement</w:t>
      </w:r>
      <w:r w:rsidR="00A510B3" w:rsidRPr="00A510B3">
        <w:rPr>
          <w:rFonts w:asciiTheme="minorHAnsi" w:hAnsiTheme="minorHAnsi"/>
          <w:szCs w:val="22"/>
        </w:rPr>
        <w:t>ing</w:t>
      </w:r>
      <w:r w:rsidRPr="00A510B3">
        <w:rPr>
          <w:rFonts w:asciiTheme="minorHAnsi" w:hAnsiTheme="minorHAnsi"/>
          <w:szCs w:val="22"/>
        </w:rPr>
        <w:t xml:space="preserve"> </w:t>
      </w:r>
      <w:r w:rsidR="009F6118" w:rsidRPr="00A510B3">
        <w:rPr>
          <w:rFonts w:asciiTheme="minorHAnsi" w:hAnsiTheme="minorHAnsi"/>
          <w:szCs w:val="22"/>
        </w:rPr>
        <w:t xml:space="preserve">this </w:t>
      </w:r>
      <w:r w:rsidRPr="00A510B3">
        <w:rPr>
          <w:rFonts w:asciiTheme="minorHAnsi" w:hAnsiTheme="minorHAnsi"/>
          <w:szCs w:val="22"/>
        </w:rPr>
        <w:t>place-based initiative in two areas, The Gurnos</w:t>
      </w:r>
      <w:r w:rsidR="003D0778" w:rsidRPr="00A510B3">
        <w:rPr>
          <w:rFonts w:asciiTheme="minorHAnsi" w:hAnsiTheme="minorHAnsi"/>
          <w:szCs w:val="22"/>
        </w:rPr>
        <w:t xml:space="preserve"> estate, </w:t>
      </w:r>
      <w:r w:rsidRPr="00A510B3">
        <w:rPr>
          <w:rFonts w:asciiTheme="minorHAnsi" w:hAnsiTheme="minorHAnsi"/>
          <w:szCs w:val="22"/>
        </w:rPr>
        <w:t>Merthyr Tydfil and Upper Rhondda Fach</w:t>
      </w:r>
      <w:r w:rsidR="003D0778" w:rsidRPr="00A510B3">
        <w:rPr>
          <w:rFonts w:asciiTheme="minorHAnsi" w:hAnsiTheme="minorHAnsi"/>
          <w:szCs w:val="22"/>
        </w:rPr>
        <w:t xml:space="preserve"> RCT</w:t>
      </w:r>
      <w:r w:rsidRPr="00A510B3">
        <w:rPr>
          <w:rFonts w:asciiTheme="minorHAnsi" w:hAnsiTheme="minorHAnsi"/>
          <w:szCs w:val="22"/>
        </w:rPr>
        <w:t>.  A multi-agency Implementation Group including representation from the Health Board continues to progress this work and will also take account of</w:t>
      </w:r>
      <w:r w:rsidR="008467D3" w:rsidRPr="00A510B3">
        <w:rPr>
          <w:rFonts w:asciiTheme="minorHAnsi" w:hAnsiTheme="minorHAnsi"/>
          <w:szCs w:val="22"/>
        </w:rPr>
        <w:t>:</w:t>
      </w:r>
    </w:p>
    <w:p w14:paraId="0A874F5C" w14:textId="7F583CC5" w:rsidR="008467D3" w:rsidRPr="00A510B3" w:rsidRDefault="008467D3" w:rsidP="00D116D8">
      <w:pPr>
        <w:pStyle w:val="NormaBullet"/>
        <w:rPr>
          <w:szCs w:val="22"/>
        </w:rPr>
      </w:pPr>
      <w:r w:rsidRPr="00A510B3">
        <w:rPr>
          <w:szCs w:val="22"/>
        </w:rPr>
        <w:t>Rhondda Cynon Taf County Borough Council Community Hubs - potentially utilising a similar model to that proposed by the PSB’s “Community Zone” proposal.</w:t>
      </w:r>
    </w:p>
    <w:p w14:paraId="76FF189D" w14:textId="5D8D8101" w:rsidR="00D116D8" w:rsidRPr="00A510B3" w:rsidRDefault="00D116D8" w:rsidP="00D116D8">
      <w:pPr>
        <w:pStyle w:val="NormaBullet"/>
        <w:rPr>
          <w:szCs w:val="22"/>
        </w:rPr>
      </w:pPr>
      <w:r w:rsidRPr="00A510B3">
        <w:rPr>
          <w:szCs w:val="22"/>
        </w:rPr>
        <w:t>Joint proposals with the Local Authorities continue to develop greater funding flexibility acros</w:t>
      </w:r>
      <w:r w:rsidR="008467D3" w:rsidRPr="00A510B3">
        <w:rPr>
          <w:szCs w:val="22"/>
        </w:rPr>
        <w:t>s tackling poverty programmes.</w:t>
      </w:r>
    </w:p>
    <w:p w14:paraId="0D61449B" w14:textId="7DADAAB6" w:rsidR="00D116D8" w:rsidRPr="00A510B3" w:rsidRDefault="00F06323" w:rsidP="00B9348B">
      <w:pPr>
        <w:pStyle w:val="NormaBullet"/>
        <w:rPr>
          <w:szCs w:val="22"/>
        </w:rPr>
      </w:pPr>
      <w:r w:rsidRPr="00A510B3">
        <w:rPr>
          <w:szCs w:val="22"/>
        </w:rPr>
        <w:t>The Health Board</w:t>
      </w:r>
      <w:r w:rsidR="00D116D8" w:rsidRPr="00A510B3">
        <w:rPr>
          <w:szCs w:val="22"/>
        </w:rPr>
        <w:t xml:space="preserve"> is to date the only pathfinder for Wales taking forward the Co –construction programme of work</w:t>
      </w:r>
      <w:r w:rsidR="00516978" w:rsidRPr="00A510B3">
        <w:rPr>
          <w:szCs w:val="22"/>
        </w:rPr>
        <w:t xml:space="preserve">.  </w:t>
      </w:r>
      <w:r w:rsidR="008467D3" w:rsidRPr="00A510B3">
        <w:rPr>
          <w:szCs w:val="22"/>
        </w:rPr>
        <w:t>F</w:t>
      </w:r>
      <w:r w:rsidR="00F10C1E" w:rsidRPr="00A510B3">
        <w:rPr>
          <w:bCs/>
          <w:szCs w:val="22"/>
        </w:rPr>
        <w:t>or</w:t>
      </w:r>
      <w:r w:rsidR="00D116D8" w:rsidRPr="00A510B3">
        <w:rPr>
          <w:szCs w:val="22"/>
        </w:rPr>
        <w:t xml:space="preserve"> the </w:t>
      </w:r>
      <w:r w:rsidR="008467D3" w:rsidRPr="00A510B3">
        <w:rPr>
          <w:szCs w:val="22"/>
        </w:rPr>
        <w:t xml:space="preserve">PSB and </w:t>
      </w:r>
      <w:r w:rsidR="00D116D8" w:rsidRPr="00A510B3">
        <w:rPr>
          <w:szCs w:val="22"/>
        </w:rPr>
        <w:t xml:space="preserve">Health Board this provides an opportunity to work differently and pilot a new </w:t>
      </w:r>
      <w:r w:rsidR="00D116D8" w:rsidRPr="00A510B3">
        <w:rPr>
          <w:szCs w:val="22"/>
        </w:rPr>
        <w:lastRenderedPageBreak/>
        <w:t>approach with families assessed for additional services according to need</w:t>
      </w:r>
      <w:r w:rsidR="00A510B3" w:rsidRPr="00A510B3">
        <w:rPr>
          <w:szCs w:val="22"/>
        </w:rPr>
        <w:t xml:space="preserve"> through Vulnerability Profiling and sharing of key data between services</w:t>
      </w:r>
      <w:r w:rsidR="00516978" w:rsidRPr="00A510B3">
        <w:rPr>
          <w:szCs w:val="22"/>
        </w:rPr>
        <w:t xml:space="preserve">.  </w:t>
      </w:r>
      <w:r w:rsidR="00A510B3" w:rsidRPr="00A510B3">
        <w:rPr>
          <w:szCs w:val="22"/>
        </w:rPr>
        <w:t xml:space="preserve">Rhondda Cynon Taf County Borough Council is leading this piolt with input by both </w:t>
      </w:r>
      <w:r w:rsidR="00A510B3" w:rsidRPr="00A510B3">
        <w:rPr>
          <w:rFonts w:asciiTheme="minorHAnsi" w:hAnsiTheme="minorHAnsi"/>
          <w:szCs w:val="22"/>
        </w:rPr>
        <w:t>Merthyr Tydfil and Bridgend County Borough Councils.</w:t>
      </w:r>
    </w:p>
    <w:p w14:paraId="00BEEFEA" w14:textId="58758C7A" w:rsidR="00192D39" w:rsidRPr="0062325D" w:rsidRDefault="000C71E6" w:rsidP="001801B7">
      <w:pPr>
        <w:pStyle w:val="Heading3"/>
        <w:ind w:left="709" w:hanging="709"/>
        <w:rPr>
          <w:szCs w:val="22"/>
        </w:rPr>
      </w:pPr>
      <w:bookmarkStart w:id="83" w:name="_Toc532463969"/>
      <w:r w:rsidRPr="0062325D">
        <w:rPr>
          <w:szCs w:val="22"/>
        </w:rPr>
        <w:t>P</w:t>
      </w:r>
      <w:r w:rsidR="00192D39" w:rsidRPr="0062325D">
        <w:rPr>
          <w:szCs w:val="22"/>
        </w:rPr>
        <w:t>revention</w:t>
      </w:r>
      <w:bookmarkEnd w:id="83"/>
    </w:p>
    <w:p w14:paraId="1A406AC5" w14:textId="368C135C" w:rsidR="008467D3" w:rsidRPr="00A510B3" w:rsidRDefault="00192D39" w:rsidP="00192D39">
      <w:pPr>
        <w:rPr>
          <w:rFonts w:asciiTheme="minorHAnsi" w:hAnsiTheme="minorHAnsi"/>
          <w:szCs w:val="22"/>
        </w:rPr>
      </w:pPr>
      <w:r w:rsidRPr="00A510B3">
        <w:rPr>
          <w:rFonts w:asciiTheme="minorHAnsi" w:hAnsiTheme="minorHAnsi"/>
          <w:szCs w:val="22"/>
        </w:rPr>
        <w:t xml:space="preserve">Prevention of ill health and the promotion of good health feature as a theme across all the Health Board’s delivery plans.  Action to address modifiable lifestyle risk factors such as smoking, obesity, alcohol consumption above recommended guidelines and lack of physical exercise is fundamental to reducing the prevalence of ill health.  </w:t>
      </w:r>
      <w:r w:rsidR="009F6118" w:rsidRPr="00A510B3">
        <w:rPr>
          <w:rFonts w:asciiTheme="minorHAnsi" w:hAnsiTheme="minorHAnsi"/>
          <w:szCs w:val="22"/>
        </w:rPr>
        <w:t>Our profile of the uptake of ‘Healthy Behaviours’ shows that we have much work to do to improve life expectancy, healthy life expectancy and to reduce inequalities.</w:t>
      </w:r>
      <w:r w:rsidR="00FB7C54" w:rsidRPr="00A510B3">
        <w:rPr>
          <w:rFonts w:asciiTheme="minorHAnsi" w:hAnsiTheme="minorHAnsi"/>
          <w:szCs w:val="22"/>
        </w:rPr>
        <w:t xml:space="preserve">  </w:t>
      </w:r>
      <w:r w:rsidR="00A510B3" w:rsidRPr="00A510B3">
        <w:rPr>
          <w:rFonts w:asciiTheme="minorHAnsi" w:hAnsiTheme="minorHAnsi"/>
          <w:szCs w:val="22"/>
        </w:rPr>
        <w:t>This will be supported by Welsh Government investment in prevention and early years for Cwm Taf Morgannwg.</w:t>
      </w:r>
    </w:p>
    <w:p w14:paraId="53196081" w14:textId="77777777" w:rsidR="00673B96" w:rsidRPr="00A510B3" w:rsidRDefault="00673B96" w:rsidP="00192D39">
      <w:pPr>
        <w:rPr>
          <w:rFonts w:asciiTheme="minorHAnsi" w:hAnsiTheme="minorHAnsi"/>
          <w:szCs w:val="22"/>
        </w:rPr>
      </w:pPr>
    </w:p>
    <w:p w14:paraId="1CCC0FCF" w14:textId="344CCF6C" w:rsidR="00192D39" w:rsidRPr="00A510B3" w:rsidRDefault="00192D39" w:rsidP="00192D39">
      <w:pPr>
        <w:rPr>
          <w:rFonts w:asciiTheme="minorHAnsi" w:hAnsiTheme="minorHAnsi"/>
          <w:szCs w:val="22"/>
        </w:rPr>
      </w:pPr>
      <w:r w:rsidRPr="00A510B3">
        <w:rPr>
          <w:rFonts w:asciiTheme="minorHAnsi" w:hAnsiTheme="minorHAnsi"/>
          <w:szCs w:val="22"/>
        </w:rPr>
        <w:t xml:space="preserve">A summary of the current actions includes: </w:t>
      </w:r>
    </w:p>
    <w:p w14:paraId="31348E34" w14:textId="287FAF68" w:rsidR="00192D39" w:rsidRPr="00A510B3" w:rsidRDefault="00192D39" w:rsidP="008467D3">
      <w:pPr>
        <w:pStyle w:val="NormaBullet"/>
        <w:tabs>
          <w:tab w:val="left" w:pos="720"/>
        </w:tabs>
        <w:rPr>
          <w:rFonts w:asciiTheme="minorHAnsi" w:hAnsiTheme="minorHAnsi"/>
          <w:szCs w:val="22"/>
        </w:rPr>
      </w:pPr>
      <w:r w:rsidRPr="00A510B3">
        <w:rPr>
          <w:rFonts w:asciiTheme="minorHAnsi" w:hAnsiTheme="minorHAnsi"/>
          <w:szCs w:val="22"/>
        </w:rPr>
        <w:t>“Making Every Contact Count” by encouraging our patients, staff, and wider population to adopt one more healthy behaviour, with a view to the majority of the population enjoying four to five healthy behaviours by 2030.</w:t>
      </w:r>
    </w:p>
    <w:p w14:paraId="48403137" w14:textId="77777777" w:rsidR="00192D39" w:rsidRPr="00A510B3" w:rsidRDefault="00192D39" w:rsidP="00192D39">
      <w:pPr>
        <w:pStyle w:val="NormaBullet"/>
        <w:tabs>
          <w:tab w:val="left" w:pos="720"/>
        </w:tabs>
        <w:rPr>
          <w:rFonts w:asciiTheme="minorHAnsi" w:hAnsiTheme="minorHAnsi"/>
          <w:szCs w:val="22"/>
        </w:rPr>
      </w:pPr>
      <w:r w:rsidRPr="00A510B3">
        <w:rPr>
          <w:rFonts w:asciiTheme="minorHAnsi" w:hAnsiTheme="minorHAnsi"/>
          <w:szCs w:val="22"/>
        </w:rPr>
        <w:t xml:space="preserve">A focus on Early Years and the prevention of </w:t>
      </w:r>
      <w:hyperlink r:id="rId55" w:history="1">
        <w:r w:rsidRPr="00A510B3">
          <w:rPr>
            <w:rStyle w:val="Hyperlink"/>
            <w:rFonts w:asciiTheme="minorHAnsi" w:hAnsiTheme="minorHAnsi"/>
            <w:color w:val="auto"/>
            <w:szCs w:val="22"/>
          </w:rPr>
          <w:t>Adverse Childhood Experiences</w:t>
        </w:r>
      </w:hyperlink>
      <w:r w:rsidRPr="00A510B3">
        <w:rPr>
          <w:rFonts w:asciiTheme="minorHAnsi" w:hAnsiTheme="minorHAnsi"/>
          <w:szCs w:val="22"/>
        </w:rPr>
        <w:t xml:space="preserve"> (ACEs).</w:t>
      </w:r>
    </w:p>
    <w:p w14:paraId="5B2E178F" w14:textId="77777777" w:rsidR="00597733" w:rsidRPr="00A510B3" w:rsidRDefault="00597733" w:rsidP="00597733">
      <w:pPr>
        <w:pStyle w:val="NormaBullet"/>
        <w:tabs>
          <w:tab w:val="left" w:pos="720"/>
        </w:tabs>
        <w:rPr>
          <w:rFonts w:asciiTheme="minorHAnsi" w:hAnsiTheme="minorHAnsi"/>
          <w:szCs w:val="22"/>
        </w:rPr>
      </w:pPr>
      <w:bookmarkStart w:id="84" w:name="_Toc532463970"/>
      <w:r w:rsidRPr="00A510B3">
        <w:rPr>
          <w:rFonts w:asciiTheme="minorHAnsi" w:hAnsiTheme="minorHAnsi"/>
          <w:szCs w:val="22"/>
        </w:rPr>
        <w:t>The Public Health Directors Leadership Group, including Directors of Public Health from Health Boards and  Public Health Wales  have committed to coordinate action in two key areas:</w:t>
      </w:r>
    </w:p>
    <w:p w14:paraId="124ABC31" w14:textId="1A79121B" w:rsidR="00597733" w:rsidRPr="00A510B3" w:rsidRDefault="00597733" w:rsidP="00597733">
      <w:pPr>
        <w:pStyle w:val="NormalBulletIndent"/>
        <w:rPr>
          <w:i/>
          <w:szCs w:val="22"/>
        </w:rPr>
      </w:pPr>
      <w:r w:rsidRPr="00A510B3">
        <w:rPr>
          <w:szCs w:val="22"/>
        </w:rPr>
        <w:t>Tackle high blood pressure - a co-ordinated approach to prevention will be tested using the identified priority of high blood pressure, the top-ranked clinical risk factor contributing to avoidable disability-adjusted life years (DALYs)</w:t>
      </w:r>
      <w:r w:rsidR="00E45BB5" w:rsidRPr="00A510B3">
        <w:rPr>
          <w:szCs w:val="22"/>
        </w:rPr>
        <w:t xml:space="preserve">.  </w:t>
      </w:r>
      <w:r w:rsidRPr="00A510B3">
        <w:rPr>
          <w:szCs w:val="22"/>
        </w:rPr>
        <w:t>We will advocate for and support nationally-templated quality improvement initiatives that optimise the management of blood pressure within primary care clusters, aiming to reduce the preventable burden of cardiovascular disease and related inequalities.</w:t>
      </w:r>
    </w:p>
    <w:p w14:paraId="4578E938" w14:textId="0F88F148" w:rsidR="008467D3" w:rsidRPr="00A510B3" w:rsidRDefault="00597733" w:rsidP="008467D3">
      <w:pPr>
        <w:pStyle w:val="NormalBulletIndent"/>
        <w:rPr>
          <w:rFonts w:asciiTheme="minorHAnsi" w:hAnsiTheme="minorHAnsi"/>
          <w:szCs w:val="22"/>
        </w:rPr>
      </w:pPr>
      <w:r w:rsidRPr="00A510B3">
        <w:rPr>
          <w:szCs w:val="22"/>
        </w:rPr>
        <w:t xml:space="preserve">Reduce smoking prevalence in line with the smoking cessation framework including: </w:t>
      </w:r>
      <w:r w:rsidRPr="00A510B3">
        <w:rPr>
          <w:rFonts w:asciiTheme="minorHAnsi" w:hAnsiTheme="minorHAnsi"/>
          <w:szCs w:val="22"/>
        </w:rPr>
        <w:t>assessing the extent to which each of the components has been implemented, identifying actions required and an implementation plan with key milestones, with progress tracked and reported to the DPHs</w:t>
      </w:r>
      <w:r w:rsidR="00E45BB5" w:rsidRPr="00A510B3">
        <w:rPr>
          <w:rFonts w:asciiTheme="minorHAnsi" w:hAnsiTheme="minorHAnsi"/>
          <w:szCs w:val="22"/>
        </w:rPr>
        <w:t xml:space="preserve">.  </w:t>
      </w:r>
      <w:r w:rsidRPr="00A510B3">
        <w:rPr>
          <w:rFonts w:asciiTheme="minorHAnsi" w:hAnsiTheme="minorHAnsi"/>
          <w:szCs w:val="22"/>
        </w:rPr>
        <w:t>In addition, the Group is developing a collective vision on smoking prevention and renormalisation to inform th</w:t>
      </w:r>
      <w:r w:rsidR="00A510B3" w:rsidRPr="00A510B3">
        <w:rPr>
          <w:rFonts w:asciiTheme="minorHAnsi" w:hAnsiTheme="minorHAnsi"/>
          <w:szCs w:val="22"/>
        </w:rPr>
        <w:t xml:space="preserve">e next tobacco control strategy. The Help Me Quit service has been integrated into the Health Board from Public Health Wales and a system wide approach to cessation delivery is being progressed, to include community pharmacy, in house cessation, antenatal cessation (MAMSS) and the development of a mental health service cessation model.  </w:t>
      </w:r>
    </w:p>
    <w:p w14:paraId="5A9E560F" w14:textId="77777777" w:rsidR="008467D3" w:rsidRPr="00A510B3" w:rsidRDefault="008467D3" w:rsidP="008467D3">
      <w:pPr>
        <w:pStyle w:val="NormaBullet"/>
        <w:numPr>
          <w:ilvl w:val="0"/>
          <w:numId w:val="0"/>
        </w:numPr>
        <w:tabs>
          <w:tab w:val="left" w:pos="720"/>
        </w:tabs>
        <w:ind w:left="360" w:hanging="360"/>
        <w:rPr>
          <w:rFonts w:asciiTheme="minorHAnsi" w:hAnsiTheme="minorHAnsi"/>
          <w:szCs w:val="22"/>
        </w:rPr>
      </w:pPr>
    </w:p>
    <w:p w14:paraId="498FBAB1" w14:textId="77777777" w:rsidR="008467D3" w:rsidRPr="00A510B3" w:rsidRDefault="008467D3" w:rsidP="008467D3">
      <w:pPr>
        <w:pStyle w:val="NormaBullet"/>
        <w:numPr>
          <w:ilvl w:val="0"/>
          <w:numId w:val="0"/>
        </w:numPr>
        <w:tabs>
          <w:tab w:val="left" w:pos="720"/>
        </w:tabs>
        <w:ind w:left="360" w:hanging="360"/>
        <w:rPr>
          <w:rFonts w:asciiTheme="minorHAnsi" w:hAnsiTheme="minorHAnsi"/>
          <w:szCs w:val="22"/>
        </w:rPr>
      </w:pPr>
      <w:r w:rsidRPr="00A510B3">
        <w:rPr>
          <w:rFonts w:asciiTheme="minorHAnsi" w:hAnsiTheme="minorHAnsi"/>
          <w:szCs w:val="22"/>
        </w:rPr>
        <w:t>This will be achieved though the continuation of the following preventative schemes:</w:t>
      </w:r>
    </w:p>
    <w:p w14:paraId="29F9FDD5" w14:textId="77777777" w:rsidR="008467D3" w:rsidRPr="00A510B3" w:rsidRDefault="008467D3" w:rsidP="003B1653">
      <w:pPr>
        <w:pStyle w:val="NormalBulletIndent"/>
        <w:numPr>
          <w:ilvl w:val="0"/>
          <w:numId w:val="19"/>
        </w:numPr>
        <w:ind w:left="357" w:hanging="357"/>
        <w:rPr>
          <w:szCs w:val="22"/>
        </w:rPr>
      </w:pPr>
      <w:r w:rsidRPr="00A510B3">
        <w:rPr>
          <w:szCs w:val="22"/>
        </w:rPr>
        <w:t>MAMSS, Bump Start and the Joint Care Programmes.</w:t>
      </w:r>
    </w:p>
    <w:p w14:paraId="768B8C92" w14:textId="77777777" w:rsidR="008467D3" w:rsidRPr="00A510B3" w:rsidRDefault="008467D3" w:rsidP="003B1653">
      <w:pPr>
        <w:pStyle w:val="NormalBulletIndent"/>
        <w:numPr>
          <w:ilvl w:val="0"/>
          <w:numId w:val="19"/>
        </w:numPr>
        <w:ind w:left="357" w:hanging="357"/>
        <w:rPr>
          <w:szCs w:val="22"/>
        </w:rPr>
      </w:pPr>
      <w:r w:rsidRPr="00A510B3">
        <w:rPr>
          <w:szCs w:val="22"/>
        </w:rPr>
        <w:t>Inverse Care Law.</w:t>
      </w:r>
    </w:p>
    <w:p w14:paraId="552916E8" w14:textId="77777777" w:rsidR="00A510B3" w:rsidRPr="00A510B3" w:rsidRDefault="008467D3" w:rsidP="003B1653">
      <w:pPr>
        <w:pStyle w:val="NormalBulletIndent"/>
        <w:numPr>
          <w:ilvl w:val="0"/>
          <w:numId w:val="19"/>
        </w:numPr>
        <w:ind w:left="357" w:hanging="357"/>
        <w:rPr>
          <w:szCs w:val="22"/>
        </w:rPr>
      </w:pPr>
      <w:r w:rsidRPr="00A510B3">
        <w:rPr>
          <w:szCs w:val="22"/>
        </w:rPr>
        <w:t xml:space="preserve">Implementation of </w:t>
      </w:r>
      <w:r w:rsidR="00A510B3" w:rsidRPr="00A510B3">
        <w:rPr>
          <w:szCs w:val="22"/>
        </w:rPr>
        <w:t>Welsh Government Healthy Weight Healthy Wales Strategy and forthcoming Action Plan, including Tier 2 and 3 obesity services.</w:t>
      </w:r>
    </w:p>
    <w:p w14:paraId="3367F603" w14:textId="2460B3BA" w:rsidR="008467D3" w:rsidRPr="00A510B3" w:rsidRDefault="008467D3" w:rsidP="003B1653">
      <w:pPr>
        <w:pStyle w:val="NormalBulletIndent"/>
        <w:numPr>
          <w:ilvl w:val="0"/>
          <w:numId w:val="19"/>
        </w:numPr>
        <w:ind w:left="357" w:hanging="357"/>
        <w:rPr>
          <w:szCs w:val="22"/>
        </w:rPr>
      </w:pPr>
      <w:r w:rsidRPr="00A510B3">
        <w:rPr>
          <w:szCs w:val="22"/>
        </w:rPr>
        <w:t>Best Start research programme.</w:t>
      </w:r>
    </w:p>
    <w:p w14:paraId="73FBE457" w14:textId="77777777" w:rsidR="008467D3" w:rsidRPr="00A510B3" w:rsidRDefault="008467D3" w:rsidP="003B1653">
      <w:pPr>
        <w:pStyle w:val="NormalBulletIndent"/>
        <w:numPr>
          <w:ilvl w:val="0"/>
          <w:numId w:val="19"/>
        </w:numPr>
        <w:ind w:left="357" w:hanging="357"/>
        <w:rPr>
          <w:szCs w:val="22"/>
        </w:rPr>
      </w:pPr>
      <w:r w:rsidRPr="00A510B3">
        <w:rPr>
          <w:szCs w:val="22"/>
        </w:rPr>
        <w:t>Implementation of the Healthy Child Wales Programme.</w:t>
      </w:r>
    </w:p>
    <w:p w14:paraId="4A97EB46" w14:textId="367C3014" w:rsidR="008467D3" w:rsidRPr="00A510B3" w:rsidRDefault="00A510B3" w:rsidP="003B1653">
      <w:pPr>
        <w:pStyle w:val="NormalBulletIndent"/>
        <w:numPr>
          <w:ilvl w:val="0"/>
          <w:numId w:val="19"/>
        </w:numPr>
        <w:ind w:left="357" w:hanging="357"/>
        <w:rPr>
          <w:szCs w:val="22"/>
        </w:rPr>
      </w:pPr>
      <w:r w:rsidRPr="00A510B3">
        <w:rPr>
          <w:szCs w:val="22"/>
        </w:rPr>
        <w:t>Implementation of the</w:t>
      </w:r>
      <w:r w:rsidR="008467D3" w:rsidRPr="00A510B3">
        <w:rPr>
          <w:szCs w:val="22"/>
        </w:rPr>
        <w:t xml:space="preserve"> Welsh Government Healthy and Active Strategy.</w:t>
      </w:r>
    </w:p>
    <w:p w14:paraId="677AA680" w14:textId="1191CBB0" w:rsidR="00192D39" w:rsidRPr="0062325D" w:rsidRDefault="00192D39" w:rsidP="001801B7">
      <w:pPr>
        <w:pStyle w:val="Heading3"/>
        <w:ind w:left="709" w:hanging="709"/>
        <w:rPr>
          <w:szCs w:val="22"/>
        </w:rPr>
      </w:pPr>
      <w:r w:rsidRPr="0062325D">
        <w:rPr>
          <w:szCs w:val="22"/>
        </w:rPr>
        <w:t>Self-Care and Supported Self-Care</w:t>
      </w:r>
      <w:bookmarkEnd w:id="84"/>
    </w:p>
    <w:p w14:paraId="67527701" w14:textId="77777777" w:rsidR="00192D39" w:rsidRPr="00A510B3" w:rsidRDefault="00192D39" w:rsidP="00192D39">
      <w:pPr>
        <w:rPr>
          <w:rFonts w:asciiTheme="minorHAnsi" w:hAnsiTheme="minorHAnsi"/>
          <w:b/>
          <w:bCs/>
          <w:szCs w:val="22"/>
        </w:rPr>
      </w:pPr>
      <w:r w:rsidRPr="00A510B3">
        <w:rPr>
          <w:rFonts w:asciiTheme="minorHAnsi" w:hAnsiTheme="minorHAnsi"/>
          <w:bCs/>
          <w:szCs w:val="22"/>
        </w:rPr>
        <w:t xml:space="preserve">Evidence tells us that self-care or self-management programmes for chronic disease improve health outcomes and reduce hospital use, particularly those managing well defined conditions with clear methodology (e.g. those developed in Stanford such as the Chronic Disease Self-Management Programme) and that many individuals feel more satisfied with their care and achieve a better sense of control and self-efficacy through supporting self-care interventions.  This reinforces that </w:t>
      </w:r>
      <w:r w:rsidRPr="00A510B3">
        <w:rPr>
          <w:rFonts w:asciiTheme="minorHAnsi" w:hAnsiTheme="minorHAnsi" w:cs="Arial"/>
          <w:szCs w:val="22"/>
        </w:rPr>
        <w:t>self-care is needed at all stages of a patient journey, and that this includes services designed to promote healthy lifestyle choices, as well as support for helping people manage a health problem.</w:t>
      </w:r>
    </w:p>
    <w:p w14:paraId="61AC60E4" w14:textId="77777777" w:rsidR="00192D39" w:rsidRPr="00A510B3" w:rsidRDefault="00192D39" w:rsidP="00192D39">
      <w:pPr>
        <w:rPr>
          <w:rFonts w:asciiTheme="minorHAnsi" w:hAnsiTheme="minorHAnsi"/>
          <w:szCs w:val="22"/>
        </w:rPr>
      </w:pPr>
    </w:p>
    <w:p w14:paraId="2D0DEA83" w14:textId="77777777" w:rsidR="00192D39" w:rsidRPr="00A510B3" w:rsidRDefault="00192D39" w:rsidP="00192D39">
      <w:pPr>
        <w:rPr>
          <w:rFonts w:asciiTheme="minorHAnsi" w:hAnsiTheme="minorHAnsi"/>
          <w:szCs w:val="22"/>
        </w:rPr>
      </w:pPr>
      <w:r w:rsidRPr="00A510B3">
        <w:rPr>
          <w:rFonts w:asciiTheme="minorHAnsi" w:hAnsiTheme="minorHAnsi"/>
          <w:szCs w:val="22"/>
        </w:rPr>
        <w:t>Our plans for self-care and staying healthy will ensure our population will:</w:t>
      </w:r>
    </w:p>
    <w:p w14:paraId="09EA7BB6" w14:textId="43C12D81" w:rsidR="00192D39" w:rsidRPr="00A510B3" w:rsidRDefault="00192D39" w:rsidP="00192D39">
      <w:pPr>
        <w:pStyle w:val="NormaBullet"/>
        <w:rPr>
          <w:szCs w:val="22"/>
        </w:rPr>
      </w:pPr>
      <w:r w:rsidRPr="00A510B3">
        <w:rPr>
          <w:szCs w:val="22"/>
        </w:rPr>
        <w:t>Have the knowledge, and confidence to look after their own health and to prevent ill health through targeted public health inte</w:t>
      </w:r>
      <w:r w:rsidR="000A1B13" w:rsidRPr="00A510B3">
        <w:rPr>
          <w:szCs w:val="22"/>
        </w:rPr>
        <w:t>rventions across all age ranges.</w:t>
      </w:r>
    </w:p>
    <w:p w14:paraId="0398999C" w14:textId="77777777" w:rsidR="00192D39" w:rsidRPr="00A510B3" w:rsidRDefault="00192D39" w:rsidP="00192D39">
      <w:pPr>
        <w:pStyle w:val="NormaBullet"/>
        <w:rPr>
          <w:szCs w:val="22"/>
        </w:rPr>
      </w:pPr>
      <w:r w:rsidRPr="00A510B3">
        <w:rPr>
          <w:szCs w:val="22"/>
        </w:rPr>
        <w:lastRenderedPageBreak/>
        <w:t>Have an increasing healthy life expectancy so we are not just living longer but have a better quality of life;</w:t>
      </w:r>
    </w:p>
    <w:p w14:paraId="1049BAC2" w14:textId="1E8F4D37" w:rsidR="00192D39" w:rsidRPr="00A510B3" w:rsidRDefault="00192D39" w:rsidP="00192D39">
      <w:pPr>
        <w:pStyle w:val="NormaBullet"/>
        <w:rPr>
          <w:szCs w:val="22"/>
        </w:rPr>
      </w:pPr>
      <w:r w:rsidRPr="00A510B3">
        <w:rPr>
          <w:szCs w:val="22"/>
        </w:rPr>
        <w:t xml:space="preserve">Be aware and linked into wider communities through the work of the </w:t>
      </w:r>
      <w:r w:rsidR="000C4142" w:rsidRPr="00A510B3">
        <w:rPr>
          <w:szCs w:val="22"/>
        </w:rPr>
        <w:t>Third Sector</w:t>
      </w:r>
      <w:r w:rsidRPr="00A510B3">
        <w:rPr>
          <w:szCs w:val="22"/>
        </w:rPr>
        <w:t xml:space="preserve"> to impr</w:t>
      </w:r>
      <w:r w:rsidR="000A1B13" w:rsidRPr="00A510B3">
        <w:rPr>
          <w:szCs w:val="22"/>
        </w:rPr>
        <w:t>ove their health and well-being.</w:t>
      </w:r>
    </w:p>
    <w:p w14:paraId="778E6A15" w14:textId="77777777" w:rsidR="00192D39" w:rsidRPr="00A510B3" w:rsidRDefault="00192D39" w:rsidP="00192D39">
      <w:pPr>
        <w:pStyle w:val="NormaBullet"/>
        <w:rPr>
          <w:szCs w:val="22"/>
        </w:rPr>
      </w:pPr>
      <w:r w:rsidRPr="00A510B3">
        <w:rPr>
          <w:szCs w:val="22"/>
        </w:rPr>
        <w:t>Targeted advice and support to those who already have poor health or are at high risk of ill health;</w:t>
      </w:r>
    </w:p>
    <w:p w14:paraId="2D889E04" w14:textId="4C1B6DD2" w:rsidR="00192D39" w:rsidRPr="00A510B3" w:rsidRDefault="00192D39" w:rsidP="00192D39">
      <w:pPr>
        <w:pStyle w:val="NormaBullet"/>
        <w:rPr>
          <w:szCs w:val="22"/>
        </w:rPr>
      </w:pPr>
      <w:r w:rsidRPr="00A510B3">
        <w:rPr>
          <w:szCs w:val="22"/>
        </w:rPr>
        <w:t>Reduced levels of obesity and smoking</w:t>
      </w:r>
      <w:r w:rsidR="000A1B13" w:rsidRPr="00A510B3">
        <w:rPr>
          <w:szCs w:val="22"/>
        </w:rPr>
        <w:t>.</w:t>
      </w:r>
    </w:p>
    <w:p w14:paraId="6D22D8FD" w14:textId="62BADE43" w:rsidR="00192D39" w:rsidRPr="00A510B3" w:rsidRDefault="00192D39" w:rsidP="00192D39">
      <w:pPr>
        <w:pStyle w:val="NormaBullet"/>
        <w:rPr>
          <w:szCs w:val="22"/>
        </w:rPr>
      </w:pPr>
      <w:r w:rsidRPr="00A510B3">
        <w:rPr>
          <w:szCs w:val="22"/>
        </w:rPr>
        <w:t>Targeted support for people who are out of work.  Being out of work is strongly associated with increased overall mortality and poor physical and mental health.  In the Cwm Taf area, the proportion of the population in employment is lower than for W</w:t>
      </w:r>
      <w:r w:rsidR="000A1B13" w:rsidRPr="00A510B3">
        <w:rPr>
          <w:szCs w:val="22"/>
        </w:rPr>
        <w:t>ales as a whole.</w:t>
      </w:r>
    </w:p>
    <w:p w14:paraId="76C94223" w14:textId="77777777" w:rsidR="000A1B13" w:rsidRPr="00A510B3" w:rsidRDefault="00192D39" w:rsidP="00192D39">
      <w:pPr>
        <w:pStyle w:val="NormaBullet"/>
        <w:rPr>
          <w:szCs w:val="22"/>
        </w:rPr>
      </w:pPr>
      <w:r w:rsidRPr="00A510B3">
        <w:rPr>
          <w:szCs w:val="22"/>
        </w:rPr>
        <w:t>Our older people will have the knowledge and support needed for “active ageing”, enabling them to live health</w:t>
      </w:r>
      <w:r w:rsidR="000A1B13" w:rsidRPr="00A510B3">
        <w:rPr>
          <w:szCs w:val="22"/>
        </w:rPr>
        <w:t>y lives for as long as possible.</w:t>
      </w:r>
    </w:p>
    <w:p w14:paraId="0F98258F" w14:textId="696CD479" w:rsidR="00673B96" w:rsidRPr="00A510B3" w:rsidRDefault="00192D39" w:rsidP="00192D39">
      <w:pPr>
        <w:pStyle w:val="NormaBullet"/>
        <w:rPr>
          <w:szCs w:val="22"/>
        </w:rPr>
      </w:pPr>
      <w:r w:rsidRPr="00A510B3">
        <w:rPr>
          <w:szCs w:val="22"/>
        </w:rPr>
        <w:t>Be encouraged to take exercise, eat a healthy balanced diet, stop smoking and reduce drinking below the recommended limits.  This can add a potential fourteen healthy years to life, which is imperative for our population.</w:t>
      </w:r>
    </w:p>
    <w:p w14:paraId="5AE5999E" w14:textId="77777777" w:rsidR="00673B96" w:rsidRPr="00A510B3" w:rsidRDefault="00673B96" w:rsidP="00192D39">
      <w:pPr>
        <w:rPr>
          <w:rFonts w:asciiTheme="minorHAnsi" w:hAnsiTheme="minorHAnsi"/>
          <w:szCs w:val="22"/>
        </w:rPr>
      </w:pPr>
    </w:p>
    <w:p w14:paraId="5821381A" w14:textId="5A853CB1" w:rsidR="00192D39" w:rsidRPr="00A510B3" w:rsidRDefault="00192D39" w:rsidP="00192D39">
      <w:pPr>
        <w:rPr>
          <w:rFonts w:asciiTheme="minorHAnsi" w:hAnsiTheme="minorHAnsi"/>
          <w:szCs w:val="22"/>
        </w:rPr>
      </w:pPr>
      <w:r w:rsidRPr="00A510B3">
        <w:rPr>
          <w:rFonts w:asciiTheme="minorHAnsi" w:hAnsiTheme="minorHAnsi"/>
          <w:szCs w:val="22"/>
        </w:rPr>
        <w:t>O</w:t>
      </w:r>
      <w:r w:rsidR="00A510B3" w:rsidRPr="00A510B3">
        <w:rPr>
          <w:rFonts w:asciiTheme="minorHAnsi" w:hAnsiTheme="minorHAnsi"/>
          <w:szCs w:val="22"/>
        </w:rPr>
        <w:t>ur self-care priorities include</w:t>
      </w:r>
      <w:r w:rsidRPr="00A510B3">
        <w:rPr>
          <w:rFonts w:asciiTheme="minorHAnsi" w:hAnsiTheme="minorHAnsi"/>
          <w:szCs w:val="22"/>
        </w:rPr>
        <w:t xml:space="preserve">: </w:t>
      </w:r>
    </w:p>
    <w:p w14:paraId="0D72321D" w14:textId="1756F7FE" w:rsidR="00192D39" w:rsidRPr="00A510B3" w:rsidRDefault="00A510B3" w:rsidP="00192D39">
      <w:pPr>
        <w:pStyle w:val="NormaBullet"/>
        <w:rPr>
          <w:szCs w:val="22"/>
        </w:rPr>
      </w:pPr>
      <w:r w:rsidRPr="00A510B3">
        <w:rPr>
          <w:szCs w:val="22"/>
        </w:rPr>
        <w:t xml:space="preserve">Signposting and social prescribing: </w:t>
      </w:r>
      <w:r w:rsidR="00192D39" w:rsidRPr="00A510B3">
        <w:rPr>
          <w:szCs w:val="22"/>
        </w:rPr>
        <w:t xml:space="preserve">healthcare professionals need to know how to refer patients to existing programmes, and robust mechanisms for ensuring that this information is to hand and up-to-date should be explored. </w:t>
      </w:r>
    </w:p>
    <w:p w14:paraId="70F92EE4" w14:textId="77777777" w:rsidR="00192D39" w:rsidRPr="00A510B3" w:rsidRDefault="00192D39" w:rsidP="00192D39">
      <w:pPr>
        <w:pStyle w:val="NormaBullet"/>
        <w:rPr>
          <w:szCs w:val="22"/>
        </w:rPr>
      </w:pPr>
      <w:r w:rsidRPr="00A510B3">
        <w:rPr>
          <w:szCs w:val="22"/>
        </w:rPr>
        <w:t>Similarly, healthcare waiting areas are appropriate venues for advertising the value of such programmes to patients, and the ways in which this can be used to the full should be developed.  Links to telephony services should also be explored.  Our Local Public Health Team will work with primary and secondary care to develop centrally coordinated information systems that can be kept up to date.</w:t>
      </w:r>
    </w:p>
    <w:p w14:paraId="2288CF0D" w14:textId="77777777" w:rsidR="00192D39" w:rsidRPr="00A510B3" w:rsidRDefault="00192D39" w:rsidP="00192D39">
      <w:pPr>
        <w:pStyle w:val="NormaBullet"/>
        <w:rPr>
          <w:szCs w:val="22"/>
        </w:rPr>
      </w:pPr>
      <w:r w:rsidRPr="00A510B3">
        <w:rPr>
          <w:szCs w:val="22"/>
        </w:rPr>
        <w:t>Motivational Behaviour Change: the evidence indicates that more success is achieved if health care practitioners are skilled in Motivational Behaviour Change and Brief Interventions, and use these techniques in general consultations.  These techniques are being offered to healthcare providers in primary and secondary care.</w:t>
      </w:r>
    </w:p>
    <w:p w14:paraId="757BE0B0" w14:textId="77777777" w:rsidR="00192D39" w:rsidRPr="00A510B3" w:rsidRDefault="00192D39" w:rsidP="00192D39">
      <w:pPr>
        <w:pStyle w:val="NormaBullet"/>
        <w:rPr>
          <w:szCs w:val="22"/>
        </w:rPr>
      </w:pPr>
      <w:r w:rsidRPr="00A510B3">
        <w:rPr>
          <w:szCs w:val="22"/>
        </w:rPr>
        <w:t>The National Exercise on Referral programme for people with chronic conditions is similarly available in all areas, and is receiving large numbers of referrals.</w:t>
      </w:r>
    </w:p>
    <w:p w14:paraId="2C67BE45" w14:textId="2933EEFA" w:rsidR="00192D39" w:rsidRPr="00A510B3" w:rsidRDefault="00192D39" w:rsidP="00192D39">
      <w:pPr>
        <w:pStyle w:val="NormaBullet"/>
        <w:rPr>
          <w:szCs w:val="22"/>
        </w:rPr>
      </w:pPr>
      <w:r w:rsidRPr="00A510B3">
        <w:rPr>
          <w:szCs w:val="22"/>
        </w:rPr>
        <w:t xml:space="preserve">Health and Well-Being Checks for Over 50s – “Add to Your Life”: roll out commenced in 2014.  The over 50s Health checks programme aims to support and empower older people to have greater control over their own health and well-being. </w:t>
      </w:r>
    </w:p>
    <w:p w14:paraId="22FB1A23" w14:textId="19E57EAC" w:rsidR="00192D39" w:rsidRPr="00A510B3" w:rsidRDefault="00192D39" w:rsidP="00192D39">
      <w:pPr>
        <w:pStyle w:val="NormaBullet"/>
        <w:rPr>
          <w:bCs/>
          <w:szCs w:val="22"/>
        </w:rPr>
      </w:pPr>
      <w:r w:rsidRPr="00A510B3">
        <w:rPr>
          <w:szCs w:val="22"/>
        </w:rPr>
        <w:t>Referral to integrated Smoking Cessation Services to be embedded across pathways.</w:t>
      </w:r>
    </w:p>
    <w:p w14:paraId="1626659E" w14:textId="77777777" w:rsidR="00192D39" w:rsidRPr="00A510B3" w:rsidRDefault="00192D39" w:rsidP="00192D39">
      <w:pPr>
        <w:pStyle w:val="NormaBullet"/>
        <w:rPr>
          <w:bCs/>
          <w:szCs w:val="22"/>
        </w:rPr>
      </w:pPr>
      <w:r w:rsidRPr="00A510B3">
        <w:rPr>
          <w:szCs w:val="22"/>
        </w:rPr>
        <w:t>Increasing the capacity within our services to deliver condition specific education programmes which promote self-care e.g. X-PERT, Pulmonary Rehabilitation etc.</w:t>
      </w:r>
    </w:p>
    <w:p w14:paraId="5A151B04" w14:textId="77777777" w:rsidR="00192D39" w:rsidRPr="00A510B3" w:rsidRDefault="00192D39" w:rsidP="00192D39">
      <w:pPr>
        <w:pStyle w:val="NormaBullet"/>
        <w:rPr>
          <w:bCs/>
          <w:szCs w:val="22"/>
        </w:rPr>
      </w:pPr>
      <w:r w:rsidRPr="00A510B3">
        <w:rPr>
          <w:szCs w:val="22"/>
        </w:rPr>
        <w:t>Increasing the capacity to deliver the Education Programme for Patients (EPP) to people living with a long-term health condition.</w:t>
      </w:r>
    </w:p>
    <w:p w14:paraId="76BA4044" w14:textId="77777777" w:rsidR="00192D39" w:rsidRPr="00A510B3" w:rsidRDefault="00192D39" w:rsidP="00192D39">
      <w:pPr>
        <w:pStyle w:val="NormaBullet"/>
        <w:rPr>
          <w:bCs/>
          <w:szCs w:val="22"/>
        </w:rPr>
      </w:pPr>
      <w:r w:rsidRPr="00A510B3">
        <w:rPr>
          <w:szCs w:val="22"/>
        </w:rPr>
        <w:t>Further development of peer support activities across the community for those living with a chronic condition.</w:t>
      </w:r>
    </w:p>
    <w:p w14:paraId="5C8BCDC9" w14:textId="26BB2E3D" w:rsidR="00192D39" w:rsidRPr="003D0778" w:rsidRDefault="00A1335B" w:rsidP="001801B7">
      <w:pPr>
        <w:pStyle w:val="Heading3"/>
        <w:ind w:left="0" w:firstLine="0"/>
        <w:rPr>
          <w:szCs w:val="22"/>
        </w:rPr>
      </w:pPr>
      <w:bookmarkStart w:id="85" w:name="_Toc532463971"/>
      <w:r w:rsidRPr="003D0778">
        <w:rPr>
          <w:szCs w:val="22"/>
        </w:rPr>
        <w:t>New A</w:t>
      </w:r>
      <w:r w:rsidR="001801B7" w:rsidRPr="003D0778">
        <w:rPr>
          <w:szCs w:val="22"/>
        </w:rPr>
        <w:t>pproaches to H</w:t>
      </w:r>
      <w:r w:rsidR="00192D39" w:rsidRPr="003D0778">
        <w:rPr>
          <w:szCs w:val="22"/>
        </w:rPr>
        <w:t xml:space="preserve">ealth and </w:t>
      </w:r>
      <w:r w:rsidR="001801B7" w:rsidRPr="003D0778">
        <w:rPr>
          <w:szCs w:val="22"/>
        </w:rPr>
        <w:t>C</w:t>
      </w:r>
      <w:r w:rsidR="00192D39" w:rsidRPr="003D0778">
        <w:rPr>
          <w:szCs w:val="22"/>
        </w:rPr>
        <w:t>are – Population Health Management</w:t>
      </w:r>
      <w:bookmarkEnd w:id="85"/>
      <w:r w:rsidR="00192D39" w:rsidRPr="003D0778">
        <w:rPr>
          <w:szCs w:val="22"/>
        </w:rPr>
        <w:t xml:space="preserve"> </w:t>
      </w:r>
    </w:p>
    <w:p w14:paraId="7A628975" w14:textId="7E747694" w:rsidR="00192D39" w:rsidRPr="00A73D1D" w:rsidRDefault="00192D39" w:rsidP="00192D39">
      <w:pPr>
        <w:autoSpaceDE w:val="0"/>
        <w:autoSpaceDN w:val="0"/>
        <w:adjustRightInd w:val="0"/>
        <w:rPr>
          <w:rFonts w:asciiTheme="minorHAnsi" w:hAnsiTheme="minorHAnsi"/>
          <w:szCs w:val="22"/>
        </w:rPr>
      </w:pPr>
      <w:r w:rsidRPr="00A73D1D">
        <w:rPr>
          <w:rFonts w:asciiTheme="minorHAnsi" w:hAnsiTheme="minorHAnsi"/>
          <w:szCs w:val="22"/>
        </w:rPr>
        <w:t>We have successfully completed a pilot of population segmentation and risk stratification in the Rhondda Cluster</w:t>
      </w:r>
      <w:r w:rsidR="00B9348B" w:rsidRPr="00A73D1D">
        <w:rPr>
          <w:rFonts w:asciiTheme="minorHAnsi" w:hAnsiTheme="minorHAnsi"/>
          <w:szCs w:val="22"/>
        </w:rPr>
        <w:t xml:space="preserve">.  </w:t>
      </w:r>
      <w:r w:rsidRPr="00A73D1D">
        <w:rPr>
          <w:rFonts w:asciiTheme="minorHAnsi" w:hAnsiTheme="minorHAnsi"/>
          <w:szCs w:val="22"/>
        </w:rPr>
        <w:t xml:space="preserve">This has led to the creation of a unique integrated dataset combining primary and secondary care data for a population of 80,000 people. </w:t>
      </w:r>
      <w:r w:rsidR="00B9348B" w:rsidRPr="00A73D1D">
        <w:rPr>
          <w:rFonts w:asciiTheme="minorHAnsi" w:hAnsiTheme="minorHAnsi"/>
          <w:szCs w:val="22"/>
        </w:rPr>
        <w:t xml:space="preserve"> This learning has formed the b</w:t>
      </w:r>
      <w:r w:rsidR="00D72792" w:rsidRPr="00A73D1D">
        <w:rPr>
          <w:rFonts w:asciiTheme="minorHAnsi" w:hAnsiTheme="minorHAnsi"/>
          <w:szCs w:val="22"/>
        </w:rPr>
        <w:t>asis of the Risk Stratification</w:t>
      </w:r>
      <w:r w:rsidR="00B9348B" w:rsidRPr="00A73D1D">
        <w:rPr>
          <w:rFonts w:asciiTheme="minorHAnsi" w:hAnsiTheme="minorHAnsi"/>
          <w:szCs w:val="22"/>
        </w:rPr>
        <w:t xml:space="preserve"> and Segmentation workstream within the Cwm Taf </w:t>
      </w:r>
      <w:r w:rsidR="00A510B3" w:rsidRPr="00A73D1D">
        <w:rPr>
          <w:rFonts w:asciiTheme="minorHAnsi" w:hAnsiTheme="minorHAnsi"/>
          <w:szCs w:val="22"/>
        </w:rPr>
        <w:t xml:space="preserve">Morgannwg </w:t>
      </w:r>
      <w:r w:rsidR="00B9348B" w:rsidRPr="00A73D1D">
        <w:rPr>
          <w:rFonts w:asciiTheme="minorHAnsi" w:hAnsiTheme="minorHAnsi"/>
          <w:szCs w:val="22"/>
        </w:rPr>
        <w:t xml:space="preserve">Regional Partnership Board Transformation Proposal </w:t>
      </w:r>
      <w:r w:rsidR="00B9348B" w:rsidRPr="00A73D1D">
        <w:rPr>
          <w:rFonts w:asciiTheme="minorHAnsi" w:hAnsiTheme="minorHAnsi"/>
          <w:b/>
          <w:szCs w:val="22"/>
        </w:rPr>
        <w:t xml:space="preserve">see Section </w:t>
      </w:r>
      <w:r w:rsidR="001F56DA" w:rsidRPr="00A73D1D">
        <w:rPr>
          <w:rFonts w:asciiTheme="minorHAnsi" w:hAnsiTheme="minorHAnsi"/>
          <w:b/>
          <w:szCs w:val="22"/>
        </w:rPr>
        <w:t>5.2.2 and Annex</w:t>
      </w:r>
      <w:r w:rsidR="00B353E5" w:rsidRPr="00A73D1D">
        <w:rPr>
          <w:rFonts w:asciiTheme="minorHAnsi" w:hAnsiTheme="minorHAnsi"/>
          <w:b/>
          <w:szCs w:val="22"/>
        </w:rPr>
        <w:t>es</w:t>
      </w:r>
      <w:r w:rsidR="001F56DA" w:rsidRPr="00A73D1D">
        <w:rPr>
          <w:rFonts w:asciiTheme="minorHAnsi" w:hAnsiTheme="minorHAnsi"/>
          <w:b/>
          <w:szCs w:val="22"/>
        </w:rPr>
        <w:t xml:space="preserve"> B</w:t>
      </w:r>
      <w:r w:rsidR="005815EF" w:rsidRPr="00A73D1D">
        <w:rPr>
          <w:rFonts w:asciiTheme="minorHAnsi" w:hAnsiTheme="minorHAnsi"/>
          <w:b/>
          <w:szCs w:val="22"/>
        </w:rPr>
        <w:t>4</w:t>
      </w:r>
      <w:r w:rsidR="00B353E5" w:rsidRPr="00A73D1D">
        <w:rPr>
          <w:rFonts w:asciiTheme="minorHAnsi" w:hAnsiTheme="minorHAnsi"/>
          <w:b/>
          <w:szCs w:val="22"/>
        </w:rPr>
        <w:t xml:space="preserve"> and B5</w:t>
      </w:r>
      <w:r w:rsidR="001F56DA" w:rsidRPr="00A73D1D">
        <w:rPr>
          <w:rFonts w:asciiTheme="minorHAnsi" w:hAnsiTheme="minorHAnsi"/>
          <w:b/>
          <w:szCs w:val="22"/>
        </w:rPr>
        <w:t>.</w:t>
      </w:r>
    </w:p>
    <w:p w14:paraId="31404DDB" w14:textId="77777777" w:rsidR="00192D39" w:rsidRPr="00A73D1D" w:rsidRDefault="00192D39" w:rsidP="00192D39">
      <w:pPr>
        <w:autoSpaceDE w:val="0"/>
        <w:autoSpaceDN w:val="0"/>
        <w:adjustRightInd w:val="0"/>
        <w:rPr>
          <w:rFonts w:asciiTheme="minorHAnsi" w:hAnsiTheme="minorHAnsi"/>
          <w:szCs w:val="22"/>
        </w:rPr>
      </w:pPr>
    </w:p>
    <w:p w14:paraId="0AF7AA3F" w14:textId="77777777" w:rsidR="00192D39" w:rsidRPr="00A73D1D" w:rsidRDefault="00192D39" w:rsidP="00192D39">
      <w:pPr>
        <w:autoSpaceDE w:val="0"/>
        <w:autoSpaceDN w:val="0"/>
        <w:adjustRightInd w:val="0"/>
        <w:rPr>
          <w:rFonts w:asciiTheme="minorHAnsi" w:hAnsiTheme="minorHAnsi"/>
          <w:szCs w:val="22"/>
        </w:rPr>
      </w:pPr>
      <w:r w:rsidRPr="00A73D1D">
        <w:rPr>
          <w:rFonts w:asciiTheme="minorHAnsi" w:hAnsiTheme="minorHAnsi"/>
          <w:szCs w:val="22"/>
        </w:rPr>
        <w:t xml:space="preserve">Early analysis of the dataset has shown that: </w:t>
      </w:r>
    </w:p>
    <w:p w14:paraId="5A4AE4A3" w14:textId="77777777" w:rsidR="00192D39" w:rsidRPr="00A73D1D" w:rsidRDefault="00192D39" w:rsidP="00192D39">
      <w:pPr>
        <w:pStyle w:val="NormaBullet"/>
        <w:rPr>
          <w:szCs w:val="22"/>
        </w:rPr>
      </w:pPr>
      <w:r w:rsidRPr="00A73D1D">
        <w:rPr>
          <w:szCs w:val="22"/>
        </w:rPr>
        <w:t>Multi-morbidity is the norm – it is more common for people to have multiple chronic conditions than to have just one.</w:t>
      </w:r>
    </w:p>
    <w:p w14:paraId="0632326F" w14:textId="77777777" w:rsidR="00192D39" w:rsidRPr="00A73D1D" w:rsidRDefault="00192D39" w:rsidP="00192D39">
      <w:pPr>
        <w:pStyle w:val="NormaBullet"/>
        <w:rPr>
          <w:szCs w:val="22"/>
        </w:rPr>
      </w:pPr>
      <w:r w:rsidRPr="00A73D1D">
        <w:rPr>
          <w:szCs w:val="22"/>
        </w:rPr>
        <w:t>Intervention programmes should not focus on one condition but take into account groups of conditions which can co-occur.</w:t>
      </w:r>
    </w:p>
    <w:p w14:paraId="4EC59168" w14:textId="435A1318" w:rsidR="00192D39" w:rsidRPr="00A73D1D" w:rsidRDefault="00192D39" w:rsidP="00192D39">
      <w:pPr>
        <w:pStyle w:val="NormaBullet"/>
        <w:rPr>
          <w:szCs w:val="22"/>
        </w:rPr>
      </w:pPr>
      <w:r w:rsidRPr="00A73D1D">
        <w:rPr>
          <w:szCs w:val="22"/>
        </w:rPr>
        <w:t>Patterns of multi-morbidity vary ac</w:t>
      </w:r>
      <w:r w:rsidR="00860190" w:rsidRPr="00A73D1D">
        <w:rPr>
          <w:szCs w:val="22"/>
        </w:rPr>
        <w:t>ross the pilot population (see m</w:t>
      </w:r>
      <w:r w:rsidRPr="00A73D1D">
        <w:rPr>
          <w:szCs w:val="22"/>
        </w:rPr>
        <w:t xml:space="preserve">ap of </w:t>
      </w:r>
      <w:r w:rsidR="00860190" w:rsidRPr="00A73D1D">
        <w:rPr>
          <w:szCs w:val="22"/>
        </w:rPr>
        <w:t>m</w:t>
      </w:r>
      <w:r w:rsidR="00516978" w:rsidRPr="00A73D1D">
        <w:rPr>
          <w:szCs w:val="22"/>
        </w:rPr>
        <w:t>orbidity below</w:t>
      </w:r>
      <w:r w:rsidRPr="00A73D1D">
        <w:rPr>
          <w:szCs w:val="22"/>
        </w:rPr>
        <w:t>).</w:t>
      </w:r>
    </w:p>
    <w:p w14:paraId="0C682EC2" w14:textId="77777777" w:rsidR="00192D39" w:rsidRPr="00A73D1D" w:rsidRDefault="00192D39" w:rsidP="00192D39">
      <w:pPr>
        <w:pStyle w:val="NormaBullet"/>
        <w:rPr>
          <w:szCs w:val="22"/>
        </w:rPr>
      </w:pPr>
      <w:r w:rsidRPr="00A73D1D">
        <w:rPr>
          <w:szCs w:val="22"/>
        </w:rPr>
        <w:t>Multi-morbidity is a better predictor of healthcare use than age or frailty.</w:t>
      </w:r>
    </w:p>
    <w:p w14:paraId="13D67224" w14:textId="13B32D2E" w:rsidR="00192D39" w:rsidRPr="00A73D1D" w:rsidRDefault="00192D39" w:rsidP="00192D39">
      <w:pPr>
        <w:pStyle w:val="NormaBullet"/>
        <w:rPr>
          <w:szCs w:val="22"/>
        </w:rPr>
      </w:pPr>
      <w:r w:rsidRPr="00A73D1D">
        <w:rPr>
          <w:szCs w:val="22"/>
        </w:rPr>
        <w:t>There are about 10 specific segments of people in the population defined by the similarity of th</w:t>
      </w:r>
      <w:r w:rsidR="00A73D1D" w:rsidRPr="00A73D1D">
        <w:rPr>
          <w:szCs w:val="22"/>
        </w:rPr>
        <w:t>eir needs.</w:t>
      </w:r>
    </w:p>
    <w:p w14:paraId="24E58242" w14:textId="77777777" w:rsidR="00192D39" w:rsidRPr="00A73D1D" w:rsidRDefault="00192D39" w:rsidP="00192D39">
      <w:pPr>
        <w:pStyle w:val="NormaBullet"/>
        <w:rPr>
          <w:szCs w:val="22"/>
        </w:rPr>
      </w:pPr>
      <w:r w:rsidRPr="00A73D1D">
        <w:rPr>
          <w:szCs w:val="22"/>
        </w:rPr>
        <w:lastRenderedPageBreak/>
        <w:t xml:space="preserve">These segments can become the primary organising logic of integrated prevention, health and care as well as efforts to deliver person-centred anticipatory care  </w:t>
      </w:r>
    </w:p>
    <w:p w14:paraId="13C2D3C7" w14:textId="77777777" w:rsidR="00192D39" w:rsidRPr="00A73D1D" w:rsidRDefault="00192D39" w:rsidP="00192D39">
      <w:pPr>
        <w:rPr>
          <w:szCs w:val="22"/>
        </w:rPr>
      </w:pPr>
    </w:p>
    <w:p w14:paraId="15C993AA" w14:textId="73DDEB65" w:rsidR="00B9348B" w:rsidRPr="00A73D1D" w:rsidRDefault="00B9348B" w:rsidP="00B9348B">
      <w:pPr>
        <w:rPr>
          <w:rFonts w:asciiTheme="minorHAnsi" w:hAnsiTheme="minorHAnsi"/>
          <w:szCs w:val="22"/>
        </w:rPr>
      </w:pPr>
      <w:r w:rsidRPr="00A73D1D">
        <w:rPr>
          <w:rFonts w:asciiTheme="minorHAnsi" w:hAnsiTheme="minorHAnsi"/>
          <w:szCs w:val="22"/>
        </w:rPr>
        <w:t xml:space="preserve">Having now segmented our population by multi-morbidity i.e. long term conditions (LTCs), we will determine which segments are most likely to benefit from anticipatory care and work with healthcare professionals and patients to identify the outcomes which are most important to people in those segments.  We will then use the evidence base to identify which interventions will be the most effective in achieving these outcomes for the segments.  Examples of interventions which might be more effective in different segments include Enhanced Community </w:t>
      </w:r>
      <w:r w:rsidR="00F546A8" w:rsidRPr="00A73D1D">
        <w:rPr>
          <w:rFonts w:asciiTheme="minorHAnsi" w:hAnsiTheme="minorHAnsi"/>
          <w:szCs w:val="22"/>
        </w:rPr>
        <w:t>Cluster</w:t>
      </w:r>
      <w:r w:rsidRPr="00A73D1D">
        <w:rPr>
          <w:rFonts w:asciiTheme="minorHAnsi" w:hAnsiTheme="minorHAnsi"/>
          <w:szCs w:val="22"/>
        </w:rPr>
        <w:t xml:space="preserve"> Teams</w:t>
      </w:r>
      <w:r w:rsidR="00A73D1D" w:rsidRPr="00A73D1D">
        <w:rPr>
          <w:rFonts w:asciiTheme="minorHAnsi" w:hAnsiTheme="minorHAnsi"/>
          <w:szCs w:val="22"/>
        </w:rPr>
        <w:t xml:space="preserve">, Community Resource Teams and </w:t>
      </w:r>
      <w:r w:rsidRPr="00A73D1D">
        <w:rPr>
          <w:rFonts w:asciiTheme="minorHAnsi" w:hAnsiTheme="minorHAnsi"/>
          <w:szCs w:val="22"/>
        </w:rPr>
        <w:t>Stay Well at Home.</w:t>
      </w:r>
      <w:r w:rsidR="00A73D1D" w:rsidRPr="00A73D1D">
        <w:rPr>
          <w:rFonts w:asciiTheme="minorHAnsi" w:hAnsiTheme="minorHAnsi"/>
          <w:szCs w:val="22"/>
        </w:rPr>
        <w:t xml:space="preserve">  This approach is now being rolled out across the Health Board. </w:t>
      </w:r>
    </w:p>
    <w:p w14:paraId="3D2B4AEF" w14:textId="4777B132" w:rsidR="00B9348B" w:rsidRPr="002E3731" w:rsidRDefault="00B9348B" w:rsidP="00B9348B">
      <w:pPr>
        <w:rPr>
          <w:rFonts w:asciiTheme="minorHAnsi" w:hAnsiTheme="minorHAnsi"/>
          <w:szCs w:val="22"/>
        </w:rPr>
      </w:pPr>
    </w:p>
    <w:p w14:paraId="432BDD39" w14:textId="232C2BF5" w:rsidR="00DD79F4" w:rsidRDefault="00DD79F4" w:rsidP="00DD79F4">
      <w:pPr>
        <w:jc w:val="center"/>
        <w:rPr>
          <w:rFonts w:asciiTheme="minorHAnsi" w:hAnsiTheme="minorHAnsi"/>
          <w:szCs w:val="22"/>
        </w:rPr>
      </w:pPr>
      <w:r w:rsidRPr="003D0778">
        <w:rPr>
          <w:rFonts w:asciiTheme="minorHAnsi" w:hAnsiTheme="minorHAnsi"/>
          <w:noProof/>
          <w:szCs w:val="22"/>
        </w:rPr>
        <w:drawing>
          <wp:inline distT="0" distB="0" distL="0" distR="0" wp14:anchorId="09716713" wp14:editId="221E6FA1">
            <wp:extent cx="3744219" cy="2018805"/>
            <wp:effectExtent l="0" t="0" r="889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785496" cy="2041061"/>
                    </a:xfrm>
                    <a:prstGeom prst="rect">
                      <a:avLst/>
                    </a:prstGeom>
                    <a:noFill/>
                  </pic:spPr>
                </pic:pic>
              </a:graphicData>
            </a:graphic>
          </wp:inline>
        </w:drawing>
      </w:r>
    </w:p>
    <w:p w14:paraId="379232E0" w14:textId="180356BE" w:rsidR="0020655A" w:rsidRPr="003D0778" w:rsidRDefault="0020655A" w:rsidP="00DD79F4">
      <w:pPr>
        <w:jc w:val="center"/>
        <w:rPr>
          <w:rFonts w:asciiTheme="minorHAnsi" w:hAnsiTheme="minorHAnsi"/>
          <w:szCs w:val="22"/>
        </w:rPr>
      </w:pPr>
      <w:r w:rsidRPr="003D0778">
        <w:rPr>
          <w:noProof/>
          <w:szCs w:val="22"/>
        </w:rPr>
        <w:drawing>
          <wp:anchor distT="0" distB="0" distL="114300" distR="114300" simplePos="0" relativeHeight="252628992" behindDoc="0" locked="0" layoutInCell="1" allowOverlap="1" wp14:anchorId="57751FE3" wp14:editId="71BBBB27">
            <wp:simplePos x="0" y="0"/>
            <wp:positionH relativeFrom="margin">
              <wp:posOffset>5878583</wp:posOffset>
            </wp:positionH>
            <wp:positionV relativeFrom="paragraph">
              <wp:posOffset>149605</wp:posOffset>
            </wp:positionV>
            <wp:extent cx="544195" cy="450215"/>
            <wp:effectExtent l="0" t="0" r="8255" b="6985"/>
            <wp:wrapNone/>
            <wp:docPr id="1864" name="Picture 1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4195" cy="450215"/>
                    </a:xfrm>
                    <a:prstGeom prst="rect">
                      <a:avLst/>
                    </a:prstGeom>
                    <a:noFill/>
                  </pic:spPr>
                </pic:pic>
              </a:graphicData>
            </a:graphic>
            <wp14:sizeRelH relativeFrom="page">
              <wp14:pctWidth>0</wp14:pctWidth>
            </wp14:sizeRelH>
            <wp14:sizeRelV relativeFrom="page">
              <wp14:pctHeight>0</wp14:pctHeight>
            </wp14:sizeRelV>
          </wp:anchor>
        </w:drawing>
      </w:r>
    </w:p>
    <w:p w14:paraId="000B2A72" w14:textId="2A0B8BEA" w:rsidR="007C1C2D" w:rsidRPr="003D0778" w:rsidRDefault="007C1C2D" w:rsidP="0073562C">
      <w:pPr>
        <w:pStyle w:val="StyleHeading2PatternClearAccent2"/>
        <w:rPr>
          <w:szCs w:val="22"/>
        </w:rPr>
      </w:pPr>
      <w:bookmarkStart w:id="86" w:name="_Toc532299679"/>
      <w:bookmarkStart w:id="87" w:name="_Toc532463973"/>
      <w:bookmarkStart w:id="88" w:name="_Toc536195560"/>
      <w:bookmarkStart w:id="89" w:name="_Toc25262176"/>
      <w:r w:rsidRPr="003D0778">
        <w:rPr>
          <w:szCs w:val="22"/>
        </w:rPr>
        <w:t xml:space="preserve">Integrated </w:t>
      </w:r>
      <w:r w:rsidR="008942B1" w:rsidRPr="003D0778">
        <w:rPr>
          <w:szCs w:val="22"/>
        </w:rPr>
        <w:t>Community</w:t>
      </w:r>
      <w:r w:rsidRPr="003D0778">
        <w:rPr>
          <w:szCs w:val="22"/>
        </w:rPr>
        <w:t xml:space="preserve"> Services</w:t>
      </w:r>
      <w:bookmarkEnd w:id="86"/>
      <w:bookmarkEnd w:id="87"/>
      <w:bookmarkEnd w:id="88"/>
      <w:bookmarkEnd w:id="89"/>
    </w:p>
    <w:p w14:paraId="73352CE5" w14:textId="7FA79D0B" w:rsidR="00AF2147" w:rsidRPr="003D0778" w:rsidRDefault="00AF2147" w:rsidP="001801B7">
      <w:pPr>
        <w:pStyle w:val="Heading3"/>
        <w:ind w:left="0" w:firstLine="0"/>
        <w:rPr>
          <w:szCs w:val="22"/>
        </w:rPr>
      </w:pPr>
      <w:bookmarkStart w:id="90" w:name="_Toc473290314"/>
      <w:bookmarkStart w:id="91" w:name="_Toc532463974"/>
      <w:r w:rsidRPr="003D0778">
        <w:rPr>
          <w:szCs w:val="22"/>
        </w:rPr>
        <w:t>Integrated Health and Social Care</w:t>
      </w:r>
      <w:bookmarkEnd w:id="90"/>
      <w:bookmarkEnd w:id="91"/>
    </w:p>
    <w:p w14:paraId="26CFF21E" w14:textId="7E7C6F1D" w:rsidR="008F42BE" w:rsidRPr="003842D6" w:rsidRDefault="003842D6" w:rsidP="00DE3A76">
      <w:pPr>
        <w:rPr>
          <w:rFonts w:asciiTheme="minorHAnsi" w:hAnsiTheme="minorHAnsi" w:cs="Arial"/>
          <w:szCs w:val="22"/>
        </w:rPr>
      </w:pPr>
      <w:r w:rsidRPr="003842D6">
        <w:rPr>
          <w:rFonts w:asciiTheme="minorHAnsi" w:hAnsiTheme="minorHAnsi"/>
          <w:szCs w:val="22"/>
        </w:rPr>
        <w:t xml:space="preserve">The RPB is the key driver for change in health and social care at regional level, </w:t>
      </w:r>
      <w:r w:rsidRPr="003842D6">
        <w:rPr>
          <w:rFonts w:asciiTheme="minorHAnsi" w:hAnsiTheme="minorHAnsi" w:cs="Arial"/>
          <w:szCs w:val="22"/>
        </w:rPr>
        <w:t>exploring and delivering opportunities for greater integration between health and social care services within Cwm Taf</w:t>
      </w:r>
      <w:r w:rsidRPr="003842D6">
        <w:rPr>
          <w:rFonts w:asciiTheme="minorHAnsi" w:hAnsiTheme="minorHAnsi"/>
          <w:szCs w:val="22"/>
        </w:rPr>
        <w:t xml:space="preserve">.  </w:t>
      </w:r>
      <w:r w:rsidRPr="003842D6">
        <w:rPr>
          <w:rFonts w:asciiTheme="minorHAnsi" w:hAnsiTheme="minorHAnsi" w:cs="Arial"/>
          <w:szCs w:val="22"/>
        </w:rPr>
        <w:t xml:space="preserve">The </w:t>
      </w:r>
      <w:r w:rsidRPr="003842D6">
        <w:rPr>
          <w:rStyle w:val="Hyperlink"/>
          <w:rFonts w:asciiTheme="minorHAnsi" w:hAnsiTheme="minorHAnsi" w:cs="Arial"/>
          <w:color w:val="auto"/>
          <w:szCs w:val="22"/>
        </w:rPr>
        <w:t>Cwm Taf Social Services and Well-Being Annual Report for 2018/19</w:t>
      </w:r>
      <w:r w:rsidRPr="003842D6">
        <w:rPr>
          <w:rFonts w:asciiTheme="minorHAnsi" w:hAnsiTheme="minorHAnsi" w:cs="Arial"/>
          <w:szCs w:val="22"/>
        </w:rPr>
        <w:t xml:space="preserve"> will be published shortly.</w:t>
      </w:r>
    </w:p>
    <w:p w14:paraId="5287EFF0" w14:textId="77777777" w:rsidR="003842D6" w:rsidRPr="003842D6" w:rsidRDefault="003842D6" w:rsidP="008D5F33">
      <w:pPr>
        <w:rPr>
          <w:szCs w:val="22"/>
        </w:rPr>
      </w:pPr>
    </w:p>
    <w:p w14:paraId="5E06F366" w14:textId="77777777" w:rsidR="003842D6" w:rsidRPr="003842D6" w:rsidRDefault="003842D6" w:rsidP="003842D6">
      <w:pPr>
        <w:rPr>
          <w:szCs w:val="22"/>
        </w:rPr>
      </w:pPr>
      <w:r w:rsidRPr="003842D6">
        <w:rPr>
          <w:szCs w:val="22"/>
        </w:rPr>
        <w:t xml:space="preserve">As a new Cwm Taf Morgannwg Region there is a requirement to refresh priorities for the Regional Partnership Board. Work on a vision, priorities and governance for the new are RPB is being undertaken and will inform the new plan.  </w:t>
      </w:r>
      <w:r w:rsidRPr="003842D6">
        <w:rPr>
          <w:rFonts w:cs="Arial"/>
          <w:szCs w:val="22"/>
        </w:rPr>
        <w:t>Whilst it is recognised that the RPB is about to go through period of transition, clear priorities remain which include:</w:t>
      </w:r>
    </w:p>
    <w:p w14:paraId="2C798BD2" w14:textId="652D734C" w:rsidR="00195C09" w:rsidRPr="003842D6" w:rsidRDefault="003842D6" w:rsidP="003B1653">
      <w:pPr>
        <w:numPr>
          <w:ilvl w:val="0"/>
          <w:numId w:val="20"/>
        </w:numPr>
        <w:ind w:left="357" w:hanging="357"/>
        <w:rPr>
          <w:rFonts w:cs="Arial"/>
          <w:szCs w:val="22"/>
        </w:rPr>
      </w:pPr>
      <w:r w:rsidRPr="003842D6">
        <w:rPr>
          <w:rFonts w:cs="Arial"/>
          <w:szCs w:val="22"/>
        </w:rPr>
        <w:t xml:space="preserve">Further embedding the </w:t>
      </w:r>
      <w:r w:rsidR="00195C09" w:rsidRPr="003842D6">
        <w:rPr>
          <w:rFonts w:cs="Arial"/>
          <w:szCs w:val="22"/>
        </w:rPr>
        <w:t>new Regional Partnership Board (including housing and primary care clusters representation)</w:t>
      </w:r>
    </w:p>
    <w:p w14:paraId="4DF5D2B3" w14:textId="1D3DE850" w:rsidR="00195C09" w:rsidRPr="003842D6" w:rsidRDefault="00195C09" w:rsidP="003B1653">
      <w:pPr>
        <w:numPr>
          <w:ilvl w:val="0"/>
          <w:numId w:val="20"/>
        </w:numPr>
        <w:ind w:left="357" w:hanging="357"/>
        <w:rPr>
          <w:rFonts w:cs="Arial"/>
          <w:szCs w:val="22"/>
        </w:rPr>
      </w:pPr>
      <w:r w:rsidRPr="003842D6">
        <w:rPr>
          <w:rFonts w:cs="Arial"/>
          <w:szCs w:val="22"/>
        </w:rPr>
        <w:t>Developing and delivering a new Area Plan</w:t>
      </w:r>
    </w:p>
    <w:p w14:paraId="6AA10DF1" w14:textId="59F95229" w:rsidR="00195C09" w:rsidRPr="003842D6" w:rsidRDefault="00195C09" w:rsidP="003B1653">
      <w:pPr>
        <w:numPr>
          <w:ilvl w:val="0"/>
          <w:numId w:val="20"/>
        </w:numPr>
        <w:ind w:left="357" w:hanging="357"/>
        <w:rPr>
          <w:rFonts w:cs="Arial"/>
          <w:szCs w:val="22"/>
        </w:rPr>
      </w:pPr>
      <w:r w:rsidRPr="003842D6">
        <w:rPr>
          <w:rFonts w:cs="Arial"/>
          <w:szCs w:val="22"/>
        </w:rPr>
        <w:t>Delivery of the transformation programmes for Cwm Taf: Stay Well in Your Community and Bridgend: Accelerating the Pace of Change of Integrated Services</w:t>
      </w:r>
    </w:p>
    <w:p w14:paraId="3FA0CC7D" w14:textId="2A44BEEF" w:rsidR="00195C09" w:rsidRPr="003842D6" w:rsidRDefault="00195C09" w:rsidP="003B1653">
      <w:pPr>
        <w:numPr>
          <w:ilvl w:val="0"/>
          <w:numId w:val="20"/>
        </w:numPr>
        <w:ind w:left="357" w:hanging="357"/>
        <w:rPr>
          <w:rFonts w:cs="Arial"/>
          <w:szCs w:val="22"/>
        </w:rPr>
      </w:pPr>
      <w:r w:rsidRPr="003842D6">
        <w:rPr>
          <w:rFonts w:cs="Arial"/>
          <w:szCs w:val="22"/>
        </w:rPr>
        <w:t xml:space="preserve">Continued delivery of the </w:t>
      </w:r>
      <w:r w:rsidR="003842D6" w:rsidRPr="003842D6">
        <w:rPr>
          <w:rFonts w:cs="Arial"/>
          <w:szCs w:val="22"/>
        </w:rPr>
        <w:t>Cwm Taf Morgannwg Regional work programme</w:t>
      </w:r>
      <w:r w:rsidRPr="003842D6">
        <w:rPr>
          <w:rFonts w:cs="Arial"/>
          <w:szCs w:val="22"/>
        </w:rPr>
        <w:t>.  This includes:</w:t>
      </w:r>
    </w:p>
    <w:p w14:paraId="16D1AD81" w14:textId="7CDA4953" w:rsidR="00195C09" w:rsidRPr="003842D6" w:rsidRDefault="00195C09" w:rsidP="003B1653">
      <w:pPr>
        <w:numPr>
          <w:ilvl w:val="1"/>
          <w:numId w:val="21"/>
        </w:numPr>
        <w:tabs>
          <w:tab w:val="clear" w:pos="1440"/>
        </w:tabs>
        <w:ind w:left="709" w:hanging="357"/>
        <w:rPr>
          <w:rFonts w:cs="Arial"/>
          <w:szCs w:val="22"/>
        </w:rPr>
      </w:pPr>
      <w:r w:rsidRPr="003842D6">
        <w:rPr>
          <w:rFonts w:cs="Arial"/>
          <w:szCs w:val="22"/>
        </w:rPr>
        <w:t>Embedding the new Regional Commissioning Unit</w:t>
      </w:r>
    </w:p>
    <w:p w14:paraId="04F9FC64" w14:textId="0DD2B907" w:rsidR="00195C09" w:rsidRDefault="00195C09" w:rsidP="003B1653">
      <w:pPr>
        <w:numPr>
          <w:ilvl w:val="1"/>
          <w:numId w:val="21"/>
        </w:numPr>
        <w:tabs>
          <w:tab w:val="clear" w:pos="1440"/>
        </w:tabs>
        <w:ind w:left="709" w:hanging="357"/>
        <w:rPr>
          <w:rFonts w:cs="Arial"/>
          <w:szCs w:val="22"/>
        </w:rPr>
      </w:pPr>
      <w:r w:rsidRPr="003842D6">
        <w:rPr>
          <w:rFonts w:cs="Arial"/>
          <w:szCs w:val="22"/>
        </w:rPr>
        <w:t>Delivery of both capital and revenue ICF schemes</w:t>
      </w:r>
    </w:p>
    <w:p w14:paraId="4A07C63F" w14:textId="77777777" w:rsidR="0020655A" w:rsidRDefault="0020655A" w:rsidP="0020655A">
      <w:pPr>
        <w:rPr>
          <w:rFonts w:cs="Arial"/>
          <w:szCs w:val="22"/>
        </w:rPr>
      </w:pPr>
    </w:p>
    <w:p w14:paraId="0A9CFAF2" w14:textId="77777777" w:rsidR="0020655A" w:rsidRDefault="0020655A" w:rsidP="0020655A">
      <w:pPr>
        <w:rPr>
          <w:rFonts w:cs="Arial"/>
          <w:szCs w:val="22"/>
        </w:rPr>
      </w:pPr>
    </w:p>
    <w:p w14:paraId="4353D8E6" w14:textId="77777777" w:rsidR="0020655A" w:rsidRDefault="0020655A" w:rsidP="0020655A">
      <w:pPr>
        <w:rPr>
          <w:rFonts w:cs="Arial"/>
          <w:szCs w:val="22"/>
        </w:rPr>
      </w:pPr>
    </w:p>
    <w:p w14:paraId="02B4D83C" w14:textId="77777777" w:rsidR="0020655A" w:rsidRDefault="0020655A" w:rsidP="0020655A">
      <w:pPr>
        <w:rPr>
          <w:rFonts w:cs="Arial"/>
          <w:szCs w:val="22"/>
        </w:rPr>
      </w:pPr>
    </w:p>
    <w:p w14:paraId="6ED81FC1" w14:textId="77777777" w:rsidR="0020655A" w:rsidRDefault="0020655A" w:rsidP="0020655A">
      <w:pPr>
        <w:rPr>
          <w:rFonts w:cs="Arial"/>
          <w:szCs w:val="22"/>
        </w:rPr>
      </w:pPr>
    </w:p>
    <w:p w14:paraId="74472486" w14:textId="77777777" w:rsidR="0020655A" w:rsidRDefault="0020655A" w:rsidP="0020655A">
      <w:pPr>
        <w:rPr>
          <w:rFonts w:cs="Arial"/>
          <w:szCs w:val="22"/>
        </w:rPr>
      </w:pPr>
    </w:p>
    <w:p w14:paraId="685131B9" w14:textId="77777777" w:rsidR="0020655A" w:rsidRDefault="0020655A" w:rsidP="0020655A">
      <w:pPr>
        <w:rPr>
          <w:rFonts w:cs="Arial"/>
          <w:szCs w:val="22"/>
        </w:rPr>
      </w:pPr>
    </w:p>
    <w:p w14:paraId="0DED6897" w14:textId="77777777" w:rsidR="0020655A" w:rsidRPr="003842D6" w:rsidRDefault="0020655A" w:rsidP="0020655A">
      <w:pPr>
        <w:rPr>
          <w:rFonts w:cs="Arial"/>
          <w:szCs w:val="22"/>
        </w:rPr>
      </w:pPr>
    </w:p>
    <w:p w14:paraId="3CC626EF" w14:textId="1FE49C5C" w:rsidR="008D5F33" w:rsidRPr="008D5F33" w:rsidRDefault="008D5F33" w:rsidP="008D5F33">
      <w:pPr>
        <w:pStyle w:val="Heading3"/>
        <w:rPr>
          <w:szCs w:val="22"/>
        </w:rPr>
      </w:pPr>
      <w:r w:rsidRPr="008D5F33">
        <w:rPr>
          <w:szCs w:val="22"/>
        </w:rPr>
        <w:lastRenderedPageBreak/>
        <w:t>Stay Well In Your Community – Transformation Programme</w:t>
      </w:r>
    </w:p>
    <w:p w14:paraId="6A2D6B72" w14:textId="46E06298" w:rsidR="002E3731" w:rsidRDefault="0020655A" w:rsidP="008D5F33">
      <w:pPr>
        <w:rPr>
          <w:rFonts w:asciiTheme="minorHAnsi" w:hAnsiTheme="minorHAnsi" w:cstheme="minorHAnsi"/>
          <w:szCs w:val="22"/>
        </w:rPr>
      </w:pPr>
      <w:r w:rsidRPr="00216D30">
        <w:rPr>
          <w:rFonts w:asciiTheme="minorHAnsi" w:hAnsiTheme="minorHAnsi" w:cstheme="minorHAnsi"/>
          <w:i/>
          <w:noProof/>
          <w:szCs w:val="22"/>
        </w:rPr>
        <w:drawing>
          <wp:anchor distT="0" distB="0" distL="114300" distR="114300" simplePos="0" relativeHeight="252762112" behindDoc="0" locked="0" layoutInCell="1" allowOverlap="1" wp14:anchorId="6840FFF8" wp14:editId="04486E04">
            <wp:simplePos x="0" y="0"/>
            <wp:positionH relativeFrom="margin">
              <wp:posOffset>2271848</wp:posOffset>
            </wp:positionH>
            <wp:positionV relativeFrom="margin">
              <wp:posOffset>252713</wp:posOffset>
            </wp:positionV>
            <wp:extent cx="4036060" cy="2169160"/>
            <wp:effectExtent l="0" t="0" r="2540" b="254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4036060" cy="2169160"/>
                    </a:xfrm>
                    <a:prstGeom prst="rect">
                      <a:avLst/>
                    </a:prstGeom>
                    <a:noFill/>
                  </pic:spPr>
                </pic:pic>
              </a:graphicData>
            </a:graphic>
            <wp14:sizeRelH relativeFrom="page">
              <wp14:pctWidth>0</wp14:pctWidth>
            </wp14:sizeRelH>
            <wp14:sizeRelV relativeFrom="page">
              <wp14:pctHeight>0</wp14:pctHeight>
            </wp14:sizeRelV>
          </wp:anchor>
        </w:drawing>
      </w:r>
    </w:p>
    <w:p w14:paraId="18D06483" w14:textId="1E07C3A0" w:rsidR="008D5F33" w:rsidRPr="00216D30" w:rsidRDefault="00216D30" w:rsidP="008D5F33">
      <w:pPr>
        <w:rPr>
          <w:rFonts w:asciiTheme="minorHAnsi" w:hAnsiTheme="minorHAnsi" w:cstheme="minorHAnsi"/>
          <w:szCs w:val="22"/>
        </w:rPr>
      </w:pPr>
      <w:r w:rsidRPr="00216D30">
        <w:rPr>
          <w:rFonts w:asciiTheme="minorHAnsi" w:hAnsiTheme="minorHAnsi" w:cstheme="minorHAnsi"/>
          <w:szCs w:val="22"/>
        </w:rPr>
        <w:t xml:space="preserve">Developed within the former </w:t>
      </w:r>
      <w:r w:rsidR="008D5F33" w:rsidRPr="00216D30">
        <w:rPr>
          <w:rFonts w:asciiTheme="minorHAnsi" w:hAnsiTheme="minorHAnsi" w:cstheme="minorHAnsi"/>
          <w:szCs w:val="22"/>
        </w:rPr>
        <w:t xml:space="preserve">Cwm Taf </w:t>
      </w:r>
      <w:r w:rsidRPr="00216D30">
        <w:rPr>
          <w:rFonts w:asciiTheme="minorHAnsi" w:hAnsiTheme="minorHAnsi" w:cstheme="minorHAnsi"/>
          <w:szCs w:val="22"/>
        </w:rPr>
        <w:t xml:space="preserve">Regional Partnership the Cwm Taf </w:t>
      </w:r>
      <w:r w:rsidR="008D5F33" w:rsidRPr="00216D30">
        <w:rPr>
          <w:rFonts w:asciiTheme="minorHAnsi" w:hAnsiTheme="minorHAnsi" w:cstheme="minorHAnsi"/>
          <w:szCs w:val="22"/>
        </w:rPr>
        <w:t xml:space="preserve">Population Health and Social Care model has three layers to it: Wellbeing, Integrated Community Care, </w:t>
      </w:r>
      <w:proofErr w:type="gramStart"/>
      <w:r w:rsidR="008D5F33" w:rsidRPr="00216D30">
        <w:rPr>
          <w:rFonts w:asciiTheme="minorHAnsi" w:hAnsiTheme="minorHAnsi" w:cstheme="minorHAnsi"/>
          <w:szCs w:val="22"/>
        </w:rPr>
        <w:t>Closer</w:t>
      </w:r>
      <w:proofErr w:type="gramEnd"/>
      <w:r w:rsidR="008D5F33" w:rsidRPr="00216D30">
        <w:rPr>
          <w:rFonts w:asciiTheme="minorHAnsi" w:hAnsiTheme="minorHAnsi" w:cstheme="minorHAnsi"/>
          <w:szCs w:val="22"/>
        </w:rPr>
        <w:t xml:space="preserve"> to Home; Acute Health and Social Care and Tertiary Health Services; with the voice of the individual at the heart of the development of a seamless service model</w:t>
      </w:r>
      <w:r w:rsidRPr="00216D30">
        <w:rPr>
          <w:rFonts w:asciiTheme="minorHAnsi" w:hAnsiTheme="minorHAnsi" w:cstheme="minorHAnsi"/>
          <w:szCs w:val="22"/>
        </w:rPr>
        <w:t>.</w:t>
      </w:r>
    </w:p>
    <w:p w14:paraId="71525830" w14:textId="37FB1F85" w:rsidR="008D5F33" w:rsidRDefault="008D5F33" w:rsidP="008D5F33">
      <w:pPr>
        <w:autoSpaceDE w:val="0"/>
        <w:autoSpaceDN w:val="0"/>
        <w:adjustRightInd w:val="0"/>
        <w:rPr>
          <w:rFonts w:asciiTheme="minorHAnsi" w:hAnsiTheme="minorHAnsi" w:cstheme="minorHAnsi"/>
          <w:szCs w:val="22"/>
        </w:rPr>
      </w:pPr>
    </w:p>
    <w:p w14:paraId="0031494B" w14:textId="77777777" w:rsidR="002E3731" w:rsidRPr="00216D30" w:rsidRDefault="002E3731" w:rsidP="008D5F33">
      <w:pPr>
        <w:autoSpaceDE w:val="0"/>
        <w:autoSpaceDN w:val="0"/>
        <w:adjustRightInd w:val="0"/>
        <w:rPr>
          <w:rFonts w:asciiTheme="minorHAnsi" w:hAnsiTheme="minorHAnsi" w:cstheme="minorHAnsi"/>
          <w:szCs w:val="22"/>
        </w:rPr>
      </w:pPr>
    </w:p>
    <w:p w14:paraId="337187C3" w14:textId="6D11AF20" w:rsidR="008D5F33" w:rsidRPr="00216D30" w:rsidRDefault="008D5F33" w:rsidP="008D5F33">
      <w:pPr>
        <w:autoSpaceDE w:val="0"/>
        <w:autoSpaceDN w:val="0"/>
        <w:adjustRightInd w:val="0"/>
        <w:rPr>
          <w:rFonts w:asciiTheme="minorHAnsi" w:hAnsiTheme="minorHAnsi" w:cstheme="minorHAnsi"/>
          <w:szCs w:val="22"/>
        </w:rPr>
      </w:pPr>
      <w:r w:rsidRPr="00216D30">
        <w:rPr>
          <w:rFonts w:asciiTheme="minorHAnsi" w:hAnsiTheme="minorHAnsi" w:cstheme="minorHAnsi"/>
          <w:szCs w:val="22"/>
        </w:rPr>
        <w:t>Based on the whole system Cwm Taf Population Health and Social Care Service Model below, the priorities for an initial phase of the Programme is based on the following complementary components:</w:t>
      </w:r>
    </w:p>
    <w:p w14:paraId="2650E93B" w14:textId="48346073" w:rsidR="008D5F33" w:rsidRPr="003D0778" w:rsidRDefault="008D5F33" w:rsidP="002E3731">
      <w:pPr>
        <w:rPr>
          <w:szCs w:val="22"/>
        </w:rPr>
      </w:pPr>
    </w:p>
    <w:p w14:paraId="4DBD074C" w14:textId="19B78F32" w:rsidR="008D5F33" w:rsidRPr="003D0778" w:rsidRDefault="008D5F33" w:rsidP="008D5F33">
      <w:pPr>
        <w:spacing w:before="160"/>
        <w:rPr>
          <w:rFonts w:asciiTheme="minorHAnsi" w:hAnsiTheme="minorHAnsi" w:cstheme="minorHAnsi"/>
          <w:b/>
          <w:szCs w:val="22"/>
        </w:rPr>
      </w:pPr>
      <w:r w:rsidRPr="003D0778">
        <w:rPr>
          <w:rFonts w:asciiTheme="minorHAnsi" w:hAnsiTheme="minorHAnsi" w:cstheme="minorHAnsi"/>
          <w:b/>
          <w:szCs w:val="22"/>
        </w:rPr>
        <w:t>Multidisciplinary Anticipatory Care and Enhanced Routine Monitoring Services</w:t>
      </w:r>
    </w:p>
    <w:p w14:paraId="67CDD509" w14:textId="77777777" w:rsidR="008D5F33" w:rsidRPr="008D5F33" w:rsidRDefault="008D5F33" w:rsidP="008D5F33">
      <w:pPr>
        <w:rPr>
          <w:rFonts w:asciiTheme="minorHAnsi" w:hAnsiTheme="minorHAnsi" w:cstheme="minorHAnsi"/>
          <w:color w:val="002060"/>
          <w:sz w:val="4"/>
          <w:szCs w:val="4"/>
        </w:rPr>
      </w:pPr>
    </w:p>
    <w:p w14:paraId="5E729FB9" w14:textId="12E8A7A9" w:rsidR="008D5F33" w:rsidRPr="003D0778" w:rsidRDefault="008D5F33" w:rsidP="003B1653">
      <w:pPr>
        <w:numPr>
          <w:ilvl w:val="0"/>
          <w:numId w:val="16"/>
        </w:numPr>
        <w:pBdr>
          <w:top w:val="single" w:sz="24" w:space="1" w:color="548235"/>
          <w:left w:val="single" w:sz="24" w:space="4" w:color="548235"/>
          <w:bottom w:val="single" w:sz="24" w:space="1" w:color="548235"/>
          <w:right w:val="single" w:sz="24" w:space="4" w:color="548235"/>
        </w:pBdr>
        <w:ind w:left="426"/>
        <w:rPr>
          <w:rFonts w:asciiTheme="minorHAnsi" w:hAnsiTheme="minorHAnsi" w:cstheme="minorHAnsi"/>
          <w:color w:val="000000"/>
          <w:szCs w:val="22"/>
        </w:rPr>
      </w:pPr>
      <w:r w:rsidRPr="003D0778">
        <w:rPr>
          <w:rFonts w:asciiTheme="minorHAnsi" w:hAnsiTheme="minorHAnsi" w:cstheme="minorHAnsi"/>
          <w:color w:val="000000"/>
          <w:szCs w:val="22"/>
        </w:rPr>
        <w:t xml:space="preserve">Systematise practice, cluster and Health Board level, population health segmentation and risk stratification to enable improved health and social care, quality and value (technical and allocative) outcomes.  This segmentation/risk score will target the intervention of assistive technology, disease specific community teams and the multi-agency Enhanced Community </w:t>
      </w:r>
      <w:r w:rsidR="00F546A8">
        <w:rPr>
          <w:rFonts w:asciiTheme="minorHAnsi" w:hAnsiTheme="minorHAnsi" w:cstheme="minorHAnsi"/>
          <w:color w:val="000000"/>
          <w:szCs w:val="22"/>
        </w:rPr>
        <w:t>Cluster</w:t>
      </w:r>
      <w:r w:rsidRPr="003D0778">
        <w:rPr>
          <w:rFonts w:asciiTheme="minorHAnsi" w:hAnsiTheme="minorHAnsi" w:cstheme="minorHAnsi"/>
          <w:color w:val="000000"/>
          <w:szCs w:val="22"/>
        </w:rPr>
        <w:t xml:space="preserve"> Team.</w:t>
      </w:r>
    </w:p>
    <w:p w14:paraId="6E6653CC" w14:textId="3127B2F9" w:rsidR="008D5F33" w:rsidRPr="008D5F33" w:rsidRDefault="008D5F33" w:rsidP="008D5F33">
      <w:pPr>
        <w:ind w:left="426"/>
        <w:rPr>
          <w:rFonts w:asciiTheme="minorHAnsi" w:hAnsiTheme="minorHAnsi" w:cstheme="minorHAnsi"/>
          <w:color w:val="000000"/>
          <w:sz w:val="4"/>
          <w:szCs w:val="4"/>
        </w:rPr>
      </w:pPr>
    </w:p>
    <w:p w14:paraId="66A99FE9" w14:textId="4FAFD963" w:rsidR="008D5F33" w:rsidRPr="003D0778" w:rsidRDefault="008D5F33" w:rsidP="003B1653">
      <w:pPr>
        <w:numPr>
          <w:ilvl w:val="0"/>
          <w:numId w:val="16"/>
        </w:numPr>
        <w:pBdr>
          <w:top w:val="single" w:sz="24" w:space="1" w:color="548235"/>
          <w:left w:val="single" w:sz="24" w:space="4" w:color="548235"/>
          <w:bottom w:val="single" w:sz="24" w:space="1" w:color="548235"/>
          <w:right w:val="single" w:sz="24" w:space="4" w:color="548235"/>
        </w:pBdr>
        <w:ind w:left="426"/>
        <w:rPr>
          <w:rFonts w:asciiTheme="minorHAnsi" w:hAnsiTheme="minorHAnsi" w:cstheme="minorHAnsi"/>
          <w:color w:val="000000"/>
          <w:szCs w:val="22"/>
        </w:rPr>
      </w:pPr>
      <w:r w:rsidRPr="003D0778">
        <w:rPr>
          <w:rFonts w:asciiTheme="minorHAnsi" w:hAnsiTheme="minorHAnsi" w:cstheme="minorHAnsi"/>
          <w:color w:val="000000"/>
          <w:szCs w:val="22"/>
        </w:rPr>
        <w:t xml:space="preserve">The further development, of a proactive outward facing assistive technology model through the utilisation of appropriate assessment, proactive calling, equipment and rapid response services, enabling </w:t>
      </w:r>
      <w:r w:rsidRPr="003D0778">
        <w:rPr>
          <w:rFonts w:asciiTheme="minorHAnsi" w:hAnsiTheme="minorHAnsi" w:cstheme="minorHAnsi"/>
          <w:szCs w:val="22"/>
        </w:rPr>
        <w:t>people to maintain their independence at home.</w:t>
      </w:r>
    </w:p>
    <w:p w14:paraId="14688F94" w14:textId="03129DEC" w:rsidR="008D5F33" w:rsidRPr="008D5F33" w:rsidRDefault="008D5F33" w:rsidP="008D5F33">
      <w:pPr>
        <w:pStyle w:val="ListParagraph"/>
        <w:rPr>
          <w:rFonts w:asciiTheme="minorHAnsi" w:hAnsiTheme="minorHAnsi" w:cstheme="minorHAnsi"/>
          <w:color w:val="000000"/>
          <w:sz w:val="4"/>
          <w:szCs w:val="4"/>
        </w:rPr>
      </w:pPr>
    </w:p>
    <w:p w14:paraId="0A58E3C1" w14:textId="01E1A2C5" w:rsidR="008D5F33" w:rsidRPr="003D0778" w:rsidRDefault="008D5F33" w:rsidP="003B1653">
      <w:pPr>
        <w:numPr>
          <w:ilvl w:val="0"/>
          <w:numId w:val="16"/>
        </w:numPr>
        <w:pBdr>
          <w:top w:val="single" w:sz="24" w:space="1" w:color="7030A0"/>
          <w:left w:val="single" w:sz="24" w:space="4" w:color="7030A0"/>
          <w:bottom w:val="single" w:sz="24" w:space="1" w:color="7030A0"/>
          <w:right w:val="single" w:sz="24" w:space="4" w:color="7030A0"/>
        </w:pBdr>
        <w:ind w:left="426"/>
        <w:rPr>
          <w:rFonts w:asciiTheme="minorHAnsi" w:hAnsiTheme="minorHAnsi" w:cstheme="minorHAnsi"/>
          <w:color w:val="000000"/>
          <w:szCs w:val="22"/>
        </w:rPr>
      </w:pPr>
      <w:r w:rsidRPr="003D0778">
        <w:rPr>
          <w:rFonts w:asciiTheme="minorHAnsi" w:hAnsiTheme="minorHAnsi" w:cstheme="minorHAnsi"/>
          <w:color w:val="000000"/>
          <w:szCs w:val="22"/>
        </w:rPr>
        <w:t xml:space="preserve">Create, at cluster level, multi-agency, multi-professional Enhanced Community </w:t>
      </w:r>
      <w:r w:rsidR="00F546A8">
        <w:rPr>
          <w:rFonts w:asciiTheme="minorHAnsi" w:hAnsiTheme="minorHAnsi" w:cstheme="minorHAnsi"/>
          <w:color w:val="000000"/>
          <w:szCs w:val="22"/>
        </w:rPr>
        <w:t>Cluster</w:t>
      </w:r>
      <w:r w:rsidRPr="003D0778">
        <w:rPr>
          <w:rFonts w:asciiTheme="minorHAnsi" w:hAnsiTheme="minorHAnsi" w:cstheme="minorHAnsi"/>
          <w:color w:val="000000"/>
          <w:szCs w:val="22"/>
        </w:rPr>
        <w:t xml:space="preserve"> Teams, enabling cluster level Multi-Disciplinary Team (MDT) reviews and interventions.</w:t>
      </w:r>
    </w:p>
    <w:p w14:paraId="0F26256E" w14:textId="77777777" w:rsidR="008D5F33" w:rsidRPr="003D0778" w:rsidRDefault="008D5F33" w:rsidP="008D5F33">
      <w:pPr>
        <w:spacing w:before="160"/>
        <w:rPr>
          <w:rFonts w:asciiTheme="minorHAnsi" w:hAnsiTheme="minorHAnsi" w:cstheme="minorHAnsi"/>
          <w:b/>
          <w:szCs w:val="22"/>
        </w:rPr>
      </w:pPr>
      <w:r w:rsidRPr="003D0778">
        <w:rPr>
          <w:rFonts w:asciiTheme="minorHAnsi" w:hAnsiTheme="minorHAnsi" w:cstheme="minorHAnsi"/>
          <w:b/>
          <w:szCs w:val="22"/>
        </w:rPr>
        <w:t>Rapid Response Services</w:t>
      </w:r>
    </w:p>
    <w:p w14:paraId="457696EC" w14:textId="77777777" w:rsidR="008D5F33" w:rsidRPr="008D5F33" w:rsidRDefault="008D5F33" w:rsidP="008D5F33">
      <w:pPr>
        <w:rPr>
          <w:rFonts w:asciiTheme="minorHAnsi" w:hAnsiTheme="minorHAnsi" w:cstheme="minorHAnsi"/>
          <w:b/>
          <w:sz w:val="4"/>
          <w:szCs w:val="4"/>
        </w:rPr>
      </w:pPr>
    </w:p>
    <w:p w14:paraId="7188AAC8" w14:textId="17C0B837" w:rsidR="008D5F33" w:rsidRPr="003D0778" w:rsidRDefault="008D5F33" w:rsidP="003B1653">
      <w:pPr>
        <w:numPr>
          <w:ilvl w:val="0"/>
          <w:numId w:val="15"/>
        </w:numPr>
        <w:pBdr>
          <w:top w:val="single" w:sz="24" w:space="1" w:color="990033"/>
          <w:left w:val="single" w:sz="24" w:space="4" w:color="990033"/>
          <w:bottom w:val="single" w:sz="24" w:space="1" w:color="990033"/>
          <w:right w:val="single" w:sz="24" w:space="4" w:color="990033"/>
        </w:pBdr>
        <w:ind w:left="426"/>
        <w:rPr>
          <w:rFonts w:asciiTheme="minorHAnsi" w:hAnsiTheme="minorHAnsi" w:cstheme="minorHAnsi"/>
          <w:szCs w:val="22"/>
        </w:rPr>
      </w:pPr>
      <w:r w:rsidRPr="003D0778">
        <w:rPr>
          <w:rFonts w:asciiTheme="minorHAnsi" w:hAnsiTheme="minorHAnsi" w:cstheme="minorHAnsi"/>
          <w:szCs w:val="22"/>
        </w:rPr>
        <w:t>To complement the 111 service, transform the GP Out of Hours, into an Urgent Primary Care Out of Hours Service including the adoption of a prudent workforce model and the development of a Machine Learning/ Artificial Intelligence driven symptom checker application to reduce the in and out of hours demand on General Practices.</w:t>
      </w:r>
    </w:p>
    <w:p w14:paraId="230CACB3" w14:textId="77777777" w:rsidR="008D5F33" w:rsidRPr="008D5F33" w:rsidRDefault="008D5F33" w:rsidP="008D5F33">
      <w:pPr>
        <w:ind w:left="426"/>
        <w:rPr>
          <w:rFonts w:asciiTheme="minorHAnsi" w:hAnsiTheme="minorHAnsi" w:cstheme="minorHAnsi"/>
          <w:sz w:val="4"/>
          <w:szCs w:val="4"/>
        </w:rPr>
      </w:pPr>
    </w:p>
    <w:p w14:paraId="384A1430" w14:textId="6CB4325A" w:rsidR="008D5F33" w:rsidRPr="003D0778" w:rsidRDefault="008D5F33" w:rsidP="003B1653">
      <w:pPr>
        <w:numPr>
          <w:ilvl w:val="0"/>
          <w:numId w:val="15"/>
        </w:numPr>
        <w:pBdr>
          <w:top w:val="single" w:sz="24" w:space="1" w:color="FF00FF"/>
          <w:left w:val="single" w:sz="24" w:space="4" w:color="FF00FF"/>
          <w:bottom w:val="single" w:sz="24" w:space="1" w:color="FF00FF"/>
          <w:right w:val="single" w:sz="24" w:space="4" w:color="FF00FF"/>
        </w:pBdr>
        <w:ind w:left="426"/>
        <w:rPr>
          <w:rFonts w:asciiTheme="minorHAnsi" w:hAnsiTheme="minorHAnsi" w:cstheme="minorHAnsi"/>
          <w:szCs w:val="22"/>
        </w:rPr>
      </w:pPr>
      <w:r w:rsidRPr="003D0778">
        <w:rPr>
          <w:rFonts w:asciiTheme="minorHAnsi" w:hAnsiTheme="minorHAnsi" w:cstheme="minorHAnsi"/>
          <w:szCs w:val="22"/>
        </w:rPr>
        <w:t xml:space="preserve">Roll out the next phase of the Integrated Stay Well@Home rapid response service across Cwm Taf, to enable referral, via a single point of access, from community based health, wellbeing, pre-hospital and social care professionals. </w:t>
      </w:r>
    </w:p>
    <w:p w14:paraId="0CF54205" w14:textId="77777777" w:rsidR="008D5F33" w:rsidRPr="003D0778" w:rsidRDefault="008D5F33" w:rsidP="008D5F33">
      <w:pPr>
        <w:autoSpaceDE w:val="0"/>
        <w:autoSpaceDN w:val="0"/>
        <w:adjustRightInd w:val="0"/>
        <w:rPr>
          <w:rFonts w:asciiTheme="minorHAnsi" w:hAnsiTheme="minorHAnsi" w:cstheme="minorHAnsi"/>
          <w:szCs w:val="22"/>
        </w:rPr>
      </w:pPr>
    </w:p>
    <w:p w14:paraId="37F25F5B" w14:textId="2120036C" w:rsidR="008D5F33" w:rsidRPr="00174521" w:rsidRDefault="008D5F33" w:rsidP="008D5F33">
      <w:pPr>
        <w:rPr>
          <w:rFonts w:asciiTheme="minorHAnsi" w:hAnsiTheme="minorHAnsi" w:cstheme="minorHAnsi"/>
          <w:b/>
          <w:color w:val="943634" w:themeColor="accent2" w:themeShade="BF"/>
          <w:szCs w:val="22"/>
        </w:rPr>
      </w:pPr>
      <w:r w:rsidRPr="00216D30">
        <w:rPr>
          <w:rFonts w:asciiTheme="minorHAnsi" w:hAnsiTheme="minorHAnsi" w:cstheme="minorHAnsi"/>
          <w:szCs w:val="22"/>
        </w:rPr>
        <w:t>The transformation proposal focuses on scaling up, and crucially linking, pilots which have already delivered proven benefit across Cwm Taf within the Integrated Community Care, Closer to Home layer.  These are: Risk Stratification and Segmentation; Cluster Focused Multi-Disciplinary Teams – a ‘Virtual Ward’; Stay Well@Home.</w:t>
      </w:r>
      <w:r w:rsidR="009E3666" w:rsidRPr="00216D30">
        <w:rPr>
          <w:rFonts w:asciiTheme="minorHAnsi" w:hAnsiTheme="minorHAnsi" w:cstheme="minorHAnsi"/>
          <w:szCs w:val="22"/>
        </w:rPr>
        <w:t xml:space="preserve"> </w:t>
      </w:r>
    </w:p>
    <w:p w14:paraId="0F5A9AD5" w14:textId="380D9E26" w:rsidR="008D5F33" w:rsidRPr="008D5F33" w:rsidRDefault="003A4290" w:rsidP="008D5F33">
      <w:pPr>
        <w:pStyle w:val="Heading3"/>
        <w:rPr>
          <w:szCs w:val="22"/>
        </w:rPr>
      </w:pPr>
      <w:r w:rsidRPr="008D5F33">
        <w:rPr>
          <w:rFonts w:eastAsia="Times New Roman" w:cs="Arial"/>
          <w:szCs w:val="22"/>
        </w:rPr>
        <w:t>Bridgend: Accelerating the Pace of Change of Integrated Services</w:t>
      </w:r>
    </w:p>
    <w:p w14:paraId="3C0A6410" w14:textId="6A9F45CD" w:rsidR="003A4290" w:rsidRPr="00216D30" w:rsidRDefault="003A4290" w:rsidP="003A4290">
      <w:pPr>
        <w:rPr>
          <w:rFonts w:asciiTheme="minorHAnsi" w:hAnsiTheme="minorHAnsi" w:cs="Arial"/>
          <w:szCs w:val="22"/>
        </w:rPr>
      </w:pPr>
      <w:r w:rsidRPr="00216D30">
        <w:rPr>
          <w:rFonts w:asciiTheme="minorHAnsi" w:hAnsiTheme="minorHAnsi" w:cs="Arial"/>
          <w:szCs w:val="22"/>
        </w:rPr>
        <w:t>Building on a strong track record of partnership working and integration, Bridgend CBC and partners have the ambition to have fully operational accessible services over seven days, over an extended day, as well as providing care and support at night</w:t>
      </w:r>
      <w:r w:rsidR="00803379" w:rsidRPr="00216D30">
        <w:rPr>
          <w:rFonts w:asciiTheme="minorHAnsi" w:hAnsiTheme="minorHAnsi" w:cs="Arial"/>
          <w:szCs w:val="22"/>
        </w:rPr>
        <w:t xml:space="preserve">.  </w:t>
      </w:r>
      <w:r w:rsidRPr="00216D30">
        <w:rPr>
          <w:rFonts w:asciiTheme="minorHAnsi" w:hAnsiTheme="minorHAnsi" w:cs="Arial"/>
          <w:szCs w:val="22"/>
        </w:rPr>
        <w:t>The desire is to lead in Wales, developing and delivering a coordinated integrated approach to service over seven days; where people experience a continuous, accessible and responsive approach, to collaboratively supporting people, particularly areas excluded from routine access such as, out of hours and secondary care, and WAST services colleagues</w:t>
      </w:r>
      <w:r w:rsidR="00436A4C" w:rsidRPr="00216D30">
        <w:rPr>
          <w:rFonts w:asciiTheme="minorHAnsi" w:hAnsiTheme="minorHAnsi" w:cs="Arial"/>
          <w:szCs w:val="22"/>
        </w:rPr>
        <w:t>.</w:t>
      </w:r>
    </w:p>
    <w:p w14:paraId="75AD7F91" w14:textId="238D6C8C" w:rsidR="003A4290" w:rsidRPr="00216D30" w:rsidRDefault="003A4290" w:rsidP="003A4290">
      <w:pPr>
        <w:rPr>
          <w:rFonts w:asciiTheme="minorHAnsi" w:hAnsiTheme="minorHAnsi" w:cs="Arial"/>
          <w:szCs w:val="22"/>
        </w:rPr>
      </w:pPr>
    </w:p>
    <w:p w14:paraId="3C1B75BC" w14:textId="014D5AAE" w:rsidR="003A4290" w:rsidRPr="00216D30" w:rsidRDefault="003A4290" w:rsidP="003A4290">
      <w:pPr>
        <w:rPr>
          <w:rFonts w:asciiTheme="minorHAnsi" w:hAnsiTheme="minorHAnsi" w:cs="Arial"/>
          <w:szCs w:val="22"/>
        </w:rPr>
      </w:pPr>
      <w:r w:rsidRPr="00216D30">
        <w:rPr>
          <w:rFonts w:asciiTheme="minorHAnsi" w:hAnsiTheme="minorHAnsi" w:cs="Arial"/>
          <w:szCs w:val="22"/>
        </w:rPr>
        <w:lastRenderedPageBreak/>
        <w:t xml:space="preserve">To realise the ambition of delivering </w:t>
      </w:r>
      <w:r w:rsidRPr="00216D30">
        <w:rPr>
          <w:rFonts w:asciiTheme="minorHAnsi" w:hAnsiTheme="minorHAnsi" w:cs="Arial"/>
          <w:i/>
          <w:szCs w:val="22"/>
        </w:rPr>
        <w:t xml:space="preserve">coordinated health and social care services seamlessly wrapped around the needs and preferences of individuals; </w:t>
      </w:r>
      <w:r w:rsidRPr="00216D30">
        <w:rPr>
          <w:rFonts w:asciiTheme="minorHAnsi" w:hAnsiTheme="minorHAnsi" w:cs="Arial"/>
          <w:szCs w:val="22"/>
        </w:rPr>
        <w:t>and to deliver where practical and safe to do so, home-based and community models of integrated care and support; Bridgend CBC and partners have three deliverable ambitions that will transform our community services:</w:t>
      </w:r>
    </w:p>
    <w:p w14:paraId="0D874E8C" w14:textId="331A3B85" w:rsidR="003A4290" w:rsidRPr="00216D30" w:rsidRDefault="003A4290" w:rsidP="003B1653">
      <w:pPr>
        <w:pStyle w:val="ListParagraph"/>
        <w:numPr>
          <w:ilvl w:val="0"/>
          <w:numId w:val="22"/>
        </w:numPr>
        <w:ind w:left="357" w:hanging="357"/>
        <w:rPr>
          <w:rFonts w:asciiTheme="minorHAnsi" w:hAnsiTheme="minorHAnsi" w:cs="Arial"/>
          <w:szCs w:val="22"/>
        </w:rPr>
      </w:pPr>
      <w:r w:rsidRPr="00216D30">
        <w:rPr>
          <w:rFonts w:asciiTheme="minorHAnsi" w:hAnsiTheme="minorHAnsi" w:cstheme="minorHAnsi"/>
          <w:noProof/>
          <w:szCs w:val="22"/>
        </w:rPr>
        <w:drawing>
          <wp:anchor distT="0" distB="0" distL="114300" distR="114300" simplePos="0" relativeHeight="252763136" behindDoc="0" locked="0" layoutInCell="1" allowOverlap="1" wp14:anchorId="28BE4E8D" wp14:editId="2F954AD1">
            <wp:simplePos x="0" y="0"/>
            <wp:positionH relativeFrom="margin">
              <wp:align>right</wp:align>
            </wp:positionH>
            <wp:positionV relativeFrom="paragraph">
              <wp:posOffset>6985</wp:posOffset>
            </wp:positionV>
            <wp:extent cx="1786255" cy="1804670"/>
            <wp:effectExtent l="0" t="0" r="4445" b="508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58">
                      <a:extLst>
                        <a:ext uri="{28A0092B-C50C-407E-A947-70E740481C1C}">
                          <a14:useLocalDpi xmlns:a14="http://schemas.microsoft.com/office/drawing/2010/main" val="0"/>
                        </a:ext>
                      </a:extLst>
                    </a:blip>
                    <a:srcRect l="20754" r="21078"/>
                    <a:stretch/>
                  </pic:blipFill>
                  <pic:spPr bwMode="auto">
                    <a:xfrm>
                      <a:off x="0" y="0"/>
                      <a:ext cx="1786255" cy="180467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16D30">
        <w:rPr>
          <w:rFonts w:asciiTheme="minorHAnsi" w:hAnsiTheme="minorHAnsi" w:cs="Arial"/>
          <w:b/>
          <w:szCs w:val="22"/>
        </w:rPr>
        <w:t>Transformation Ambition 1</w:t>
      </w:r>
      <w:r w:rsidRPr="00216D30">
        <w:rPr>
          <w:rFonts w:asciiTheme="minorHAnsi" w:hAnsiTheme="minorHAnsi" w:cs="Arial"/>
          <w:szCs w:val="22"/>
        </w:rPr>
        <w:t xml:space="preserve">: Seven Day Access to Community Health and Social Care Services – </w:t>
      </w:r>
      <w:r w:rsidRPr="00216D30">
        <w:rPr>
          <w:rFonts w:asciiTheme="minorHAnsi" w:hAnsiTheme="minorHAnsi" w:cs="Arial"/>
          <w:i/>
          <w:szCs w:val="22"/>
        </w:rPr>
        <w:t>“Every Day Is Tuesday”</w:t>
      </w:r>
      <w:r w:rsidRPr="00216D30">
        <w:rPr>
          <w:rFonts w:asciiTheme="minorHAnsi" w:hAnsiTheme="minorHAnsi" w:cs="Arial"/>
          <w:szCs w:val="22"/>
        </w:rPr>
        <w:t>, delivering extended alternative service options to hospital and long term care</w:t>
      </w:r>
      <w:r w:rsidR="00436A4C" w:rsidRPr="00216D30">
        <w:rPr>
          <w:rFonts w:asciiTheme="minorHAnsi" w:hAnsiTheme="minorHAnsi" w:cs="Arial"/>
          <w:szCs w:val="22"/>
        </w:rPr>
        <w:t>.</w:t>
      </w:r>
    </w:p>
    <w:p w14:paraId="442C5B58" w14:textId="74C17257" w:rsidR="003A4290" w:rsidRPr="00216D30" w:rsidRDefault="003A4290" w:rsidP="003B1653">
      <w:pPr>
        <w:pStyle w:val="ListParagraph"/>
        <w:numPr>
          <w:ilvl w:val="0"/>
          <w:numId w:val="22"/>
        </w:numPr>
        <w:ind w:left="357" w:hanging="357"/>
        <w:rPr>
          <w:rFonts w:asciiTheme="minorHAnsi" w:hAnsiTheme="minorHAnsi" w:cs="Arial"/>
          <w:szCs w:val="22"/>
        </w:rPr>
      </w:pPr>
      <w:r w:rsidRPr="00216D30">
        <w:rPr>
          <w:rFonts w:asciiTheme="minorHAnsi" w:hAnsiTheme="minorHAnsi" w:cs="Arial"/>
          <w:b/>
          <w:szCs w:val="22"/>
        </w:rPr>
        <w:t>Transformational Ambition 2</w:t>
      </w:r>
      <w:r w:rsidRPr="00216D30">
        <w:rPr>
          <w:rFonts w:asciiTheme="minorHAnsi" w:hAnsiTheme="minorHAnsi" w:cs="Arial"/>
          <w:szCs w:val="22"/>
        </w:rPr>
        <w:t>: A Primary and Community Care Multidisciplinary Team approach, delivering a one team approach around people, coordinating Primary Care and Community Services Cluster responses.</w:t>
      </w:r>
    </w:p>
    <w:p w14:paraId="5D4B2B69" w14:textId="6EFB9D8D" w:rsidR="002D71A3" w:rsidRPr="009E49BB" w:rsidRDefault="003A4290" w:rsidP="003B1653">
      <w:pPr>
        <w:pStyle w:val="ListParagraph"/>
        <w:numPr>
          <w:ilvl w:val="0"/>
          <w:numId w:val="22"/>
        </w:numPr>
        <w:ind w:left="357" w:hanging="357"/>
        <w:rPr>
          <w:rFonts w:asciiTheme="minorHAnsi" w:hAnsiTheme="minorHAnsi" w:cs="Arial"/>
          <w:szCs w:val="22"/>
        </w:rPr>
      </w:pPr>
      <w:r w:rsidRPr="00216D30">
        <w:rPr>
          <w:rFonts w:asciiTheme="minorHAnsi" w:hAnsiTheme="minorHAnsi" w:cs="Arial"/>
          <w:b/>
          <w:szCs w:val="22"/>
        </w:rPr>
        <w:t>Transformational Ambition 3:</w:t>
      </w:r>
      <w:r w:rsidRPr="00216D30">
        <w:rPr>
          <w:rFonts w:asciiTheme="minorHAnsi" w:hAnsiTheme="minorHAnsi" w:cs="Arial"/>
          <w:szCs w:val="22"/>
        </w:rPr>
        <w:t xml:space="preserve"> Developing and Delivering Resilient Coordinated Communities; with key organisations, their partners and the </w:t>
      </w:r>
      <w:r w:rsidRPr="009E49BB">
        <w:rPr>
          <w:rFonts w:asciiTheme="minorHAnsi" w:hAnsiTheme="minorHAnsi" w:cs="Arial"/>
          <w:szCs w:val="22"/>
        </w:rPr>
        <w:t>communities that they serve developing benefits, by working collaboratively to apply preventative</w:t>
      </w:r>
    </w:p>
    <w:p w14:paraId="3FEFCC91" w14:textId="22FBDB7F" w:rsidR="009E49BB" w:rsidRPr="00F13A85" w:rsidRDefault="009E49BB" w:rsidP="009E49BB">
      <w:pPr>
        <w:rPr>
          <w:rFonts w:asciiTheme="minorHAnsi" w:hAnsiTheme="minorHAnsi"/>
          <w:color w:val="000000" w:themeColor="text1"/>
          <w:szCs w:val="22"/>
        </w:rPr>
      </w:pPr>
    </w:p>
    <w:p w14:paraId="6D87BA7A" w14:textId="3A1FAB24" w:rsidR="009E49BB" w:rsidRPr="00F13A85" w:rsidRDefault="009E49BB" w:rsidP="009E49BB">
      <w:pPr>
        <w:rPr>
          <w:rFonts w:asciiTheme="minorHAnsi" w:hAnsiTheme="minorHAnsi"/>
          <w:b/>
          <w:color w:val="000000" w:themeColor="text1"/>
          <w:szCs w:val="22"/>
        </w:rPr>
      </w:pPr>
      <w:r w:rsidRPr="00F13A85">
        <w:rPr>
          <w:rFonts w:asciiTheme="minorHAnsi" w:hAnsiTheme="minorHAnsi"/>
          <w:b/>
          <w:color w:val="000000" w:themeColor="text1"/>
          <w:szCs w:val="22"/>
        </w:rPr>
        <w:t>MILESTONES</w:t>
      </w:r>
    </w:p>
    <w:p w14:paraId="0B09D86E" w14:textId="717566C5" w:rsidR="009E49BB" w:rsidRPr="00F13A85" w:rsidRDefault="009E49BB" w:rsidP="009E49BB">
      <w:pPr>
        <w:rPr>
          <w:rFonts w:asciiTheme="minorHAnsi" w:hAnsiTheme="minorHAnsi"/>
          <w:color w:val="000000" w:themeColor="text1"/>
          <w:szCs w:val="22"/>
        </w:rPr>
      </w:pPr>
    </w:p>
    <w:tbl>
      <w:tblPr>
        <w:tblStyle w:val="TableGrid"/>
        <w:tblpPr w:leftFromText="180" w:rightFromText="180" w:vertAnchor="text" w:horzAnchor="margin" w:tblpY="-91"/>
        <w:tblW w:w="9918" w:type="dxa"/>
        <w:tblLook w:val="04A0" w:firstRow="1" w:lastRow="0" w:firstColumn="1" w:lastColumn="0" w:noHBand="0" w:noVBand="1"/>
      </w:tblPr>
      <w:tblGrid>
        <w:gridCol w:w="8217"/>
        <w:gridCol w:w="1701"/>
      </w:tblGrid>
      <w:tr w:rsidR="00F4594C" w:rsidRPr="009E49BB" w14:paraId="5A2C6C4A" w14:textId="77777777" w:rsidTr="00F4594C">
        <w:tc>
          <w:tcPr>
            <w:tcW w:w="8217" w:type="dxa"/>
            <w:shd w:val="clear" w:color="auto" w:fill="auto"/>
          </w:tcPr>
          <w:p w14:paraId="4E775810" w14:textId="77777777" w:rsidR="00F4594C" w:rsidRDefault="00F4594C" w:rsidP="00F4594C">
            <w:pPr>
              <w:jc w:val="center"/>
              <w:rPr>
                <w:rFonts w:asciiTheme="minorHAnsi" w:hAnsiTheme="minorHAnsi" w:cstheme="minorHAnsi"/>
                <w:b/>
                <w:sz w:val="22"/>
                <w:szCs w:val="22"/>
              </w:rPr>
            </w:pPr>
            <w:r w:rsidRPr="009E49BB">
              <w:rPr>
                <w:rFonts w:asciiTheme="minorHAnsi" w:hAnsiTheme="minorHAnsi" w:cstheme="minorHAnsi"/>
                <w:b/>
                <w:sz w:val="22"/>
                <w:szCs w:val="22"/>
              </w:rPr>
              <w:t>Milestones</w:t>
            </w:r>
          </w:p>
          <w:p w14:paraId="537A3FD2" w14:textId="77777777" w:rsidR="00F4594C" w:rsidRPr="009E49BB" w:rsidRDefault="00F4594C" w:rsidP="00F4594C">
            <w:pPr>
              <w:jc w:val="center"/>
              <w:rPr>
                <w:rFonts w:asciiTheme="minorHAnsi" w:hAnsiTheme="minorHAnsi" w:cstheme="minorHAnsi"/>
                <w:b/>
                <w:sz w:val="22"/>
                <w:szCs w:val="22"/>
              </w:rPr>
            </w:pPr>
          </w:p>
        </w:tc>
        <w:tc>
          <w:tcPr>
            <w:tcW w:w="1701" w:type="dxa"/>
            <w:shd w:val="clear" w:color="auto" w:fill="auto"/>
          </w:tcPr>
          <w:p w14:paraId="13EF30B6" w14:textId="72F94307" w:rsidR="00F4594C" w:rsidRPr="009E49BB" w:rsidRDefault="00F4594C" w:rsidP="00F4594C">
            <w:pPr>
              <w:jc w:val="center"/>
              <w:rPr>
                <w:rFonts w:asciiTheme="minorHAnsi" w:hAnsiTheme="minorHAnsi" w:cstheme="minorHAnsi"/>
                <w:b/>
                <w:sz w:val="22"/>
                <w:szCs w:val="22"/>
              </w:rPr>
            </w:pPr>
            <w:r w:rsidRPr="009E49BB">
              <w:rPr>
                <w:rFonts w:asciiTheme="minorHAnsi" w:hAnsiTheme="minorHAnsi" w:cstheme="minorHAnsi"/>
                <w:b/>
                <w:sz w:val="22"/>
                <w:szCs w:val="22"/>
              </w:rPr>
              <w:t>Target Date</w:t>
            </w:r>
          </w:p>
        </w:tc>
      </w:tr>
      <w:tr w:rsidR="00F4594C" w:rsidRPr="009E49BB" w14:paraId="6A8D52F1" w14:textId="77777777" w:rsidTr="00F4594C">
        <w:tc>
          <w:tcPr>
            <w:tcW w:w="8217" w:type="dxa"/>
          </w:tcPr>
          <w:p w14:paraId="7543393B" w14:textId="77777777" w:rsidR="00F4594C" w:rsidRPr="009E49BB" w:rsidRDefault="00F4594C" w:rsidP="00F4594C">
            <w:pPr>
              <w:rPr>
                <w:rFonts w:asciiTheme="minorHAnsi" w:hAnsiTheme="minorHAnsi" w:cstheme="minorHAnsi"/>
                <w:sz w:val="22"/>
                <w:szCs w:val="22"/>
              </w:rPr>
            </w:pPr>
            <w:r w:rsidRPr="009E49BB">
              <w:rPr>
                <w:rFonts w:asciiTheme="minorHAnsi" w:hAnsiTheme="minorHAnsi" w:cstheme="minorHAnsi"/>
                <w:sz w:val="22"/>
                <w:szCs w:val="22"/>
              </w:rPr>
              <w:t>Recruit Programme Management Office Team</w:t>
            </w:r>
          </w:p>
        </w:tc>
        <w:tc>
          <w:tcPr>
            <w:tcW w:w="1701" w:type="dxa"/>
          </w:tcPr>
          <w:p w14:paraId="2EF79148" w14:textId="5F8D4912" w:rsidR="00F4594C" w:rsidRPr="009E49BB" w:rsidRDefault="00F4594C" w:rsidP="00F4594C">
            <w:pPr>
              <w:rPr>
                <w:rFonts w:asciiTheme="minorHAnsi" w:hAnsiTheme="minorHAnsi" w:cstheme="minorHAnsi"/>
                <w:sz w:val="22"/>
                <w:szCs w:val="22"/>
              </w:rPr>
            </w:pPr>
            <w:r w:rsidRPr="00F13A85">
              <w:rPr>
                <w:rFonts w:asciiTheme="minorHAnsi" w:hAnsiTheme="minorHAnsi"/>
                <w:b/>
                <w:bCs/>
                <w:noProof/>
                <w:color w:val="000000" w:themeColor="text1"/>
              </w:rPr>
              <mc:AlternateContent>
                <mc:Choice Requires="wps">
                  <w:drawing>
                    <wp:anchor distT="0" distB="0" distL="114300" distR="114300" simplePos="0" relativeHeight="252860416" behindDoc="1" locked="0" layoutInCell="1" allowOverlap="1" wp14:anchorId="30CB0859" wp14:editId="12294999">
                      <wp:simplePos x="0" y="0"/>
                      <wp:positionH relativeFrom="margin">
                        <wp:posOffset>-5458007</wp:posOffset>
                      </wp:positionH>
                      <wp:positionV relativeFrom="paragraph">
                        <wp:posOffset>-585618</wp:posOffset>
                      </wp:positionV>
                      <wp:extent cx="6716485" cy="696595"/>
                      <wp:effectExtent l="0" t="38100" r="46355" b="65405"/>
                      <wp:wrapNone/>
                      <wp:docPr id="8" name="Right Arrow 8"/>
                      <wp:cNvGraphicFramePr/>
                      <a:graphic xmlns:a="http://schemas.openxmlformats.org/drawingml/2006/main">
                        <a:graphicData uri="http://schemas.microsoft.com/office/word/2010/wordprocessingShape">
                          <wps:wsp>
                            <wps:cNvSpPr/>
                            <wps:spPr>
                              <a:xfrm>
                                <a:off x="0" y="0"/>
                                <a:ext cx="6716485" cy="696595"/>
                              </a:xfrm>
                              <a:prstGeom prst="rightArrow">
                                <a:avLst>
                                  <a:gd name="adj1" fmla="val 50000"/>
                                  <a:gd name="adj2" fmla="val 29881"/>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4FCE5C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8" o:spid="_x0000_s1026" type="#_x0000_t13" style="position:absolute;margin-left:-429.75pt;margin-top:-46.1pt;width:528.85pt;height:54.85pt;z-index:-250456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" adj="20931" fillcolor="#eaf1dd [662]" strokecolor="#76923c [2406]" strokeweight="2pt">
                      <w10:wrap anchorx="margin"/>
                    </v:shape>
                  </w:pict>
                </mc:Fallback>
              </mc:AlternateContent>
            </w:r>
            <w:r w:rsidRPr="009E49BB">
              <w:rPr>
                <w:rFonts w:asciiTheme="minorHAnsi" w:hAnsiTheme="minorHAnsi" w:cstheme="minorHAnsi"/>
                <w:sz w:val="22"/>
                <w:szCs w:val="22"/>
              </w:rPr>
              <w:t>October 2019</w:t>
            </w:r>
          </w:p>
        </w:tc>
      </w:tr>
      <w:tr w:rsidR="00F4594C" w:rsidRPr="009E49BB" w14:paraId="5E242DDA" w14:textId="77777777" w:rsidTr="00F4594C">
        <w:tc>
          <w:tcPr>
            <w:tcW w:w="8217" w:type="dxa"/>
          </w:tcPr>
          <w:p w14:paraId="4AB3D4F2" w14:textId="77777777" w:rsidR="00F4594C" w:rsidRPr="009E49BB" w:rsidRDefault="00F4594C" w:rsidP="00F4594C">
            <w:pPr>
              <w:rPr>
                <w:rFonts w:asciiTheme="minorHAnsi" w:hAnsiTheme="minorHAnsi" w:cstheme="minorHAnsi"/>
                <w:sz w:val="22"/>
                <w:szCs w:val="22"/>
              </w:rPr>
            </w:pPr>
            <w:r w:rsidRPr="009E49BB">
              <w:rPr>
                <w:rFonts w:asciiTheme="minorHAnsi" w:hAnsiTheme="minorHAnsi" w:cstheme="minorHAnsi"/>
                <w:sz w:val="22"/>
                <w:szCs w:val="22"/>
              </w:rPr>
              <w:t xml:space="preserve">Undertake programme evaluation tendering process and appoint successful organisation </w:t>
            </w:r>
          </w:p>
        </w:tc>
        <w:tc>
          <w:tcPr>
            <w:tcW w:w="1701" w:type="dxa"/>
          </w:tcPr>
          <w:p w14:paraId="6FFD293E" w14:textId="77777777" w:rsidR="00F4594C" w:rsidRPr="009E49BB" w:rsidRDefault="00F4594C" w:rsidP="00F4594C">
            <w:pPr>
              <w:rPr>
                <w:rFonts w:asciiTheme="minorHAnsi" w:hAnsiTheme="minorHAnsi" w:cstheme="minorHAnsi"/>
                <w:sz w:val="22"/>
                <w:szCs w:val="22"/>
              </w:rPr>
            </w:pPr>
            <w:r w:rsidRPr="009E49BB">
              <w:rPr>
                <w:rFonts w:asciiTheme="minorHAnsi" w:hAnsiTheme="minorHAnsi" w:cstheme="minorHAnsi"/>
                <w:sz w:val="22"/>
                <w:szCs w:val="22"/>
              </w:rPr>
              <w:t>November 2019</w:t>
            </w:r>
          </w:p>
        </w:tc>
      </w:tr>
      <w:tr w:rsidR="00F4594C" w:rsidRPr="009E49BB" w14:paraId="0A9278F3" w14:textId="77777777" w:rsidTr="00F4594C">
        <w:tc>
          <w:tcPr>
            <w:tcW w:w="8217" w:type="dxa"/>
          </w:tcPr>
          <w:p w14:paraId="2CFFE7A0" w14:textId="77777777" w:rsidR="00F4594C" w:rsidRPr="009E49BB" w:rsidRDefault="00F4594C" w:rsidP="00F4594C">
            <w:pPr>
              <w:rPr>
                <w:rFonts w:asciiTheme="minorHAnsi" w:hAnsiTheme="minorHAnsi" w:cstheme="minorHAnsi"/>
                <w:sz w:val="22"/>
                <w:szCs w:val="22"/>
              </w:rPr>
            </w:pPr>
            <w:r w:rsidRPr="009E49BB">
              <w:rPr>
                <w:rFonts w:asciiTheme="minorHAnsi" w:hAnsiTheme="minorHAnsi" w:cstheme="minorHAnsi"/>
                <w:sz w:val="22"/>
                <w:szCs w:val="22"/>
              </w:rPr>
              <w:t>Produce mid-point review evaluation report, including Logic Models</w:t>
            </w:r>
          </w:p>
        </w:tc>
        <w:tc>
          <w:tcPr>
            <w:tcW w:w="1701" w:type="dxa"/>
          </w:tcPr>
          <w:p w14:paraId="7065C063" w14:textId="77777777" w:rsidR="00F4594C" w:rsidRPr="009E49BB" w:rsidRDefault="00F4594C" w:rsidP="00F4594C">
            <w:pPr>
              <w:rPr>
                <w:rFonts w:asciiTheme="minorHAnsi" w:hAnsiTheme="minorHAnsi" w:cstheme="minorHAnsi"/>
                <w:sz w:val="22"/>
                <w:szCs w:val="22"/>
              </w:rPr>
            </w:pPr>
            <w:r w:rsidRPr="009E49BB">
              <w:rPr>
                <w:rFonts w:asciiTheme="minorHAnsi" w:hAnsiTheme="minorHAnsi" w:cstheme="minorHAnsi"/>
                <w:sz w:val="22"/>
                <w:szCs w:val="22"/>
              </w:rPr>
              <w:t>January 2020</w:t>
            </w:r>
          </w:p>
        </w:tc>
      </w:tr>
      <w:tr w:rsidR="00F4594C" w:rsidRPr="009E49BB" w14:paraId="41D0FD41" w14:textId="77777777" w:rsidTr="00F4594C">
        <w:tc>
          <w:tcPr>
            <w:tcW w:w="8217" w:type="dxa"/>
          </w:tcPr>
          <w:p w14:paraId="3036B3CE" w14:textId="77777777" w:rsidR="00F4594C" w:rsidRPr="009E49BB" w:rsidRDefault="00F4594C" w:rsidP="00F4594C">
            <w:pPr>
              <w:rPr>
                <w:rFonts w:asciiTheme="minorHAnsi" w:hAnsiTheme="minorHAnsi" w:cstheme="minorHAnsi"/>
                <w:sz w:val="22"/>
                <w:szCs w:val="22"/>
              </w:rPr>
            </w:pPr>
            <w:r w:rsidRPr="009E49BB">
              <w:rPr>
                <w:rFonts w:asciiTheme="minorHAnsi" w:hAnsiTheme="minorHAnsi" w:cstheme="minorHAnsi"/>
                <w:color w:val="000000" w:themeColor="text1"/>
                <w:sz w:val="22"/>
                <w:szCs w:val="22"/>
              </w:rPr>
              <w:t>Development of an overarching Performance Framework Dashboard</w:t>
            </w:r>
          </w:p>
        </w:tc>
        <w:tc>
          <w:tcPr>
            <w:tcW w:w="1701" w:type="dxa"/>
          </w:tcPr>
          <w:p w14:paraId="3D9CC226" w14:textId="77777777" w:rsidR="00F4594C" w:rsidRPr="009E49BB" w:rsidRDefault="00F4594C" w:rsidP="00F4594C">
            <w:pPr>
              <w:rPr>
                <w:rFonts w:asciiTheme="minorHAnsi" w:hAnsiTheme="minorHAnsi" w:cstheme="minorHAnsi"/>
                <w:sz w:val="22"/>
                <w:szCs w:val="22"/>
              </w:rPr>
            </w:pPr>
            <w:r w:rsidRPr="009E49BB">
              <w:rPr>
                <w:rFonts w:asciiTheme="minorHAnsi" w:hAnsiTheme="minorHAnsi" w:cstheme="minorHAnsi"/>
                <w:sz w:val="22"/>
                <w:szCs w:val="22"/>
              </w:rPr>
              <w:t>January 2020</w:t>
            </w:r>
          </w:p>
        </w:tc>
      </w:tr>
      <w:tr w:rsidR="00F4594C" w:rsidRPr="009E49BB" w14:paraId="5D47291D" w14:textId="77777777" w:rsidTr="00F4594C">
        <w:tc>
          <w:tcPr>
            <w:tcW w:w="8217" w:type="dxa"/>
          </w:tcPr>
          <w:p w14:paraId="09906B1A" w14:textId="77777777" w:rsidR="00F4594C" w:rsidRPr="009E49BB" w:rsidRDefault="00F4594C" w:rsidP="00F4594C">
            <w:pPr>
              <w:rPr>
                <w:rFonts w:asciiTheme="minorHAnsi" w:hAnsiTheme="minorHAnsi" w:cstheme="minorHAnsi"/>
                <w:color w:val="000000" w:themeColor="text1"/>
                <w:sz w:val="22"/>
                <w:szCs w:val="22"/>
              </w:rPr>
            </w:pPr>
            <w:r w:rsidRPr="009E49BB">
              <w:rPr>
                <w:rFonts w:asciiTheme="minorHAnsi" w:hAnsiTheme="minorHAnsi" w:cstheme="minorHAnsi"/>
                <w:color w:val="000000" w:themeColor="text1"/>
                <w:sz w:val="22"/>
                <w:szCs w:val="22"/>
              </w:rPr>
              <w:t>Develop Communication Plan</w:t>
            </w:r>
          </w:p>
        </w:tc>
        <w:tc>
          <w:tcPr>
            <w:tcW w:w="1701" w:type="dxa"/>
          </w:tcPr>
          <w:p w14:paraId="046978AD" w14:textId="77777777" w:rsidR="00F4594C" w:rsidRPr="009E49BB" w:rsidRDefault="00F4594C" w:rsidP="00F4594C">
            <w:pPr>
              <w:rPr>
                <w:rFonts w:asciiTheme="minorHAnsi" w:hAnsiTheme="minorHAnsi" w:cstheme="minorHAnsi"/>
                <w:sz w:val="22"/>
                <w:szCs w:val="22"/>
              </w:rPr>
            </w:pPr>
            <w:r w:rsidRPr="009E49BB">
              <w:rPr>
                <w:rFonts w:asciiTheme="minorHAnsi" w:hAnsiTheme="minorHAnsi" w:cstheme="minorHAnsi"/>
                <w:sz w:val="22"/>
                <w:szCs w:val="22"/>
              </w:rPr>
              <w:t>February 2020</w:t>
            </w:r>
          </w:p>
        </w:tc>
      </w:tr>
      <w:tr w:rsidR="00F4594C" w:rsidRPr="009E49BB" w14:paraId="7F77940E" w14:textId="77777777" w:rsidTr="00F4594C">
        <w:tc>
          <w:tcPr>
            <w:tcW w:w="8217" w:type="dxa"/>
          </w:tcPr>
          <w:p w14:paraId="0E011415" w14:textId="77777777" w:rsidR="00F4594C" w:rsidRPr="009E49BB" w:rsidRDefault="00F4594C" w:rsidP="00F4594C">
            <w:pPr>
              <w:rPr>
                <w:rFonts w:asciiTheme="minorHAnsi" w:hAnsiTheme="minorHAnsi" w:cstheme="minorHAnsi"/>
                <w:sz w:val="22"/>
                <w:szCs w:val="22"/>
              </w:rPr>
            </w:pPr>
            <w:r w:rsidRPr="009E49BB">
              <w:rPr>
                <w:rFonts w:asciiTheme="minorHAnsi" w:hAnsiTheme="minorHAnsi" w:cstheme="minorHAnsi"/>
                <w:sz w:val="22"/>
                <w:szCs w:val="22"/>
              </w:rPr>
              <w:t>Assistive Technology Implementation</w:t>
            </w:r>
          </w:p>
        </w:tc>
        <w:tc>
          <w:tcPr>
            <w:tcW w:w="1701" w:type="dxa"/>
          </w:tcPr>
          <w:p w14:paraId="5A6C153C" w14:textId="77777777" w:rsidR="00F4594C" w:rsidRPr="009E49BB" w:rsidRDefault="00F4594C" w:rsidP="00F4594C">
            <w:pPr>
              <w:rPr>
                <w:rFonts w:asciiTheme="minorHAnsi" w:hAnsiTheme="minorHAnsi" w:cstheme="minorHAnsi"/>
                <w:sz w:val="22"/>
                <w:szCs w:val="22"/>
              </w:rPr>
            </w:pPr>
            <w:r w:rsidRPr="009E49BB">
              <w:rPr>
                <w:rFonts w:asciiTheme="minorHAnsi" w:hAnsiTheme="minorHAnsi" w:cstheme="minorHAnsi"/>
                <w:sz w:val="22"/>
                <w:szCs w:val="22"/>
              </w:rPr>
              <w:t>February 2020</w:t>
            </w:r>
          </w:p>
        </w:tc>
      </w:tr>
      <w:tr w:rsidR="00F4594C" w:rsidRPr="009E49BB" w14:paraId="733598FE" w14:textId="77777777" w:rsidTr="00F4594C">
        <w:tc>
          <w:tcPr>
            <w:tcW w:w="8217" w:type="dxa"/>
          </w:tcPr>
          <w:p w14:paraId="2977E78E" w14:textId="77777777" w:rsidR="00F4594C" w:rsidRPr="009E49BB" w:rsidRDefault="00F4594C" w:rsidP="00F4594C">
            <w:pPr>
              <w:rPr>
                <w:rFonts w:asciiTheme="minorHAnsi" w:hAnsiTheme="minorHAnsi" w:cstheme="minorHAnsi"/>
                <w:sz w:val="22"/>
                <w:szCs w:val="22"/>
              </w:rPr>
            </w:pPr>
            <w:r w:rsidRPr="009E49BB">
              <w:rPr>
                <w:rFonts w:asciiTheme="minorHAnsi" w:hAnsiTheme="minorHAnsi" w:cstheme="minorHAnsi"/>
                <w:sz w:val="22"/>
                <w:szCs w:val="22"/>
              </w:rPr>
              <w:t>Stay Well @ Home2 Implementation</w:t>
            </w:r>
          </w:p>
        </w:tc>
        <w:tc>
          <w:tcPr>
            <w:tcW w:w="1701" w:type="dxa"/>
          </w:tcPr>
          <w:p w14:paraId="77FAFFD5" w14:textId="77777777" w:rsidR="00F4594C" w:rsidRPr="009E49BB" w:rsidRDefault="00F4594C" w:rsidP="00F4594C">
            <w:pPr>
              <w:rPr>
                <w:rFonts w:asciiTheme="minorHAnsi" w:hAnsiTheme="minorHAnsi" w:cstheme="minorHAnsi"/>
                <w:sz w:val="22"/>
                <w:szCs w:val="22"/>
              </w:rPr>
            </w:pPr>
            <w:r w:rsidRPr="009E49BB">
              <w:rPr>
                <w:rFonts w:asciiTheme="minorHAnsi" w:hAnsiTheme="minorHAnsi" w:cstheme="minorHAnsi"/>
                <w:sz w:val="22"/>
                <w:szCs w:val="22"/>
              </w:rPr>
              <w:t>February 2020</w:t>
            </w:r>
          </w:p>
        </w:tc>
      </w:tr>
      <w:tr w:rsidR="00F4594C" w:rsidRPr="009E49BB" w14:paraId="5EBFA414" w14:textId="77777777" w:rsidTr="00F4594C">
        <w:tc>
          <w:tcPr>
            <w:tcW w:w="8217" w:type="dxa"/>
          </w:tcPr>
          <w:p w14:paraId="6A3B49F9" w14:textId="77777777" w:rsidR="00F4594C" w:rsidRPr="009E49BB" w:rsidRDefault="00F4594C" w:rsidP="00F4594C">
            <w:pPr>
              <w:rPr>
                <w:rFonts w:asciiTheme="minorHAnsi" w:hAnsiTheme="minorHAnsi" w:cstheme="minorHAnsi"/>
                <w:bCs/>
                <w:sz w:val="22"/>
                <w:szCs w:val="22"/>
              </w:rPr>
            </w:pPr>
            <w:r w:rsidRPr="009E49BB">
              <w:rPr>
                <w:rFonts w:asciiTheme="minorHAnsi" w:hAnsiTheme="minorHAnsi" w:cstheme="minorHAnsi"/>
                <w:bCs/>
                <w:sz w:val="22"/>
                <w:szCs w:val="22"/>
              </w:rPr>
              <w:t xml:space="preserve">Accelerating Pace of Change of Integrated Services – </w:t>
            </w:r>
          </w:p>
          <w:p w14:paraId="7F91BF7A" w14:textId="77777777" w:rsidR="00F4594C" w:rsidRPr="009E49BB" w:rsidRDefault="00F4594C" w:rsidP="00F4594C">
            <w:pPr>
              <w:rPr>
                <w:rFonts w:asciiTheme="minorHAnsi" w:hAnsiTheme="minorHAnsi" w:cstheme="minorHAnsi"/>
                <w:sz w:val="22"/>
                <w:szCs w:val="22"/>
              </w:rPr>
            </w:pPr>
            <w:r w:rsidRPr="009E49BB">
              <w:rPr>
                <w:rFonts w:asciiTheme="minorHAnsi" w:hAnsiTheme="minorHAnsi" w:cstheme="minorHAnsi"/>
                <w:bCs/>
                <w:sz w:val="22"/>
                <w:szCs w:val="22"/>
              </w:rPr>
              <w:t>Mobile Response Team</w:t>
            </w:r>
            <w:r w:rsidRPr="009E49BB">
              <w:rPr>
                <w:rFonts w:asciiTheme="minorHAnsi" w:hAnsiTheme="minorHAnsi" w:cstheme="minorHAnsi"/>
                <w:sz w:val="22"/>
                <w:szCs w:val="22"/>
              </w:rPr>
              <w:t xml:space="preserve"> Expansion Implementation</w:t>
            </w:r>
          </w:p>
        </w:tc>
        <w:tc>
          <w:tcPr>
            <w:tcW w:w="1701" w:type="dxa"/>
          </w:tcPr>
          <w:p w14:paraId="156BAC5A" w14:textId="77777777" w:rsidR="00F4594C" w:rsidRPr="009E49BB" w:rsidRDefault="00F4594C" w:rsidP="00F4594C">
            <w:pPr>
              <w:rPr>
                <w:rFonts w:asciiTheme="minorHAnsi" w:hAnsiTheme="minorHAnsi" w:cstheme="minorHAnsi"/>
                <w:sz w:val="22"/>
                <w:szCs w:val="22"/>
              </w:rPr>
            </w:pPr>
            <w:r w:rsidRPr="009E49BB">
              <w:rPr>
                <w:rFonts w:asciiTheme="minorHAnsi" w:hAnsiTheme="minorHAnsi" w:cstheme="minorHAnsi"/>
                <w:sz w:val="22"/>
                <w:szCs w:val="22"/>
              </w:rPr>
              <w:t>February 2020</w:t>
            </w:r>
          </w:p>
        </w:tc>
      </w:tr>
      <w:tr w:rsidR="00F4594C" w:rsidRPr="009E49BB" w14:paraId="08BD96A4" w14:textId="77777777" w:rsidTr="00F4594C">
        <w:tc>
          <w:tcPr>
            <w:tcW w:w="8217" w:type="dxa"/>
          </w:tcPr>
          <w:p w14:paraId="7906739F" w14:textId="77777777" w:rsidR="00F4594C" w:rsidRPr="009E49BB" w:rsidRDefault="00F4594C" w:rsidP="00F4594C">
            <w:pPr>
              <w:rPr>
                <w:rFonts w:asciiTheme="minorHAnsi" w:hAnsiTheme="minorHAnsi" w:cstheme="minorHAnsi"/>
                <w:sz w:val="22"/>
                <w:szCs w:val="22"/>
              </w:rPr>
            </w:pPr>
            <w:r w:rsidRPr="009E49BB">
              <w:rPr>
                <w:rFonts w:asciiTheme="minorHAnsi" w:hAnsiTheme="minorHAnsi" w:cstheme="minorHAnsi"/>
                <w:sz w:val="22"/>
                <w:szCs w:val="22"/>
              </w:rPr>
              <w:t>Enhanced Community Cluster Team</w:t>
            </w:r>
          </w:p>
          <w:p w14:paraId="078E8B3C" w14:textId="77777777" w:rsidR="00F4594C" w:rsidRPr="009E49BB" w:rsidRDefault="00F4594C" w:rsidP="00F4594C">
            <w:pPr>
              <w:rPr>
                <w:rFonts w:asciiTheme="minorHAnsi" w:hAnsiTheme="minorHAnsi" w:cstheme="minorHAnsi"/>
                <w:sz w:val="22"/>
                <w:szCs w:val="22"/>
              </w:rPr>
            </w:pPr>
            <w:r w:rsidRPr="009E49BB">
              <w:rPr>
                <w:rFonts w:asciiTheme="minorHAnsi" w:hAnsiTheme="minorHAnsi" w:cstheme="minorHAnsi"/>
                <w:sz w:val="22"/>
                <w:szCs w:val="22"/>
              </w:rPr>
              <w:t xml:space="preserve">(Phased Implementation) </w:t>
            </w:r>
          </w:p>
        </w:tc>
        <w:tc>
          <w:tcPr>
            <w:tcW w:w="1701" w:type="dxa"/>
          </w:tcPr>
          <w:p w14:paraId="028022A4" w14:textId="77777777" w:rsidR="00F4594C" w:rsidRPr="009E49BB" w:rsidRDefault="00F4594C" w:rsidP="00F4594C">
            <w:pPr>
              <w:rPr>
                <w:rFonts w:asciiTheme="minorHAnsi" w:hAnsiTheme="minorHAnsi" w:cstheme="minorHAnsi"/>
                <w:sz w:val="22"/>
                <w:szCs w:val="22"/>
              </w:rPr>
            </w:pPr>
            <w:r w:rsidRPr="009E49BB">
              <w:rPr>
                <w:rFonts w:asciiTheme="minorHAnsi" w:hAnsiTheme="minorHAnsi" w:cstheme="minorHAnsi"/>
                <w:sz w:val="22"/>
                <w:szCs w:val="22"/>
              </w:rPr>
              <w:t>February – June 2020</w:t>
            </w:r>
          </w:p>
        </w:tc>
      </w:tr>
      <w:tr w:rsidR="00F4594C" w:rsidRPr="009E49BB" w14:paraId="4740E10D" w14:textId="77777777" w:rsidTr="00F4594C">
        <w:tc>
          <w:tcPr>
            <w:tcW w:w="8217" w:type="dxa"/>
          </w:tcPr>
          <w:p w14:paraId="6C48D9BC" w14:textId="77777777" w:rsidR="00F4594C" w:rsidRPr="009E49BB" w:rsidRDefault="00F4594C" w:rsidP="00F4594C">
            <w:pPr>
              <w:rPr>
                <w:rFonts w:asciiTheme="minorHAnsi" w:hAnsiTheme="minorHAnsi" w:cstheme="minorHAnsi"/>
                <w:sz w:val="22"/>
                <w:szCs w:val="22"/>
              </w:rPr>
            </w:pPr>
            <w:r w:rsidRPr="009E49BB">
              <w:rPr>
                <w:rFonts w:asciiTheme="minorHAnsi" w:hAnsiTheme="minorHAnsi" w:cstheme="minorHAnsi"/>
                <w:sz w:val="22"/>
                <w:szCs w:val="22"/>
              </w:rPr>
              <w:t xml:space="preserve">Evaluation of the predictive ability of population segmentation </w:t>
            </w:r>
          </w:p>
        </w:tc>
        <w:tc>
          <w:tcPr>
            <w:tcW w:w="1701" w:type="dxa"/>
          </w:tcPr>
          <w:p w14:paraId="41D5EF0F" w14:textId="77777777" w:rsidR="00F4594C" w:rsidRPr="009E49BB" w:rsidRDefault="00F4594C" w:rsidP="00F4594C">
            <w:pPr>
              <w:rPr>
                <w:rFonts w:asciiTheme="minorHAnsi" w:hAnsiTheme="minorHAnsi" w:cstheme="minorHAnsi"/>
                <w:sz w:val="22"/>
                <w:szCs w:val="22"/>
              </w:rPr>
            </w:pPr>
            <w:r w:rsidRPr="009E49BB">
              <w:rPr>
                <w:rFonts w:asciiTheme="minorHAnsi" w:hAnsiTheme="minorHAnsi" w:cstheme="minorHAnsi"/>
                <w:sz w:val="22"/>
                <w:szCs w:val="22"/>
              </w:rPr>
              <w:t>March 2020</w:t>
            </w:r>
          </w:p>
        </w:tc>
      </w:tr>
      <w:tr w:rsidR="00F4594C" w:rsidRPr="009E49BB" w14:paraId="2768CBC4" w14:textId="77777777" w:rsidTr="00F4594C">
        <w:tc>
          <w:tcPr>
            <w:tcW w:w="8217" w:type="dxa"/>
          </w:tcPr>
          <w:p w14:paraId="1F0677F5" w14:textId="77777777" w:rsidR="00F4594C" w:rsidRPr="009E49BB" w:rsidRDefault="00F4594C" w:rsidP="00F4594C">
            <w:pPr>
              <w:rPr>
                <w:rFonts w:asciiTheme="minorHAnsi" w:hAnsiTheme="minorHAnsi" w:cstheme="minorHAnsi"/>
                <w:bCs/>
                <w:sz w:val="22"/>
                <w:szCs w:val="22"/>
              </w:rPr>
            </w:pPr>
            <w:r w:rsidRPr="009E49BB">
              <w:rPr>
                <w:rFonts w:asciiTheme="minorHAnsi" w:hAnsiTheme="minorHAnsi" w:cstheme="minorHAnsi"/>
                <w:bCs/>
                <w:sz w:val="22"/>
                <w:szCs w:val="22"/>
              </w:rPr>
              <w:t xml:space="preserve">Accelerating Pace of Change of Integrated Services – </w:t>
            </w:r>
          </w:p>
          <w:p w14:paraId="5634A960" w14:textId="77777777" w:rsidR="00F4594C" w:rsidRPr="009E49BB" w:rsidRDefault="00F4594C" w:rsidP="00F4594C">
            <w:pPr>
              <w:rPr>
                <w:rFonts w:asciiTheme="minorHAnsi" w:hAnsiTheme="minorHAnsi" w:cstheme="minorHAnsi"/>
                <w:sz w:val="22"/>
                <w:szCs w:val="22"/>
              </w:rPr>
            </w:pPr>
            <w:r w:rsidRPr="009E49BB">
              <w:rPr>
                <w:rFonts w:asciiTheme="minorHAnsi" w:hAnsiTheme="minorHAnsi" w:cstheme="minorHAnsi"/>
                <w:sz w:val="22"/>
                <w:szCs w:val="22"/>
              </w:rPr>
              <w:t>Develop a fully operational Common Access Point (Phased Approach)</w:t>
            </w:r>
          </w:p>
        </w:tc>
        <w:tc>
          <w:tcPr>
            <w:tcW w:w="1701" w:type="dxa"/>
          </w:tcPr>
          <w:p w14:paraId="3D52AAA2" w14:textId="77777777" w:rsidR="00F4594C" w:rsidRPr="009E49BB" w:rsidRDefault="00F4594C" w:rsidP="00F4594C">
            <w:pPr>
              <w:rPr>
                <w:rFonts w:asciiTheme="minorHAnsi" w:hAnsiTheme="minorHAnsi" w:cstheme="minorHAnsi"/>
                <w:sz w:val="22"/>
                <w:szCs w:val="22"/>
              </w:rPr>
            </w:pPr>
            <w:r w:rsidRPr="009E49BB">
              <w:rPr>
                <w:rFonts w:asciiTheme="minorHAnsi" w:hAnsiTheme="minorHAnsi" w:cstheme="minorHAnsi"/>
                <w:sz w:val="22"/>
                <w:szCs w:val="22"/>
              </w:rPr>
              <w:t>March – June 2020</w:t>
            </w:r>
          </w:p>
        </w:tc>
      </w:tr>
      <w:tr w:rsidR="00F4594C" w:rsidRPr="009E49BB" w14:paraId="3EFF1316" w14:textId="77777777" w:rsidTr="00F4594C">
        <w:tc>
          <w:tcPr>
            <w:tcW w:w="8217" w:type="dxa"/>
          </w:tcPr>
          <w:p w14:paraId="7A5DD98B" w14:textId="77777777" w:rsidR="00F4594C" w:rsidRPr="009E49BB" w:rsidRDefault="00F4594C" w:rsidP="00F4594C">
            <w:pPr>
              <w:rPr>
                <w:rFonts w:asciiTheme="minorHAnsi" w:hAnsiTheme="minorHAnsi" w:cstheme="minorHAnsi"/>
                <w:sz w:val="22"/>
                <w:szCs w:val="22"/>
              </w:rPr>
            </w:pPr>
            <w:r w:rsidRPr="009E49BB">
              <w:rPr>
                <w:rFonts w:asciiTheme="minorHAnsi" w:hAnsiTheme="minorHAnsi" w:cstheme="minorHAnsi"/>
                <w:sz w:val="22"/>
                <w:szCs w:val="22"/>
              </w:rPr>
              <w:t>Risk Stratification (Rhondda Phase 2 Implementation)</w:t>
            </w:r>
          </w:p>
        </w:tc>
        <w:tc>
          <w:tcPr>
            <w:tcW w:w="1701" w:type="dxa"/>
          </w:tcPr>
          <w:p w14:paraId="7D6FA44D" w14:textId="77777777" w:rsidR="00F4594C" w:rsidRPr="009E49BB" w:rsidRDefault="00F4594C" w:rsidP="00F4594C">
            <w:pPr>
              <w:rPr>
                <w:rFonts w:asciiTheme="minorHAnsi" w:hAnsiTheme="minorHAnsi" w:cstheme="minorHAnsi"/>
                <w:sz w:val="22"/>
                <w:szCs w:val="22"/>
              </w:rPr>
            </w:pPr>
            <w:r w:rsidRPr="009E49BB">
              <w:rPr>
                <w:rFonts w:asciiTheme="minorHAnsi" w:hAnsiTheme="minorHAnsi" w:cstheme="minorHAnsi"/>
                <w:sz w:val="22"/>
                <w:szCs w:val="22"/>
              </w:rPr>
              <w:t>June 2020</w:t>
            </w:r>
          </w:p>
        </w:tc>
      </w:tr>
      <w:tr w:rsidR="00F4594C" w:rsidRPr="009E49BB" w14:paraId="61FB065C" w14:textId="77777777" w:rsidTr="00F4594C">
        <w:tc>
          <w:tcPr>
            <w:tcW w:w="8217" w:type="dxa"/>
          </w:tcPr>
          <w:p w14:paraId="5A8C093C" w14:textId="77777777" w:rsidR="00F4594C" w:rsidRPr="009E49BB" w:rsidRDefault="00F4594C" w:rsidP="00F4594C">
            <w:pPr>
              <w:rPr>
                <w:rFonts w:asciiTheme="minorHAnsi" w:hAnsiTheme="minorHAnsi" w:cstheme="minorHAnsi"/>
                <w:sz w:val="22"/>
                <w:szCs w:val="22"/>
              </w:rPr>
            </w:pPr>
            <w:r w:rsidRPr="009E49BB">
              <w:rPr>
                <w:rFonts w:asciiTheme="minorHAnsi" w:hAnsiTheme="minorHAnsi" w:cstheme="minorHAnsi"/>
                <w:sz w:val="22"/>
                <w:szCs w:val="22"/>
              </w:rPr>
              <w:t xml:space="preserve">Draft final evaluation report </w:t>
            </w:r>
          </w:p>
        </w:tc>
        <w:tc>
          <w:tcPr>
            <w:tcW w:w="1701" w:type="dxa"/>
          </w:tcPr>
          <w:p w14:paraId="494B1F42" w14:textId="77777777" w:rsidR="00F4594C" w:rsidRPr="009E49BB" w:rsidRDefault="00F4594C" w:rsidP="00F4594C">
            <w:pPr>
              <w:rPr>
                <w:rFonts w:asciiTheme="minorHAnsi" w:hAnsiTheme="minorHAnsi" w:cstheme="minorHAnsi"/>
                <w:sz w:val="22"/>
                <w:szCs w:val="22"/>
              </w:rPr>
            </w:pPr>
            <w:r w:rsidRPr="009E49BB">
              <w:rPr>
                <w:rFonts w:asciiTheme="minorHAnsi" w:hAnsiTheme="minorHAnsi" w:cstheme="minorHAnsi"/>
                <w:sz w:val="22"/>
                <w:szCs w:val="22"/>
              </w:rPr>
              <w:t>November 2020</w:t>
            </w:r>
          </w:p>
        </w:tc>
      </w:tr>
      <w:tr w:rsidR="00F4594C" w:rsidRPr="009E49BB" w14:paraId="4509B6C3" w14:textId="77777777" w:rsidTr="00F4594C">
        <w:tc>
          <w:tcPr>
            <w:tcW w:w="8217" w:type="dxa"/>
          </w:tcPr>
          <w:p w14:paraId="762FDA06" w14:textId="77777777" w:rsidR="00F4594C" w:rsidRPr="009E49BB" w:rsidRDefault="00F4594C" w:rsidP="00F4594C">
            <w:pPr>
              <w:rPr>
                <w:rFonts w:asciiTheme="minorHAnsi" w:hAnsiTheme="minorHAnsi" w:cstheme="minorHAnsi"/>
                <w:sz w:val="22"/>
                <w:szCs w:val="22"/>
              </w:rPr>
            </w:pPr>
            <w:r w:rsidRPr="009E49BB">
              <w:rPr>
                <w:rFonts w:asciiTheme="minorHAnsi" w:hAnsiTheme="minorHAnsi" w:cstheme="minorHAnsi"/>
                <w:sz w:val="22"/>
                <w:szCs w:val="22"/>
              </w:rPr>
              <w:t xml:space="preserve">Final evaluation report </w:t>
            </w:r>
          </w:p>
        </w:tc>
        <w:tc>
          <w:tcPr>
            <w:tcW w:w="1701" w:type="dxa"/>
          </w:tcPr>
          <w:p w14:paraId="24CC19E2" w14:textId="77777777" w:rsidR="00F4594C" w:rsidRPr="009E49BB" w:rsidRDefault="00F4594C" w:rsidP="00F4594C">
            <w:pPr>
              <w:rPr>
                <w:rFonts w:asciiTheme="minorHAnsi" w:hAnsiTheme="minorHAnsi" w:cstheme="minorHAnsi"/>
                <w:b/>
                <w:sz w:val="22"/>
                <w:szCs w:val="22"/>
              </w:rPr>
            </w:pPr>
            <w:r w:rsidRPr="009E49BB">
              <w:rPr>
                <w:rFonts w:asciiTheme="minorHAnsi" w:hAnsiTheme="minorHAnsi" w:cstheme="minorHAnsi"/>
                <w:sz w:val="22"/>
                <w:szCs w:val="22"/>
              </w:rPr>
              <w:t>January 2021</w:t>
            </w:r>
          </w:p>
        </w:tc>
      </w:tr>
      <w:tr w:rsidR="00F4594C" w:rsidRPr="009E49BB" w14:paraId="3DE0C84A" w14:textId="77777777" w:rsidTr="00F4594C">
        <w:tc>
          <w:tcPr>
            <w:tcW w:w="8217" w:type="dxa"/>
          </w:tcPr>
          <w:p w14:paraId="20B53181" w14:textId="77777777" w:rsidR="00F4594C" w:rsidRPr="009E49BB" w:rsidRDefault="00F4594C" w:rsidP="00F4594C">
            <w:pPr>
              <w:rPr>
                <w:rFonts w:asciiTheme="minorHAnsi" w:hAnsiTheme="minorHAnsi" w:cstheme="minorHAnsi"/>
                <w:sz w:val="22"/>
                <w:szCs w:val="22"/>
              </w:rPr>
            </w:pPr>
            <w:r w:rsidRPr="009E49BB">
              <w:rPr>
                <w:rFonts w:asciiTheme="minorHAnsi" w:hAnsiTheme="minorHAnsi" w:cstheme="minorHAnsi"/>
                <w:color w:val="000000" w:themeColor="text1"/>
                <w:sz w:val="22"/>
                <w:szCs w:val="22"/>
              </w:rPr>
              <w:t xml:space="preserve">Follow-up report– to include the </w:t>
            </w:r>
            <w:r w:rsidRPr="009E49BB">
              <w:rPr>
                <w:rFonts w:asciiTheme="minorHAnsi" w:hAnsiTheme="minorHAnsi" w:cstheme="minorHAnsi"/>
                <w:sz w:val="22"/>
                <w:szCs w:val="22"/>
              </w:rPr>
              <w:t>position 1 year on from the end of the Fund, focussing on sustainability and scaling</w:t>
            </w:r>
          </w:p>
        </w:tc>
        <w:tc>
          <w:tcPr>
            <w:tcW w:w="1701" w:type="dxa"/>
          </w:tcPr>
          <w:p w14:paraId="6238F375" w14:textId="77777777" w:rsidR="00F4594C" w:rsidRPr="009E49BB" w:rsidRDefault="00F4594C" w:rsidP="00F4594C">
            <w:pPr>
              <w:rPr>
                <w:rFonts w:asciiTheme="minorHAnsi" w:hAnsiTheme="minorHAnsi" w:cstheme="minorHAnsi"/>
                <w:b/>
                <w:sz w:val="22"/>
                <w:szCs w:val="22"/>
              </w:rPr>
            </w:pPr>
            <w:r w:rsidRPr="009E49BB">
              <w:rPr>
                <w:rFonts w:asciiTheme="minorHAnsi" w:hAnsiTheme="minorHAnsi" w:cstheme="minorHAnsi"/>
                <w:color w:val="000000" w:themeColor="text1"/>
                <w:sz w:val="22"/>
                <w:szCs w:val="22"/>
              </w:rPr>
              <w:t>January 2022</w:t>
            </w:r>
          </w:p>
        </w:tc>
      </w:tr>
    </w:tbl>
    <w:p w14:paraId="1ED0603D" w14:textId="2736499B" w:rsidR="002D71A3" w:rsidRPr="008D5F33" w:rsidRDefault="002D71A3" w:rsidP="002D71A3">
      <w:pPr>
        <w:pStyle w:val="Heading3"/>
        <w:rPr>
          <w:szCs w:val="22"/>
        </w:rPr>
      </w:pPr>
      <w:r>
        <w:rPr>
          <w:szCs w:val="22"/>
        </w:rPr>
        <w:t xml:space="preserve">Delivering the Cwm Taf </w:t>
      </w:r>
      <w:r w:rsidRPr="008D5F33">
        <w:rPr>
          <w:rFonts w:eastAsia="Times New Roman" w:cs="Arial"/>
          <w:szCs w:val="22"/>
        </w:rPr>
        <w:t>Regional Area Plan</w:t>
      </w:r>
    </w:p>
    <w:p w14:paraId="1B8DB240" w14:textId="4C3666EA" w:rsidR="00216D30" w:rsidRPr="00216D30" w:rsidRDefault="00216D30" w:rsidP="00216D30">
      <w:pPr>
        <w:rPr>
          <w:rFonts w:cs="Arial"/>
          <w:szCs w:val="22"/>
        </w:rPr>
      </w:pPr>
      <w:r w:rsidRPr="00216D30">
        <w:rPr>
          <w:rFonts w:cs="Arial"/>
          <w:szCs w:val="22"/>
        </w:rPr>
        <w:t xml:space="preserve">Building on the established Cwm Taf Area plan and identified priorities for Bridgend there is a requirement to develop a Cwm Taf Morgannwg Regional Plan reflecting agreed priorities of the new region. During 2019/20 there has been opportunity to lean from the different approaches across the new region and this will be built on during 2020/21. </w:t>
      </w:r>
    </w:p>
    <w:p w14:paraId="27BEE842" w14:textId="77777777" w:rsidR="00216D30" w:rsidRPr="00216D30" w:rsidRDefault="00216D30" w:rsidP="00216D30">
      <w:pPr>
        <w:rPr>
          <w:rFonts w:cs="Arial"/>
          <w:szCs w:val="22"/>
        </w:rPr>
      </w:pPr>
    </w:p>
    <w:p w14:paraId="25FBFAB9" w14:textId="77777777" w:rsidR="00216D30" w:rsidRPr="00216D30" w:rsidRDefault="00216D30" w:rsidP="00216D30">
      <w:pPr>
        <w:rPr>
          <w:rFonts w:asciiTheme="minorHAnsi" w:hAnsiTheme="minorHAnsi"/>
          <w:szCs w:val="22"/>
        </w:rPr>
      </w:pPr>
      <w:r w:rsidRPr="00216D30">
        <w:rPr>
          <w:rFonts w:asciiTheme="minorHAnsi" w:hAnsiTheme="minorHAnsi"/>
          <w:szCs w:val="22"/>
        </w:rPr>
        <w:t xml:space="preserve">A number of Joint Commissioning Statements and Statements of Intent </w:t>
      </w:r>
      <w:r w:rsidRPr="00216D30">
        <w:rPr>
          <w:rFonts w:cs="Verdana"/>
          <w:szCs w:val="22"/>
        </w:rPr>
        <w:t>which were developed under the Cwm Taf area plan will be revisited to determine regional approach and include;</w:t>
      </w:r>
    </w:p>
    <w:p w14:paraId="4ECE4AE5" w14:textId="77777777" w:rsidR="00216D30" w:rsidRPr="00216D30" w:rsidRDefault="00216D30" w:rsidP="00216D30">
      <w:pPr>
        <w:pStyle w:val="NormaBullet"/>
        <w:rPr>
          <w:szCs w:val="22"/>
        </w:rPr>
      </w:pPr>
      <w:r w:rsidRPr="00216D30">
        <w:rPr>
          <w:szCs w:val="22"/>
        </w:rPr>
        <w:t xml:space="preserve">Joint Commissioning Statement for Older People’s Services 2015-2025.  Partners want to deliver a proactive, responsive and seamless service to our older population and those who support and care for them.  Older people must be able to access a range of services that promote their health, well-being and independence, reduce reliance on long-term specialist services and emphasise choice and control.  Delivery of the Stay Well in Your Community Programme is key this.  </w:t>
      </w:r>
      <w:r w:rsidRPr="00216D30">
        <w:rPr>
          <w:b/>
          <w:szCs w:val="22"/>
        </w:rPr>
        <w:t>See Section 5.2.2 and Annexes B4 and B5</w:t>
      </w:r>
      <w:r w:rsidRPr="00216D30">
        <w:rPr>
          <w:szCs w:val="22"/>
        </w:rPr>
        <w:t xml:space="preserve"> for further detail.</w:t>
      </w:r>
    </w:p>
    <w:p w14:paraId="5B1C1C2A" w14:textId="77777777" w:rsidR="00216D30" w:rsidRPr="00216D30" w:rsidRDefault="00216D30" w:rsidP="00216D30">
      <w:pPr>
        <w:pStyle w:val="NormaBullet"/>
        <w:rPr>
          <w:szCs w:val="22"/>
        </w:rPr>
      </w:pPr>
      <w:r w:rsidRPr="00216D30">
        <w:rPr>
          <w:szCs w:val="22"/>
        </w:rPr>
        <w:lastRenderedPageBreak/>
        <w:t>Joint Statement of Intent for Learning Disability Services.  The Region’s SOI was endorsed by partners in November 2017 It describes a shared commitment to deliver a new model based on the following:</w:t>
      </w:r>
    </w:p>
    <w:p w14:paraId="60716374" w14:textId="77777777" w:rsidR="00216D30" w:rsidRPr="00216D30" w:rsidRDefault="00216D30" w:rsidP="00216D30">
      <w:pPr>
        <w:pStyle w:val="NormalBulletIndent"/>
        <w:rPr>
          <w:szCs w:val="22"/>
        </w:rPr>
      </w:pPr>
      <w:r w:rsidRPr="00216D30">
        <w:rPr>
          <w:szCs w:val="22"/>
        </w:rPr>
        <w:t>Maximise the use of universal services.</w:t>
      </w:r>
    </w:p>
    <w:p w14:paraId="79013E11" w14:textId="77777777" w:rsidR="00216D30" w:rsidRPr="00216D30" w:rsidRDefault="00216D30" w:rsidP="00216D30">
      <w:pPr>
        <w:pStyle w:val="NormalBulletIndent"/>
        <w:rPr>
          <w:szCs w:val="22"/>
        </w:rPr>
      </w:pPr>
      <w:r w:rsidRPr="00216D30">
        <w:rPr>
          <w:szCs w:val="22"/>
        </w:rPr>
        <w:t>Increase early intervention, prevention, information, advice and assistance.</w:t>
      </w:r>
    </w:p>
    <w:p w14:paraId="3FB705B7" w14:textId="77777777" w:rsidR="00216D30" w:rsidRPr="00216D30" w:rsidRDefault="00216D30" w:rsidP="00216D30">
      <w:pPr>
        <w:pStyle w:val="NormalBulletIndent"/>
        <w:rPr>
          <w:szCs w:val="22"/>
        </w:rPr>
      </w:pPr>
      <w:r w:rsidRPr="00216D30">
        <w:rPr>
          <w:szCs w:val="22"/>
        </w:rPr>
        <w:t>Build community support and develop people’s independence.</w:t>
      </w:r>
    </w:p>
    <w:p w14:paraId="6B631AEA" w14:textId="77777777" w:rsidR="00216D30" w:rsidRPr="00216D30" w:rsidRDefault="00216D30" w:rsidP="00216D30">
      <w:pPr>
        <w:pStyle w:val="NormalBulletIndent"/>
        <w:rPr>
          <w:szCs w:val="22"/>
        </w:rPr>
      </w:pPr>
      <w:r w:rsidRPr="00216D30">
        <w:rPr>
          <w:szCs w:val="22"/>
        </w:rPr>
        <w:t>Sustain people in their own homes.</w:t>
      </w:r>
    </w:p>
    <w:p w14:paraId="540C7041" w14:textId="77777777" w:rsidR="00216D30" w:rsidRPr="00216D30" w:rsidRDefault="00216D30" w:rsidP="00216D30">
      <w:pPr>
        <w:pStyle w:val="NormalBulletIndent"/>
        <w:rPr>
          <w:szCs w:val="22"/>
        </w:rPr>
      </w:pPr>
      <w:r w:rsidRPr="00216D30">
        <w:rPr>
          <w:szCs w:val="22"/>
        </w:rPr>
        <w:t>Enable people to live full lives and achieve their potential.</w:t>
      </w:r>
    </w:p>
    <w:p w14:paraId="7C3B4128" w14:textId="77777777" w:rsidR="00216D30" w:rsidRPr="00216D30" w:rsidRDefault="00216D30" w:rsidP="00216D30">
      <w:pPr>
        <w:pStyle w:val="NormalBulletIndent"/>
        <w:rPr>
          <w:szCs w:val="22"/>
        </w:rPr>
      </w:pPr>
      <w:r w:rsidRPr="00216D30">
        <w:rPr>
          <w:szCs w:val="22"/>
        </w:rPr>
        <w:t>Keep people safe.</w:t>
      </w:r>
    </w:p>
    <w:p w14:paraId="083F89AE" w14:textId="77777777" w:rsidR="00216D30" w:rsidRPr="00216D30" w:rsidRDefault="00216D30" w:rsidP="00216D30">
      <w:pPr>
        <w:pStyle w:val="NormalBulletIndent"/>
        <w:rPr>
          <w:szCs w:val="22"/>
        </w:rPr>
      </w:pPr>
      <w:r w:rsidRPr="00216D30">
        <w:rPr>
          <w:szCs w:val="22"/>
        </w:rPr>
        <w:t>Make the best use of our resources.</w:t>
      </w:r>
    </w:p>
    <w:p w14:paraId="52BFAF93" w14:textId="77777777" w:rsidR="00216D30" w:rsidRPr="00216D30" w:rsidRDefault="00216D30" w:rsidP="00216D30">
      <w:pPr>
        <w:pStyle w:val="NormaBullet"/>
        <w:rPr>
          <w:szCs w:val="22"/>
        </w:rPr>
      </w:pPr>
      <w:r w:rsidRPr="00216D30">
        <w:rPr>
          <w:szCs w:val="22"/>
        </w:rPr>
        <w:t>Joint Statement of Intent for Children, Young People and Families.  The SOI is focused on the following shared vision , that:</w:t>
      </w:r>
    </w:p>
    <w:p w14:paraId="1EBF7930" w14:textId="77777777" w:rsidR="00216D30" w:rsidRPr="00216D30" w:rsidRDefault="00216D30" w:rsidP="00216D30">
      <w:pPr>
        <w:pStyle w:val="NormalBulletIndent"/>
        <w:rPr>
          <w:szCs w:val="22"/>
        </w:rPr>
      </w:pPr>
      <w:r w:rsidRPr="00216D30">
        <w:rPr>
          <w:szCs w:val="22"/>
        </w:rPr>
        <w:t>Children, young people and families in Cwm Taf will live safe, healthy and fulfilled lives and achieve their full potential.</w:t>
      </w:r>
    </w:p>
    <w:p w14:paraId="3298F7A9" w14:textId="77777777" w:rsidR="00216D30" w:rsidRPr="00216D30" w:rsidRDefault="00216D30" w:rsidP="00216D30">
      <w:pPr>
        <w:pStyle w:val="NormalBulletIndent"/>
        <w:rPr>
          <w:szCs w:val="22"/>
        </w:rPr>
      </w:pPr>
      <w:r w:rsidRPr="00216D30">
        <w:rPr>
          <w:szCs w:val="22"/>
        </w:rPr>
        <w:t xml:space="preserve">Families and communities will be more resilient and independent. </w:t>
      </w:r>
    </w:p>
    <w:p w14:paraId="3161E457" w14:textId="77777777" w:rsidR="00216D30" w:rsidRPr="00216D30" w:rsidRDefault="00216D30" w:rsidP="00216D30">
      <w:pPr>
        <w:pStyle w:val="NormalBulletIndent"/>
        <w:rPr>
          <w:szCs w:val="22"/>
        </w:rPr>
      </w:pPr>
      <w:r w:rsidRPr="00216D30">
        <w:rPr>
          <w:szCs w:val="22"/>
        </w:rPr>
        <w:t>Our focus on communities will give children, young people and families the best possible environment to thrive.</w:t>
      </w:r>
    </w:p>
    <w:p w14:paraId="13819E32" w14:textId="77777777" w:rsidR="00216D30" w:rsidRPr="00216D30" w:rsidRDefault="00216D30" w:rsidP="00216D30">
      <w:pPr>
        <w:pStyle w:val="NormalBulletIndent"/>
        <w:rPr>
          <w:szCs w:val="22"/>
        </w:rPr>
      </w:pPr>
      <w:r w:rsidRPr="00216D30">
        <w:rPr>
          <w:szCs w:val="22"/>
        </w:rPr>
        <w:t>The balance of resource will shift from safeguarding, substitute and complex care to early and targeted help.</w:t>
      </w:r>
    </w:p>
    <w:p w14:paraId="58795A3A" w14:textId="77777777" w:rsidR="00216D30" w:rsidRPr="00216D30" w:rsidRDefault="00216D30" w:rsidP="00216D30">
      <w:pPr>
        <w:ind w:left="357"/>
        <w:rPr>
          <w:szCs w:val="22"/>
        </w:rPr>
      </w:pPr>
    </w:p>
    <w:p w14:paraId="7968616E" w14:textId="42874C7F" w:rsidR="003D0B77" w:rsidRPr="00216D30" w:rsidRDefault="00216D30" w:rsidP="00216D30">
      <w:pPr>
        <w:rPr>
          <w:szCs w:val="22"/>
        </w:rPr>
      </w:pPr>
      <w:r w:rsidRPr="00216D30">
        <w:rPr>
          <w:rFonts w:cs="Arial"/>
          <w:szCs w:val="22"/>
        </w:rPr>
        <w:t xml:space="preserve">In order to support the delivery of this a small Regional Commissioning Unit (RCU has been established and it will be important in 2019/20 that it embed as responds to its growing remit across the new region.  This resource will </w:t>
      </w:r>
      <w:r w:rsidRPr="00216D30">
        <w:rPr>
          <w:rFonts w:asciiTheme="minorHAnsi" w:hAnsiTheme="minorHAnsi" w:cs="Arial"/>
          <w:szCs w:val="22"/>
        </w:rPr>
        <w:t>complement and support the resource already within partner organisations so that the Region can develop and implement regional commissioning plans for integrated service provision for a variety of client groups and develop joint community arrangements for the accelerated provision of integrated health and social care</w:t>
      </w:r>
      <w:proofErr w:type="gramStart"/>
      <w:r w:rsidRPr="00216D30">
        <w:rPr>
          <w:rFonts w:asciiTheme="minorHAnsi" w:hAnsiTheme="minorHAnsi" w:cs="Arial"/>
          <w:szCs w:val="22"/>
        </w:rPr>
        <w:t>.</w:t>
      </w:r>
      <w:r w:rsidR="003D0B77" w:rsidRPr="00216D30">
        <w:rPr>
          <w:szCs w:val="22"/>
        </w:rPr>
        <w:t>.</w:t>
      </w:r>
      <w:proofErr w:type="gramEnd"/>
    </w:p>
    <w:p w14:paraId="0A9A6AFB" w14:textId="584A6A70" w:rsidR="003B2CC2" w:rsidRPr="003B2CC2" w:rsidRDefault="003B2CC2" w:rsidP="003B2CC2">
      <w:pPr>
        <w:pStyle w:val="Heading4"/>
        <w:rPr>
          <w:szCs w:val="22"/>
        </w:rPr>
      </w:pPr>
      <w:r>
        <w:rPr>
          <w:szCs w:val="22"/>
        </w:rPr>
        <w:t>Pooled Funds</w:t>
      </w:r>
    </w:p>
    <w:p w14:paraId="630E8419" w14:textId="77777777" w:rsidR="00216D30" w:rsidRPr="00216D30" w:rsidRDefault="00216D30" w:rsidP="00216D30">
      <w:pPr>
        <w:rPr>
          <w:rFonts w:asciiTheme="minorHAnsi" w:hAnsiTheme="minorHAnsi" w:cs="Arial"/>
          <w:szCs w:val="22"/>
        </w:rPr>
      </w:pPr>
      <w:r w:rsidRPr="00216D30">
        <w:rPr>
          <w:rFonts w:asciiTheme="minorHAnsi" w:hAnsiTheme="minorHAnsi"/>
          <w:szCs w:val="22"/>
        </w:rPr>
        <w:t xml:space="preserve">There are a number of pooled budgets in place across the Region, including the Youth Offending Service, Integrated Equipment Service and learning disability packages of care.  </w:t>
      </w:r>
      <w:r w:rsidRPr="00216D30">
        <w:rPr>
          <w:rFonts w:asciiTheme="minorHAnsi" w:hAnsiTheme="minorHAnsi" w:cs="Arial"/>
          <w:szCs w:val="22"/>
        </w:rPr>
        <w:t>These funds provide an enabler for increasing value and improving outcomes through integrated and seamless services for a range of patient and client groups.</w:t>
      </w:r>
    </w:p>
    <w:p w14:paraId="3EEE8EB8" w14:textId="77777777" w:rsidR="00216D30" w:rsidRPr="00216D30" w:rsidRDefault="00216D30" w:rsidP="00216D30">
      <w:pPr>
        <w:rPr>
          <w:rFonts w:asciiTheme="minorHAnsi" w:hAnsiTheme="minorHAnsi" w:cs="Arial"/>
          <w:szCs w:val="22"/>
        </w:rPr>
      </w:pPr>
    </w:p>
    <w:p w14:paraId="60E6084D" w14:textId="77777777" w:rsidR="00216D30" w:rsidRPr="00216D30" w:rsidRDefault="00216D30" w:rsidP="00216D30">
      <w:pPr>
        <w:rPr>
          <w:rFonts w:asciiTheme="minorHAnsi" w:hAnsiTheme="minorHAnsi" w:cs="Verdana"/>
          <w:szCs w:val="22"/>
        </w:rPr>
      </w:pPr>
      <w:r w:rsidRPr="00216D30">
        <w:rPr>
          <w:rFonts w:asciiTheme="minorHAnsi" w:hAnsiTheme="minorHAnsi" w:cs="Arial"/>
          <w:szCs w:val="22"/>
        </w:rPr>
        <w:t xml:space="preserve">An overarching pooled fund for residential and nursing care has been established and is operating as set out in a Legal Agreement between partners, hosted by RCT CBC.  It essentially encompasses all older persons’ independent residential and nursing placements in establishments located within the regional footprint.  </w:t>
      </w:r>
    </w:p>
    <w:p w14:paraId="73D95B8B" w14:textId="77777777" w:rsidR="00216D30" w:rsidRPr="00216D30" w:rsidRDefault="00216D30" w:rsidP="00216D30">
      <w:pPr>
        <w:rPr>
          <w:rFonts w:asciiTheme="minorHAnsi" w:hAnsiTheme="minorHAnsi" w:cs="Verdana"/>
          <w:szCs w:val="22"/>
        </w:rPr>
      </w:pPr>
    </w:p>
    <w:p w14:paraId="7499E113" w14:textId="77777777" w:rsidR="00216D30" w:rsidRPr="00216D30" w:rsidRDefault="00216D30" w:rsidP="00216D30">
      <w:pPr>
        <w:rPr>
          <w:rFonts w:asciiTheme="minorHAnsi" w:eastAsiaTheme="minorHAnsi" w:hAnsiTheme="minorHAnsi" w:cs="Times New Roman"/>
        </w:rPr>
      </w:pPr>
      <w:r w:rsidRPr="00216D30">
        <w:rPr>
          <w:rFonts w:asciiTheme="minorHAnsi" w:eastAsiaTheme="minorHAnsi" w:hAnsiTheme="minorHAnsi"/>
          <w:iCs/>
          <w:lang w:eastAsia="en-US"/>
        </w:rPr>
        <w:t xml:space="preserve">Bridgend’s Care Home Pooled Funds arrangements remain within the Western Bay area for 2019/20. During this transition year, Bridgend are represented on the existing Cwm Taf Pooled </w:t>
      </w:r>
      <w:proofErr w:type="gramStart"/>
      <w:r w:rsidRPr="00216D30">
        <w:rPr>
          <w:rFonts w:asciiTheme="minorHAnsi" w:eastAsiaTheme="minorHAnsi" w:hAnsiTheme="minorHAnsi"/>
          <w:iCs/>
          <w:lang w:eastAsia="en-US"/>
        </w:rPr>
        <w:t>Group  and</w:t>
      </w:r>
      <w:proofErr w:type="gramEnd"/>
      <w:r w:rsidRPr="00216D30">
        <w:rPr>
          <w:rFonts w:asciiTheme="minorHAnsi" w:eastAsiaTheme="minorHAnsi" w:hAnsiTheme="minorHAnsi"/>
          <w:iCs/>
          <w:lang w:eastAsia="en-US"/>
        </w:rPr>
        <w:t xml:space="preserve"> four key actions have been identified with a view to establishing a new Cwm Taf Morgannwg Pooled fund arrangement by 31</w:t>
      </w:r>
      <w:r w:rsidRPr="00216D30">
        <w:rPr>
          <w:rFonts w:asciiTheme="minorHAnsi" w:eastAsiaTheme="minorHAnsi" w:hAnsiTheme="minorHAnsi"/>
          <w:iCs/>
          <w:vertAlign w:val="superscript"/>
          <w:lang w:eastAsia="en-US"/>
        </w:rPr>
        <w:t>st</w:t>
      </w:r>
      <w:r w:rsidRPr="00216D30">
        <w:rPr>
          <w:rFonts w:asciiTheme="minorHAnsi" w:eastAsiaTheme="minorHAnsi" w:hAnsiTheme="minorHAnsi"/>
          <w:iCs/>
          <w:lang w:eastAsia="en-US"/>
        </w:rPr>
        <w:t xml:space="preserve"> March 2020. These are; </w:t>
      </w:r>
    </w:p>
    <w:p w14:paraId="4E5C803A" w14:textId="77777777" w:rsidR="00216D30" w:rsidRPr="00216D30" w:rsidRDefault="00216D30" w:rsidP="00216D30">
      <w:pPr>
        <w:rPr>
          <w:rFonts w:asciiTheme="minorHAnsi" w:eastAsiaTheme="minorHAnsi" w:hAnsiTheme="minorHAnsi"/>
        </w:rPr>
      </w:pPr>
      <w:r w:rsidRPr="00216D30">
        <w:rPr>
          <w:rFonts w:asciiTheme="minorHAnsi" w:eastAsiaTheme="minorHAnsi" w:hAnsiTheme="minorHAnsi"/>
          <w:iCs/>
          <w:lang w:eastAsia="en-US"/>
        </w:rPr>
        <w:t> </w:t>
      </w:r>
    </w:p>
    <w:p w14:paraId="742F6EDE" w14:textId="3162B40C" w:rsidR="00216D30" w:rsidRPr="00216D30" w:rsidRDefault="00216D30" w:rsidP="00216D30">
      <w:pPr>
        <w:rPr>
          <w:rFonts w:asciiTheme="minorHAnsi" w:eastAsiaTheme="minorHAnsi" w:hAnsiTheme="minorHAnsi"/>
        </w:rPr>
      </w:pPr>
      <w:r w:rsidRPr="00216D30">
        <w:rPr>
          <w:rFonts w:asciiTheme="minorHAnsi" w:eastAsiaTheme="minorHAnsi" w:hAnsiTheme="minorHAnsi"/>
          <w:iCs/>
          <w:lang w:eastAsia="en-US"/>
        </w:rPr>
        <w:t>Action 1 – Market Positions Statements to be refreshed across the new region.</w:t>
      </w:r>
    </w:p>
    <w:p w14:paraId="5ABD30CF" w14:textId="6E4E42D2" w:rsidR="00216D30" w:rsidRPr="00216D30" w:rsidRDefault="00D45FFF" w:rsidP="00216D30">
      <w:pPr>
        <w:rPr>
          <w:rFonts w:asciiTheme="minorHAnsi" w:eastAsiaTheme="minorHAnsi" w:hAnsiTheme="minorHAnsi"/>
        </w:rPr>
      </w:pPr>
      <w:r>
        <w:rPr>
          <w:rFonts w:asciiTheme="minorHAnsi" w:eastAsiaTheme="minorHAnsi" w:hAnsiTheme="minorHAnsi"/>
          <w:iCs/>
          <w:lang w:eastAsia="en-US"/>
        </w:rPr>
        <w:t>Action 2 -</w:t>
      </w:r>
      <w:proofErr w:type="gramStart"/>
      <w:r>
        <w:rPr>
          <w:rFonts w:asciiTheme="minorHAnsi" w:eastAsiaTheme="minorHAnsi" w:hAnsiTheme="minorHAnsi"/>
          <w:iCs/>
          <w:lang w:eastAsia="en-US"/>
        </w:rPr>
        <w:t xml:space="preserve">  </w:t>
      </w:r>
      <w:r w:rsidR="00216D30" w:rsidRPr="00216D30">
        <w:rPr>
          <w:rFonts w:asciiTheme="minorHAnsi" w:eastAsiaTheme="minorHAnsi" w:hAnsiTheme="minorHAnsi"/>
          <w:iCs/>
          <w:lang w:eastAsia="en-US"/>
        </w:rPr>
        <w:t>Review</w:t>
      </w:r>
      <w:proofErr w:type="gramEnd"/>
      <w:r w:rsidR="00216D30" w:rsidRPr="00216D30">
        <w:rPr>
          <w:rFonts w:asciiTheme="minorHAnsi" w:eastAsiaTheme="minorHAnsi" w:hAnsiTheme="minorHAnsi"/>
          <w:iCs/>
          <w:lang w:eastAsia="en-US"/>
        </w:rPr>
        <w:t xml:space="preserve"> pooled fund contracts with a view to aligning contracts across the region. </w:t>
      </w:r>
    </w:p>
    <w:p w14:paraId="27066046" w14:textId="77777777" w:rsidR="00216D30" w:rsidRPr="00216D30" w:rsidRDefault="00216D30" w:rsidP="00216D30">
      <w:pPr>
        <w:rPr>
          <w:rFonts w:asciiTheme="minorHAnsi" w:eastAsiaTheme="minorHAnsi" w:hAnsiTheme="minorHAnsi"/>
        </w:rPr>
      </w:pPr>
      <w:r w:rsidRPr="00216D30">
        <w:rPr>
          <w:rFonts w:asciiTheme="minorHAnsi" w:eastAsiaTheme="minorHAnsi" w:hAnsiTheme="minorHAnsi"/>
          <w:iCs/>
          <w:lang w:eastAsia="en-US"/>
        </w:rPr>
        <w:t xml:space="preserve">Action 3 - Reviewing existing pooled fund arrangements to determine any changes required to extend the fund. </w:t>
      </w:r>
    </w:p>
    <w:p w14:paraId="7E29B4EF" w14:textId="2FDC5038" w:rsidR="00406D24" w:rsidRPr="00174521" w:rsidRDefault="00D45FFF" w:rsidP="00216D30">
      <w:pPr>
        <w:rPr>
          <w:rFonts w:asciiTheme="minorHAnsi" w:hAnsiTheme="minorHAnsi" w:cs="Arial"/>
          <w:color w:val="943634" w:themeColor="accent2" w:themeShade="BF"/>
          <w:szCs w:val="22"/>
        </w:rPr>
      </w:pPr>
      <w:r>
        <w:rPr>
          <w:rFonts w:asciiTheme="minorHAnsi" w:eastAsiaTheme="minorHAnsi" w:hAnsiTheme="minorHAnsi"/>
          <w:iCs/>
          <w:lang w:eastAsia="en-US"/>
        </w:rPr>
        <w:t>Action 4 -</w:t>
      </w:r>
      <w:proofErr w:type="gramStart"/>
      <w:r>
        <w:rPr>
          <w:rFonts w:asciiTheme="minorHAnsi" w:eastAsiaTheme="minorHAnsi" w:hAnsiTheme="minorHAnsi"/>
          <w:iCs/>
          <w:lang w:eastAsia="en-US"/>
        </w:rPr>
        <w:t xml:space="preserve">  </w:t>
      </w:r>
      <w:r w:rsidR="00216D30" w:rsidRPr="00216D30">
        <w:rPr>
          <w:rFonts w:asciiTheme="minorHAnsi" w:eastAsiaTheme="minorHAnsi" w:hAnsiTheme="minorHAnsi"/>
          <w:iCs/>
          <w:lang w:eastAsia="en-US"/>
        </w:rPr>
        <w:t>Consideration</w:t>
      </w:r>
      <w:proofErr w:type="gramEnd"/>
      <w:r w:rsidR="00216D30" w:rsidRPr="00216D30">
        <w:rPr>
          <w:rFonts w:asciiTheme="minorHAnsi" w:eastAsiaTheme="minorHAnsi" w:hAnsiTheme="minorHAnsi"/>
          <w:iCs/>
          <w:lang w:eastAsia="en-US"/>
        </w:rPr>
        <w:t xml:space="preserve"> be given to future commissioning arrangements across all regions, in light of the Bridgend boundary changes, and to progress a Commissioning Strategy for the region.</w:t>
      </w:r>
    </w:p>
    <w:p w14:paraId="210F412B" w14:textId="1F01A55D" w:rsidR="00406D24" w:rsidRPr="003D0778" w:rsidRDefault="00406D24" w:rsidP="00B2767F">
      <w:pPr>
        <w:pStyle w:val="Heading4"/>
        <w:rPr>
          <w:szCs w:val="22"/>
        </w:rPr>
      </w:pPr>
      <w:bookmarkStart w:id="92" w:name="_Toc532463978"/>
      <w:r w:rsidRPr="003D0778">
        <w:rPr>
          <w:szCs w:val="22"/>
        </w:rPr>
        <w:t>Integrated Care Fund (ICF)</w:t>
      </w:r>
      <w:bookmarkEnd w:id="92"/>
    </w:p>
    <w:p w14:paraId="647E1942" w14:textId="6426137E" w:rsidR="00216D30" w:rsidRDefault="0098336B" w:rsidP="0098336B">
      <w:pPr>
        <w:rPr>
          <w:u w:color="000000"/>
        </w:rPr>
      </w:pPr>
      <w:r>
        <w:rPr>
          <w:u w:color="000000"/>
        </w:rPr>
        <w:t>T</w:t>
      </w:r>
      <w:r w:rsidR="00216D30" w:rsidRPr="0098336B">
        <w:rPr>
          <w:u w:color="000000"/>
        </w:rPr>
        <w:t>he Welsh Government published Guidance on the Integrated Care Fund (ICF), previously referred to as the Intermediate Care Fund, in April 2018 and updated Guidance made effective from the 1st of April 2019. The Guidance sets out the objectives and priorities; conditions; governance requirements; and reporting arrangements to Welsh Government for ICF in 2019/20.</w:t>
      </w:r>
    </w:p>
    <w:p w14:paraId="0BEFBFE9" w14:textId="77777777" w:rsidR="0098336B" w:rsidRPr="0098336B" w:rsidRDefault="0098336B" w:rsidP="0098336B">
      <w:pPr>
        <w:rPr>
          <w:u w:color="000000"/>
        </w:rPr>
      </w:pPr>
    </w:p>
    <w:p w14:paraId="31EB4DB3" w14:textId="6F71ABF0" w:rsidR="0098336B" w:rsidRDefault="00216D30" w:rsidP="0098336B">
      <w:pPr>
        <w:rPr>
          <w:u w:color="000000"/>
        </w:rPr>
      </w:pPr>
      <w:r w:rsidRPr="0098336B">
        <w:rPr>
          <w:u w:color="000000"/>
        </w:rPr>
        <w:lastRenderedPageBreak/>
        <w:t>A Written Agreement 2019-20 has been developed in line with the ICF Guidance to provide assurance to Welsh Government and the Regional Partnership Board that robust processes are in place to manage the effective delivery and management o</w:t>
      </w:r>
      <w:r w:rsidR="0098336B">
        <w:rPr>
          <w:u w:color="000000"/>
        </w:rPr>
        <w:t>f ICF capital and revenue funds.</w:t>
      </w:r>
    </w:p>
    <w:p w14:paraId="6ED7FF7F" w14:textId="77777777" w:rsidR="0098336B" w:rsidRDefault="0098336B" w:rsidP="0098336B">
      <w:pPr>
        <w:rPr>
          <w:u w:color="000000"/>
        </w:rPr>
      </w:pPr>
    </w:p>
    <w:p w14:paraId="30F29691" w14:textId="2B108DAB" w:rsidR="00216D30" w:rsidRPr="0098336B" w:rsidRDefault="00216D30" w:rsidP="0098336B">
      <w:pPr>
        <w:rPr>
          <w:bCs/>
          <w:u w:color="000000"/>
        </w:rPr>
      </w:pPr>
      <w:r w:rsidRPr="0098336B">
        <w:rPr>
          <w:bCs/>
          <w:u w:color="000000"/>
        </w:rPr>
        <w:t>The level of ICF funding coming into the region in 2019/21 increased from £5.608m to £12.7m this is due to inclusion of the Bridgend ICF allocation and increased funding available. With the volume of projects funded will increase significantly. The local infrastructure to support and manage the volume of funding is being reviewed to ensure robust governance arrangements are in place to enable the Partnership to deliver the priorities of the Board.</w:t>
      </w:r>
    </w:p>
    <w:p w14:paraId="7672E133" w14:textId="77777777" w:rsidR="0098336B" w:rsidRPr="0098336B" w:rsidRDefault="0098336B" w:rsidP="0098336B">
      <w:pPr>
        <w:autoSpaceDE w:val="0"/>
        <w:autoSpaceDN w:val="0"/>
        <w:adjustRightInd w:val="0"/>
        <w:ind w:right="-24"/>
        <w:rPr>
          <w:rFonts w:cs="Verdana"/>
          <w:bCs/>
          <w:sz w:val="24"/>
          <w:u w:color="000000"/>
        </w:rPr>
      </w:pPr>
    </w:p>
    <w:p w14:paraId="65870254" w14:textId="77777777" w:rsidR="00216D30" w:rsidRPr="00216D30" w:rsidRDefault="00216D30" w:rsidP="00216D30">
      <w:pPr>
        <w:pStyle w:val="Body"/>
        <w:jc w:val="both"/>
        <w:rPr>
          <w:rFonts w:ascii="Calibri" w:hAnsi="Calibri"/>
          <w:bCs/>
          <w:color w:val="auto"/>
        </w:rPr>
      </w:pPr>
      <w:r w:rsidRPr="00216D30">
        <w:rPr>
          <w:rFonts w:ascii="Calibri" w:hAnsi="Calibri"/>
          <w:bCs/>
          <w:color w:val="auto"/>
        </w:rPr>
        <w:t>In line with the requirements of the Social Services &amp; Well-Being (Wales) Act 2014, within Cwm Taf Morgannwg Partners have worked together in developing ICF proposals to establish a wider range of sustainable, integrated services for older people and preventative services for people with learning disabilities, children with complex needs and carers dementia and the integrated autism service.</w:t>
      </w:r>
    </w:p>
    <w:p w14:paraId="07713F90" w14:textId="77777777" w:rsidR="00216D30" w:rsidRPr="00216D30" w:rsidRDefault="00216D30" w:rsidP="00216D30">
      <w:pPr>
        <w:pStyle w:val="Body"/>
        <w:jc w:val="both"/>
        <w:rPr>
          <w:rFonts w:ascii="Calibri" w:hAnsi="Calibri"/>
          <w:bCs/>
          <w:color w:val="auto"/>
        </w:rPr>
      </w:pPr>
    </w:p>
    <w:p w14:paraId="1EA03222" w14:textId="77777777" w:rsidR="00216D30" w:rsidRPr="00216D30" w:rsidRDefault="00216D30" w:rsidP="00216D30">
      <w:pPr>
        <w:pStyle w:val="Body"/>
        <w:jc w:val="both"/>
        <w:rPr>
          <w:rFonts w:ascii="Calibri" w:hAnsi="Calibri"/>
          <w:bCs/>
          <w:color w:val="auto"/>
        </w:rPr>
      </w:pPr>
      <w:r w:rsidRPr="00216D30">
        <w:rPr>
          <w:rFonts w:ascii="Calibri" w:hAnsi="Calibri"/>
          <w:bCs/>
          <w:color w:val="auto"/>
        </w:rPr>
        <w:t xml:space="preserve">For 2019/20 the established successful ICF projects were sustained and continue to deliver a range of outcomes. </w:t>
      </w:r>
      <w:r w:rsidRPr="00216D30">
        <w:rPr>
          <w:rFonts w:ascii="Calibri" w:hAnsi="Calibri"/>
          <w:color w:val="auto"/>
        </w:rPr>
        <w:t>As required by the ICF guidance, the Cwm Taf Morgannwg Region’s revenue priorities are set out in the Investment Plan 2019/2020 which accompanies this Written Agreement. The Investment Plan outlines the objectives and ICF principles that were used to select those priorities and the anticipated outcomes for each.</w:t>
      </w:r>
    </w:p>
    <w:p w14:paraId="02B00C63" w14:textId="77777777" w:rsidR="00216D30" w:rsidRPr="00216D30" w:rsidRDefault="00216D30" w:rsidP="00216D30">
      <w:pPr>
        <w:pStyle w:val="Body"/>
        <w:jc w:val="both"/>
        <w:rPr>
          <w:rFonts w:ascii="Calibri" w:hAnsi="Calibri" w:cs="Arial Unicode MS"/>
          <w:bCs/>
          <w:color w:val="auto"/>
        </w:rPr>
      </w:pPr>
    </w:p>
    <w:p w14:paraId="36D7D0C3" w14:textId="77777777" w:rsidR="00216D30" w:rsidRPr="00216D30" w:rsidRDefault="00216D30" w:rsidP="00216D30">
      <w:pPr>
        <w:rPr>
          <w:rFonts w:asciiTheme="minorHAnsi" w:hAnsiTheme="minorHAnsi" w:cs="Arial"/>
          <w:bCs/>
        </w:rPr>
      </w:pPr>
      <w:r w:rsidRPr="00216D30">
        <w:rPr>
          <w:rFonts w:asciiTheme="minorHAnsi" w:hAnsiTheme="minorHAnsi" w:cs="Arial"/>
          <w:bCs/>
        </w:rPr>
        <w:t xml:space="preserve">In addition to ICF revenue, ICF Capital totalling £5,049,000 was allocated to the Region for 2019/20. This funding supports a total of 11 Major capital programmes and 19 smaller discretionary programmes. </w:t>
      </w:r>
    </w:p>
    <w:p w14:paraId="1070956C" w14:textId="77777777" w:rsidR="00216D30" w:rsidRPr="00216D30" w:rsidRDefault="00216D30" w:rsidP="00216D30">
      <w:pPr>
        <w:rPr>
          <w:rFonts w:asciiTheme="minorHAnsi" w:hAnsiTheme="minorHAnsi"/>
          <w:szCs w:val="22"/>
        </w:rPr>
      </w:pPr>
      <w:r w:rsidRPr="00216D30">
        <w:rPr>
          <w:rFonts w:asciiTheme="minorHAnsi" w:hAnsiTheme="minorHAnsi" w:cs="Arial"/>
          <w:szCs w:val="22"/>
        </w:rPr>
        <w:t xml:space="preserve">In line with revised RPB membership to include Registered Social Landlords and Housing, </w:t>
      </w:r>
      <w:r w:rsidRPr="00216D30">
        <w:rPr>
          <w:rFonts w:asciiTheme="minorHAnsi" w:hAnsiTheme="minorHAnsi"/>
          <w:szCs w:val="22"/>
        </w:rPr>
        <w:t xml:space="preserve">building closer working between the health, housing and social care sectors is a welcome development.  </w:t>
      </w:r>
    </w:p>
    <w:p w14:paraId="4A210CC7" w14:textId="77777777" w:rsidR="00216D30" w:rsidRPr="00216D30" w:rsidRDefault="00216D30" w:rsidP="00216D30">
      <w:pPr>
        <w:rPr>
          <w:rFonts w:asciiTheme="minorHAnsi" w:hAnsiTheme="minorHAnsi"/>
          <w:szCs w:val="22"/>
        </w:rPr>
      </w:pPr>
    </w:p>
    <w:p w14:paraId="043D0D06" w14:textId="70F3FF23" w:rsidR="00406D24" w:rsidRPr="00216D30" w:rsidRDefault="00216D30" w:rsidP="00216D30">
      <w:pPr>
        <w:rPr>
          <w:rFonts w:asciiTheme="minorHAnsi" w:hAnsiTheme="minorHAnsi"/>
          <w:szCs w:val="22"/>
        </w:rPr>
      </w:pPr>
      <w:r w:rsidRPr="00216D30">
        <w:rPr>
          <w:rFonts w:asciiTheme="minorHAnsi" w:hAnsiTheme="minorHAnsi"/>
          <w:szCs w:val="22"/>
        </w:rPr>
        <w:t>All ICF schemes are subject to quarterly evaluation with detailed RBA cards produced in addition to monitoring required by WG.  The Wales Audit Office review of ICF report is published and provides opportunity to build on existing practices and programmes within the region.</w:t>
      </w:r>
    </w:p>
    <w:p w14:paraId="6505B830" w14:textId="79832F8A" w:rsidR="00216D30" w:rsidRPr="003D0778" w:rsidRDefault="00216D30" w:rsidP="00216D30">
      <w:pPr>
        <w:pStyle w:val="Heading4"/>
        <w:rPr>
          <w:szCs w:val="22"/>
        </w:rPr>
      </w:pPr>
      <w:r>
        <w:rPr>
          <w:szCs w:val="22"/>
        </w:rPr>
        <w:t>Social Value Network</w:t>
      </w:r>
    </w:p>
    <w:p w14:paraId="341C25A8" w14:textId="77777777" w:rsidR="00216D30" w:rsidRPr="00216D30" w:rsidRDefault="00216D30" w:rsidP="00216D30">
      <w:pPr>
        <w:autoSpaceDE w:val="0"/>
        <w:autoSpaceDN w:val="0"/>
        <w:adjustRightInd w:val="0"/>
        <w:rPr>
          <w:rFonts w:asciiTheme="minorHAnsi" w:hAnsiTheme="minorHAnsi" w:cs="Times New Roman"/>
        </w:rPr>
      </w:pPr>
      <w:r w:rsidRPr="00216D30">
        <w:rPr>
          <w:rFonts w:asciiTheme="minorHAnsi" w:hAnsiTheme="minorHAnsi" w:cs="Arial"/>
        </w:rPr>
        <w:t>The Social Value Network and associated Social Value Forum  was created as part of the Regional Leadership arrangements to support social value based providers develop a shared understanding of the common agenda and to work together to enhance community capacity.</w:t>
      </w:r>
    </w:p>
    <w:p w14:paraId="36DD7AF1" w14:textId="77777777" w:rsidR="00216D30" w:rsidRPr="00216D30" w:rsidRDefault="00216D30" w:rsidP="00216D30">
      <w:pPr>
        <w:rPr>
          <w:rFonts w:asciiTheme="minorHAnsi" w:eastAsiaTheme="minorEastAsia" w:hAnsiTheme="minorHAnsi" w:cs="Arial"/>
          <w:lang w:val="en-US" w:eastAsia="en-US"/>
        </w:rPr>
      </w:pPr>
    </w:p>
    <w:p w14:paraId="69C25261" w14:textId="77777777" w:rsidR="00216D30" w:rsidRPr="00216D30" w:rsidRDefault="00216D30" w:rsidP="00216D30">
      <w:pPr>
        <w:rPr>
          <w:rFonts w:asciiTheme="minorHAnsi" w:hAnsiTheme="minorHAnsi" w:cs="Arial"/>
        </w:rPr>
      </w:pPr>
      <w:r w:rsidRPr="00216D30">
        <w:rPr>
          <w:rFonts w:asciiTheme="minorHAnsi" w:hAnsiTheme="minorHAnsi" w:cs="Arial"/>
        </w:rPr>
        <w:t xml:space="preserve">Three successful Social Value Network events took place with excellent involvement and attendance of large and small third sector organisations across Cwm Taf Morgannwg and representation from service users and carers. </w:t>
      </w:r>
    </w:p>
    <w:p w14:paraId="5EDF437B" w14:textId="77777777" w:rsidR="00216D30" w:rsidRPr="00216D30" w:rsidRDefault="00216D30" w:rsidP="00216D30">
      <w:pPr>
        <w:rPr>
          <w:rFonts w:asciiTheme="minorHAnsi" w:hAnsiTheme="minorHAnsi" w:cs="Arial"/>
        </w:rPr>
      </w:pPr>
    </w:p>
    <w:p w14:paraId="0D3C7FF6" w14:textId="362CA345" w:rsidR="00216D30" w:rsidRPr="00216D30" w:rsidRDefault="00216D30" w:rsidP="00216D30">
      <w:pPr>
        <w:rPr>
          <w:rFonts w:asciiTheme="minorHAnsi" w:hAnsiTheme="minorHAnsi"/>
          <w:szCs w:val="22"/>
        </w:rPr>
      </w:pPr>
      <w:r w:rsidRPr="00216D30">
        <w:rPr>
          <w:rFonts w:asciiTheme="minorHAnsi" w:hAnsiTheme="minorHAnsi" w:cs="Arial"/>
        </w:rPr>
        <w:t>The three big themes were; Children and Young People (December 18); Investing in Community Support to tackle Loneliness and Isolation (July 18) and ‘Citizens, Coproduction and Commissioning.’</w:t>
      </w:r>
    </w:p>
    <w:p w14:paraId="6901021E" w14:textId="057D2F77" w:rsidR="003B2CC2" w:rsidRPr="003B2CC2" w:rsidRDefault="003B2CC2" w:rsidP="003B2CC2">
      <w:pPr>
        <w:pStyle w:val="Heading3"/>
        <w:rPr>
          <w:szCs w:val="22"/>
        </w:rPr>
      </w:pPr>
      <w:r>
        <w:rPr>
          <w:szCs w:val="22"/>
        </w:rPr>
        <w:t xml:space="preserve">Wider Integrated Services </w:t>
      </w:r>
    </w:p>
    <w:p w14:paraId="3BE18055" w14:textId="7E2A165C" w:rsidR="004E6F33" w:rsidRPr="003D0778" w:rsidRDefault="00CB637C" w:rsidP="00CA34AE">
      <w:pPr>
        <w:pStyle w:val="Heading4"/>
        <w:rPr>
          <w:szCs w:val="22"/>
        </w:rPr>
      </w:pPr>
      <w:bookmarkStart w:id="93" w:name="_Toc532463979"/>
      <w:r w:rsidRPr="003D0778">
        <w:rPr>
          <w:szCs w:val="22"/>
        </w:rPr>
        <w:t>Integrated Substance</w:t>
      </w:r>
      <w:r w:rsidR="004E6F33" w:rsidRPr="003D0778">
        <w:rPr>
          <w:szCs w:val="22"/>
        </w:rPr>
        <w:t xml:space="preserve"> Misuse Service</w:t>
      </w:r>
      <w:bookmarkEnd w:id="93"/>
    </w:p>
    <w:p w14:paraId="6F641320" w14:textId="77777777" w:rsidR="00D45FFF" w:rsidRPr="00D479C2" w:rsidRDefault="00D45FFF" w:rsidP="00D45FFF">
      <w:pPr>
        <w:autoSpaceDE w:val="0"/>
        <w:autoSpaceDN w:val="0"/>
        <w:adjustRightInd w:val="0"/>
        <w:rPr>
          <w:rFonts w:asciiTheme="minorHAnsi" w:hAnsiTheme="minorHAnsi" w:cs="Verdana"/>
          <w:szCs w:val="22"/>
        </w:rPr>
      </w:pPr>
      <w:bookmarkStart w:id="94" w:name="_Toc532299680"/>
      <w:bookmarkStart w:id="95" w:name="_Toc532463980"/>
      <w:r w:rsidRPr="00D479C2">
        <w:rPr>
          <w:rFonts w:asciiTheme="minorHAnsi" w:hAnsiTheme="minorHAnsi" w:cs="Verdana"/>
          <w:szCs w:val="22"/>
        </w:rPr>
        <w:t>Following an external review and recommissioning process,  the Cwm Taf Substance Misuse Area Planning Board awarded the contract for provision of tier 1 and 2  Substance Misuse Services</w:t>
      </w:r>
      <w:r>
        <w:rPr>
          <w:rFonts w:asciiTheme="minorHAnsi" w:hAnsiTheme="minorHAnsi" w:cs="Verdana"/>
          <w:szCs w:val="22"/>
        </w:rPr>
        <w:t xml:space="preserve"> for Rhondda Cynon Taff and Merthyr Tydfil</w:t>
      </w:r>
      <w:r w:rsidRPr="00D479C2">
        <w:rPr>
          <w:rFonts w:asciiTheme="minorHAnsi" w:hAnsiTheme="minorHAnsi" w:cs="Verdana"/>
          <w:szCs w:val="22"/>
        </w:rPr>
        <w:t xml:space="preserve">  to Barod from  1</w:t>
      </w:r>
      <w:r w:rsidRPr="00D479C2">
        <w:rPr>
          <w:rFonts w:asciiTheme="minorHAnsi" w:hAnsiTheme="minorHAnsi" w:cs="Verdana"/>
          <w:szCs w:val="22"/>
          <w:vertAlign w:val="superscript"/>
        </w:rPr>
        <w:t>st</w:t>
      </w:r>
      <w:r w:rsidRPr="00D479C2">
        <w:rPr>
          <w:rFonts w:asciiTheme="minorHAnsi" w:hAnsiTheme="minorHAnsi" w:cs="Verdana"/>
          <w:szCs w:val="22"/>
        </w:rPr>
        <w:t xml:space="preserve"> April 2019.  Barod are working in close liaison with the UHB’s specialist tier 3 Community Drug and Alcohol Teams (CDAT) and CAMHS substance misuse service, within a joint clinical governance framework.  </w:t>
      </w:r>
      <w:r>
        <w:rPr>
          <w:rFonts w:asciiTheme="minorHAnsi" w:hAnsiTheme="minorHAnsi" w:cs="Verdana"/>
          <w:szCs w:val="22"/>
        </w:rPr>
        <w:t xml:space="preserve">Responsibility for the Primary Care Drug and Alcohol services (PCDAS) has transferred to CTMUHB and a review of the caseload, protocols and governance arrangements is currently underway. </w:t>
      </w:r>
    </w:p>
    <w:p w14:paraId="6D3EB560" w14:textId="77777777" w:rsidR="00D45FFF" w:rsidRPr="00D479C2" w:rsidRDefault="00D45FFF" w:rsidP="00D45FFF">
      <w:pPr>
        <w:autoSpaceDE w:val="0"/>
        <w:autoSpaceDN w:val="0"/>
        <w:adjustRightInd w:val="0"/>
        <w:rPr>
          <w:rFonts w:asciiTheme="minorHAnsi" w:hAnsiTheme="minorHAnsi" w:cs="Verdana"/>
          <w:szCs w:val="22"/>
        </w:rPr>
      </w:pPr>
    </w:p>
    <w:p w14:paraId="19C10AC1" w14:textId="77777777" w:rsidR="00D45FFF" w:rsidRPr="00D479C2" w:rsidRDefault="00D45FFF" w:rsidP="00D45FFF">
      <w:pPr>
        <w:autoSpaceDE w:val="0"/>
        <w:autoSpaceDN w:val="0"/>
        <w:adjustRightInd w:val="0"/>
        <w:rPr>
          <w:rFonts w:asciiTheme="minorHAnsi" w:hAnsiTheme="minorHAnsi" w:cs="Verdana"/>
          <w:szCs w:val="22"/>
        </w:rPr>
      </w:pPr>
      <w:r w:rsidRPr="00D479C2">
        <w:rPr>
          <w:rFonts w:asciiTheme="minorHAnsi" w:hAnsiTheme="minorHAnsi" w:cs="Verdana"/>
          <w:szCs w:val="22"/>
        </w:rPr>
        <w:t xml:space="preserve">All parties report an improvement in partnership working, particularly evident through the Joint Allocation Meetings, and in transition arrangements for young people who are not yet ready for transfer to adult services. </w:t>
      </w:r>
      <w:r w:rsidRPr="00D479C2">
        <w:rPr>
          <w:rFonts w:asciiTheme="minorHAnsi" w:hAnsiTheme="minorHAnsi" w:cs="Verdana"/>
          <w:szCs w:val="22"/>
        </w:rPr>
        <w:lastRenderedPageBreak/>
        <w:t xml:space="preserve">An important element of the new integrated services is a greater focus on prevention and awareness raising which has been undertaken through service presentations, workshops and community events, including Pontypridd’s Big Bite </w:t>
      </w:r>
      <w:r>
        <w:rPr>
          <w:rFonts w:asciiTheme="minorHAnsi" w:hAnsiTheme="minorHAnsi" w:cs="Verdana"/>
          <w:szCs w:val="22"/>
        </w:rPr>
        <w:t xml:space="preserve">in August 2019 </w:t>
      </w:r>
      <w:r w:rsidRPr="00D479C2">
        <w:rPr>
          <w:rFonts w:asciiTheme="minorHAnsi" w:hAnsiTheme="minorHAnsi" w:cs="Verdana"/>
          <w:szCs w:val="22"/>
        </w:rPr>
        <w:t xml:space="preserve">where 368 brief interventions were delivered.  </w:t>
      </w:r>
      <w:r>
        <w:rPr>
          <w:rFonts w:asciiTheme="minorHAnsi" w:hAnsiTheme="minorHAnsi" w:cs="Verdana"/>
          <w:szCs w:val="22"/>
        </w:rPr>
        <w:t xml:space="preserve">Work is ongoing to further streamline pathways between tier 2 and 3 services. </w:t>
      </w:r>
    </w:p>
    <w:p w14:paraId="1DC650BA" w14:textId="77777777" w:rsidR="00D45FFF" w:rsidRPr="00D479C2" w:rsidRDefault="00D45FFF" w:rsidP="00D45FFF">
      <w:pPr>
        <w:autoSpaceDE w:val="0"/>
        <w:autoSpaceDN w:val="0"/>
        <w:adjustRightInd w:val="0"/>
        <w:rPr>
          <w:rFonts w:asciiTheme="minorHAnsi" w:hAnsiTheme="minorHAnsi" w:cs="Verdana"/>
          <w:szCs w:val="22"/>
        </w:rPr>
      </w:pPr>
    </w:p>
    <w:p w14:paraId="5C13B567" w14:textId="77777777" w:rsidR="00D45FFF" w:rsidRPr="00174521" w:rsidRDefault="00D45FFF" w:rsidP="00D45FFF">
      <w:pPr>
        <w:autoSpaceDE w:val="0"/>
        <w:autoSpaceDN w:val="0"/>
        <w:adjustRightInd w:val="0"/>
        <w:rPr>
          <w:rFonts w:asciiTheme="minorHAnsi" w:hAnsiTheme="minorHAnsi" w:cs="Verdana"/>
          <w:color w:val="943634" w:themeColor="accent2" w:themeShade="BF"/>
          <w:szCs w:val="22"/>
        </w:rPr>
      </w:pPr>
      <w:r>
        <w:rPr>
          <w:rFonts w:asciiTheme="minorHAnsi" w:hAnsiTheme="minorHAnsi" w:cs="Verdana"/>
          <w:szCs w:val="22"/>
        </w:rPr>
        <w:t>From 1</w:t>
      </w:r>
      <w:r w:rsidRPr="00BD73D6">
        <w:rPr>
          <w:rFonts w:asciiTheme="minorHAnsi" w:hAnsiTheme="minorHAnsi" w:cs="Verdana"/>
          <w:szCs w:val="22"/>
          <w:vertAlign w:val="superscript"/>
        </w:rPr>
        <w:t>st</w:t>
      </w:r>
      <w:r>
        <w:rPr>
          <w:rFonts w:asciiTheme="minorHAnsi" w:hAnsiTheme="minorHAnsi" w:cs="Verdana"/>
          <w:szCs w:val="22"/>
        </w:rPr>
        <w:t xml:space="preserve"> April 2019 the Area Planning Board’s remit has been extended to cover the whole of Cwm Taf Morgannwg.  </w:t>
      </w:r>
      <w:r w:rsidRPr="00D479C2">
        <w:rPr>
          <w:rFonts w:asciiTheme="minorHAnsi" w:hAnsiTheme="minorHAnsi" w:cs="Verdana"/>
          <w:szCs w:val="22"/>
        </w:rPr>
        <w:t xml:space="preserve">Substance Misuse services in the Bridgend area are provided by WCADA and the UHB’s CDAT which currently also serves the Neath Port Talbot area via a Service Level Agreement with Swansea Bay UHB. </w:t>
      </w:r>
      <w:r>
        <w:rPr>
          <w:rFonts w:asciiTheme="minorHAnsi" w:hAnsiTheme="minorHAnsi" w:cs="Verdana"/>
          <w:szCs w:val="22"/>
        </w:rPr>
        <w:t xml:space="preserve"> A Bridgend Development Sub Group of the APB has been established to oversee the smooth transition from Western Bay / ABMU, to develop an understanding of the services in Bridgend, to consider the findings from the external service review commissioned by Western Bay </w:t>
      </w:r>
      <w:proofErr w:type="gramStart"/>
      <w:r>
        <w:rPr>
          <w:rFonts w:asciiTheme="minorHAnsi" w:hAnsiTheme="minorHAnsi" w:cs="Verdana"/>
          <w:szCs w:val="22"/>
        </w:rPr>
        <w:t>APB ,</w:t>
      </w:r>
      <w:proofErr w:type="gramEnd"/>
      <w:r>
        <w:rPr>
          <w:rFonts w:asciiTheme="minorHAnsi" w:hAnsiTheme="minorHAnsi" w:cs="Verdana"/>
          <w:szCs w:val="22"/>
        </w:rPr>
        <w:t xml:space="preserve"> and to work towards alignment of services across Cwm Taf Morgannwg.   </w:t>
      </w:r>
      <w:r w:rsidRPr="00D479C2">
        <w:rPr>
          <w:rFonts w:asciiTheme="minorHAnsi" w:hAnsiTheme="minorHAnsi" w:cs="Verdana"/>
          <w:szCs w:val="22"/>
        </w:rPr>
        <w:t>Due to the complexity of the</w:t>
      </w:r>
      <w:r>
        <w:rPr>
          <w:rFonts w:asciiTheme="minorHAnsi" w:hAnsiTheme="minorHAnsi" w:cs="Verdana"/>
          <w:szCs w:val="22"/>
        </w:rPr>
        <w:t xml:space="preserve"> service and the process of recommissioning</w:t>
      </w:r>
      <w:proofErr w:type="gramStart"/>
      <w:r>
        <w:rPr>
          <w:rFonts w:asciiTheme="minorHAnsi" w:hAnsiTheme="minorHAnsi" w:cs="Verdana"/>
          <w:szCs w:val="22"/>
        </w:rPr>
        <w:t>,  the</w:t>
      </w:r>
      <w:proofErr w:type="gramEnd"/>
      <w:r>
        <w:rPr>
          <w:rFonts w:asciiTheme="minorHAnsi" w:hAnsiTheme="minorHAnsi" w:cs="Verdana"/>
          <w:szCs w:val="22"/>
        </w:rPr>
        <w:t xml:space="preserve"> APB has agreed to defer any changes to the commissioned services in Bridgend until at least 2021/22.  </w:t>
      </w:r>
    </w:p>
    <w:p w14:paraId="7B231558" w14:textId="77777777" w:rsidR="00D45FFF" w:rsidRPr="00174521" w:rsidRDefault="00D45FFF" w:rsidP="00D45FFF">
      <w:pPr>
        <w:autoSpaceDE w:val="0"/>
        <w:autoSpaceDN w:val="0"/>
        <w:adjustRightInd w:val="0"/>
        <w:rPr>
          <w:rFonts w:asciiTheme="minorHAnsi" w:hAnsiTheme="minorHAnsi" w:cs="Verdana"/>
          <w:color w:val="943634" w:themeColor="accent2" w:themeShade="BF"/>
          <w:szCs w:val="22"/>
        </w:rPr>
      </w:pPr>
    </w:p>
    <w:p w14:paraId="0BF6C483" w14:textId="77777777" w:rsidR="00D45FFF" w:rsidRPr="001329B9" w:rsidRDefault="00D45FFF" w:rsidP="00D45FFF">
      <w:pPr>
        <w:autoSpaceDE w:val="0"/>
        <w:autoSpaceDN w:val="0"/>
        <w:adjustRightInd w:val="0"/>
        <w:rPr>
          <w:rFonts w:asciiTheme="minorHAnsi" w:hAnsiTheme="minorHAnsi" w:cs="Verdana"/>
          <w:szCs w:val="22"/>
        </w:rPr>
      </w:pPr>
      <w:r w:rsidRPr="001329B9">
        <w:rPr>
          <w:rFonts w:asciiTheme="minorHAnsi" w:hAnsiTheme="minorHAnsi" w:cs="Verdana"/>
          <w:szCs w:val="22"/>
        </w:rPr>
        <w:t>A summary of the priorities for 2020/21 are:</w:t>
      </w:r>
    </w:p>
    <w:p w14:paraId="14DD8CAA" w14:textId="77777777" w:rsidR="00D45FFF" w:rsidRDefault="00D45FFF" w:rsidP="00D45FFF">
      <w:pPr>
        <w:pStyle w:val="NormaBullet"/>
        <w:rPr>
          <w:szCs w:val="22"/>
        </w:rPr>
      </w:pPr>
      <w:r w:rsidRPr="00082F0C">
        <w:rPr>
          <w:szCs w:val="22"/>
        </w:rPr>
        <w:t>Continuing to embed and refine the operational and governance arrangements between the Health Board’s Community Drug &amp; Alcohol Team (CDAT), CAMHS and the rest of the new ISMS service in RCT and Merthyr Tydfil.</w:t>
      </w:r>
    </w:p>
    <w:p w14:paraId="126A1CA5" w14:textId="77777777" w:rsidR="00D45FFF" w:rsidRDefault="00D45FFF" w:rsidP="00D45FFF">
      <w:pPr>
        <w:pStyle w:val="NormaBullet"/>
        <w:rPr>
          <w:szCs w:val="22"/>
        </w:rPr>
      </w:pPr>
      <w:r>
        <w:rPr>
          <w:szCs w:val="22"/>
        </w:rPr>
        <w:t xml:space="preserve">Work towards aligning substance misuse services across the CTMUHB footprint, starting with repatriation of the current SLA with SBUHB for the CDAT service. </w:t>
      </w:r>
    </w:p>
    <w:p w14:paraId="0BD992FA" w14:textId="77777777" w:rsidR="00D45FFF" w:rsidRPr="00082F0C" w:rsidRDefault="00D45FFF" w:rsidP="00D45FFF">
      <w:pPr>
        <w:pStyle w:val="NormaBullet"/>
        <w:rPr>
          <w:szCs w:val="22"/>
        </w:rPr>
      </w:pPr>
      <w:r>
        <w:rPr>
          <w:szCs w:val="22"/>
        </w:rPr>
        <w:t xml:space="preserve">Reviewing the primary care Enhanced Services for Substance Misuse. </w:t>
      </w:r>
    </w:p>
    <w:p w14:paraId="34E83AAA" w14:textId="77777777" w:rsidR="00D45FFF" w:rsidRPr="00082F0C" w:rsidRDefault="00D45FFF" w:rsidP="00D45FFF">
      <w:pPr>
        <w:pStyle w:val="NormaBullet"/>
        <w:rPr>
          <w:szCs w:val="22"/>
        </w:rPr>
      </w:pPr>
      <w:r w:rsidRPr="00082F0C">
        <w:rPr>
          <w:szCs w:val="22"/>
        </w:rPr>
        <w:t>Scoping the need for the development of an Alcohol Related Brain Disease (ARBD) service.</w:t>
      </w:r>
    </w:p>
    <w:p w14:paraId="4C1F6E4A" w14:textId="77777777" w:rsidR="00D45FFF" w:rsidRPr="00082F0C" w:rsidRDefault="00D45FFF" w:rsidP="00D45FFF">
      <w:pPr>
        <w:pStyle w:val="NormaBullet"/>
        <w:rPr>
          <w:szCs w:val="22"/>
        </w:rPr>
      </w:pPr>
      <w:r w:rsidRPr="00082F0C">
        <w:rPr>
          <w:szCs w:val="22"/>
        </w:rPr>
        <w:t xml:space="preserve">Reviewing the current provision of inpatient detoxification services. </w:t>
      </w:r>
    </w:p>
    <w:p w14:paraId="6CD6E140" w14:textId="77777777" w:rsidR="00D45FFF" w:rsidRPr="00082F0C" w:rsidRDefault="00D45FFF" w:rsidP="00D45FFF">
      <w:pPr>
        <w:pStyle w:val="NormaBullet"/>
        <w:rPr>
          <w:szCs w:val="22"/>
        </w:rPr>
      </w:pPr>
      <w:r w:rsidRPr="00082F0C">
        <w:rPr>
          <w:szCs w:val="22"/>
        </w:rPr>
        <w:t>Planning for the  transfer of the Taff Ely CDAT from Llwyn-yr-Eos in Church village to the Dewi Sant Health Park development in 2020/21</w:t>
      </w:r>
    </w:p>
    <w:p w14:paraId="0A8C4253" w14:textId="77777777" w:rsidR="00D45FFF" w:rsidRPr="00082F0C" w:rsidRDefault="00D45FFF" w:rsidP="00D45FFF">
      <w:pPr>
        <w:pStyle w:val="NormaBullet"/>
        <w:rPr>
          <w:szCs w:val="22"/>
        </w:rPr>
      </w:pPr>
      <w:r w:rsidRPr="00082F0C">
        <w:rPr>
          <w:szCs w:val="22"/>
        </w:rPr>
        <w:t>Regular and coordinated reviews of drug related fatal and non-fatal drug poisonings in order to develop appropriate and affective interventions to reduce harm.</w:t>
      </w:r>
    </w:p>
    <w:p w14:paraId="41D9172F" w14:textId="77777777" w:rsidR="00D45FFF" w:rsidRPr="00082F0C" w:rsidRDefault="00D45FFF" w:rsidP="00D45FFF">
      <w:pPr>
        <w:pStyle w:val="NormaBullet"/>
        <w:rPr>
          <w:szCs w:val="22"/>
        </w:rPr>
      </w:pPr>
      <w:r w:rsidRPr="00082F0C">
        <w:rPr>
          <w:szCs w:val="22"/>
        </w:rPr>
        <w:t>Increasing the rate of testing and treatment for Blood Borne Viruses (BBV).</w:t>
      </w:r>
    </w:p>
    <w:p w14:paraId="405B4648" w14:textId="77777777" w:rsidR="00D45FFF" w:rsidRPr="00082F0C" w:rsidRDefault="00D45FFF" w:rsidP="00D45FFF">
      <w:pPr>
        <w:pStyle w:val="NormaBullet"/>
        <w:rPr>
          <w:szCs w:val="22"/>
        </w:rPr>
      </w:pPr>
      <w:r w:rsidRPr="00082F0C">
        <w:rPr>
          <w:szCs w:val="22"/>
        </w:rPr>
        <w:t>Improving the management of people with co-occurring substance misuse and mental health needs</w:t>
      </w:r>
    </w:p>
    <w:p w14:paraId="795A2063" w14:textId="5DAB7182" w:rsidR="00303BD1" w:rsidRPr="003D0778" w:rsidRDefault="00303BD1" w:rsidP="00303BD1">
      <w:pPr>
        <w:pStyle w:val="Heading4"/>
        <w:rPr>
          <w:szCs w:val="22"/>
        </w:rPr>
      </w:pPr>
      <w:r>
        <w:rPr>
          <w:szCs w:val="22"/>
        </w:rPr>
        <w:t>Sexual Assault Referral Centre (SARC)</w:t>
      </w:r>
    </w:p>
    <w:p w14:paraId="6A70F7E2" w14:textId="76BCEFDA" w:rsidR="00303BD1" w:rsidRPr="00174521" w:rsidRDefault="00216D30" w:rsidP="005E7A79">
      <w:pPr>
        <w:rPr>
          <w:rFonts w:asciiTheme="minorHAnsi" w:eastAsia="MS PGothic" w:hAnsiTheme="minorHAnsi" w:cstheme="minorBidi"/>
          <w:color w:val="943634" w:themeColor="accent2" w:themeShade="BF"/>
          <w:kern w:val="24"/>
          <w:szCs w:val="22"/>
          <w:lang w:val="en-AU"/>
        </w:rPr>
      </w:pPr>
      <w:r>
        <w:rPr>
          <w:color w:val="000000"/>
        </w:rPr>
        <w:t>Health Boards and all key stakeholders across the South Wales region have been increasingly engaged in the modelling work to support a sustainable model for SARC services. Ongoing modelling and planning work has been carried out during 2018-19 with the relevant statutory agencies and clinical representation across all stakeholders. In September 2019, the statutory bodies approved a series of recommendations and financial framework to support a commitment to implementation of three acute SARC hubs for adults and two SARCs hubs for children up to the age of 16 years.  The costs associated with this establishing hubs and spokes are anticipated to be phased over a period of three years as the service model is developed and implemented. It is anticipated this will commence 2020/21. The financial contribution for health boards has been split on a population basis. Further work will take place early 2020/21 to develop the commissioning framework,  as well as the service model and costs associated with phase 2 and 3 (spokes and Forensic Medical Services) of the service model, which will require formal approval through the Boards of the statutory organisations prior to any further funding commitment being made.</w:t>
      </w:r>
    </w:p>
    <w:p w14:paraId="61DF6885" w14:textId="69ABB78A" w:rsidR="00F32062" w:rsidRPr="003D0778" w:rsidRDefault="00216D30" w:rsidP="005A5493">
      <w:pPr>
        <w:pStyle w:val="Heading2"/>
        <w:shd w:val="clear" w:color="auto" w:fill="C2D69B" w:themeFill="accent3" w:themeFillTint="99"/>
        <w:rPr>
          <w:szCs w:val="22"/>
        </w:rPr>
      </w:pPr>
      <w:bookmarkStart w:id="96" w:name="_Toc536195561"/>
      <w:bookmarkStart w:id="97" w:name="_Toc25262177"/>
      <w:r w:rsidRPr="003D0778">
        <w:rPr>
          <w:rFonts w:asciiTheme="minorHAnsi" w:hAnsiTheme="minorHAnsi" w:cstheme="minorHAnsi"/>
          <w:noProof/>
          <w:szCs w:val="22"/>
          <w:lang w:eastAsia="en-GB"/>
        </w:rPr>
        <w:drawing>
          <wp:anchor distT="0" distB="0" distL="114300" distR="114300" simplePos="0" relativeHeight="252635136" behindDoc="0" locked="0" layoutInCell="1" allowOverlap="1" wp14:anchorId="02551F94" wp14:editId="75742288">
            <wp:simplePos x="0" y="0"/>
            <wp:positionH relativeFrom="margin">
              <wp:align>right</wp:align>
            </wp:positionH>
            <wp:positionV relativeFrom="paragraph">
              <wp:posOffset>0</wp:posOffset>
            </wp:positionV>
            <wp:extent cx="585470" cy="454025"/>
            <wp:effectExtent l="0" t="0" r="5080" b="317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85470" cy="454025"/>
                    </a:xfrm>
                    <a:prstGeom prst="rect">
                      <a:avLst/>
                    </a:prstGeom>
                    <a:noFill/>
                  </pic:spPr>
                </pic:pic>
              </a:graphicData>
            </a:graphic>
            <wp14:sizeRelH relativeFrom="margin">
              <wp14:pctWidth>0</wp14:pctWidth>
            </wp14:sizeRelH>
            <wp14:sizeRelV relativeFrom="margin">
              <wp14:pctHeight>0</wp14:pctHeight>
            </wp14:sizeRelV>
          </wp:anchor>
        </w:drawing>
      </w:r>
      <w:r w:rsidR="007C1C2D" w:rsidRPr="003D0778">
        <w:rPr>
          <w:szCs w:val="22"/>
        </w:rPr>
        <w:t xml:space="preserve">Mental Health, </w:t>
      </w:r>
      <w:r w:rsidR="0051558A" w:rsidRPr="003D0778">
        <w:rPr>
          <w:szCs w:val="22"/>
        </w:rPr>
        <w:t>Primary</w:t>
      </w:r>
      <w:r w:rsidR="007C1C2D" w:rsidRPr="003D0778">
        <w:rPr>
          <w:szCs w:val="22"/>
        </w:rPr>
        <w:t xml:space="preserve"> Care and Locality Services</w:t>
      </w:r>
      <w:bookmarkEnd w:id="94"/>
      <w:bookmarkEnd w:id="95"/>
      <w:bookmarkEnd w:id="96"/>
      <w:bookmarkEnd w:id="97"/>
    </w:p>
    <w:p w14:paraId="019A011E" w14:textId="0303408E" w:rsidR="00152491" w:rsidRPr="003D0778" w:rsidRDefault="00152491" w:rsidP="00A97FE5">
      <w:pPr>
        <w:pStyle w:val="Heading3"/>
        <w:ind w:left="0" w:firstLine="0"/>
        <w:rPr>
          <w:color w:val="000000" w:themeColor="text1"/>
          <w:szCs w:val="22"/>
        </w:rPr>
      </w:pPr>
      <w:bookmarkStart w:id="98" w:name="_Toc532463982"/>
      <w:r w:rsidRPr="003D0778">
        <w:rPr>
          <w:color w:val="000000" w:themeColor="text1"/>
          <w:szCs w:val="22"/>
        </w:rPr>
        <w:t>Children, Young People and Families Emotional, Mental Health and Well Being</w:t>
      </w:r>
      <w:bookmarkEnd w:id="98"/>
    </w:p>
    <w:p w14:paraId="7F81AF39" w14:textId="2843372D" w:rsidR="00D96821" w:rsidRDefault="00D96821" w:rsidP="004130DD">
      <w:pPr>
        <w:rPr>
          <w:rFonts w:asciiTheme="minorHAnsi" w:hAnsiTheme="minorHAnsi"/>
          <w:color w:val="000000" w:themeColor="text1"/>
          <w:szCs w:val="22"/>
        </w:rPr>
      </w:pPr>
      <w:r w:rsidRPr="00F13A85">
        <w:rPr>
          <w:rFonts w:asciiTheme="minorHAnsi" w:hAnsiTheme="minorHAnsi"/>
          <w:color w:val="000000" w:themeColor="text1"/>
          <w:szCs w:val="22"/>
        </w:rPr>
        <w:t>Our vision is to support the underlying principle of early intervention and prevention across all levels of need.  We are planning to develop fully integrated health and well-being services where children, young people and their families will receive a range of services by the right person, at the time when we can make a real difference to their needs and at the place that is most beneficial to them.</w:t>
      </w:r>
    </w:p>
    <w:p w14:paraId="35A889E6" w14:textId="77777777" w:rsidR="00D96821" w:rsidRDefault="00D96821" w:rsidP="004130DD">
      <w:pPr>
        <w:rPr>
          <w:rFonts w:asciiTheme="minorHAnsi" w:hAnsiTheme="minorHAnsi"/>
          <w:color w:val="000000" w:themeColor="text1"/>
          <w:szCs w:val="22"/>
        </w:rPr>
      </w:pPr>
    </w:p>
    <w:p w14:paraId="4BC25F3B" w14:textId="77777777" w:rsidR="004130DD" w:rsidRPr="00F13A85" w:rsidRDefault="004130DD" w:rsidP="004130DD">
      <w:pPr>
        <w:rPr>
          <w:rFonts w:asciiTheme="minorHAnsi" w:hAnsiTheme="minorHAnsi"/>
          <w:color w:val="000000" w:themeColor="text1"/>
          <w:szCs w:val="22"/>
        </w:rPr>
      </w:pPr>
      <w:r w:rsidRPr="00F13A85">
        <w:rPr>
          <w:rFonts w:asciiTheme="minorHAnsi" w:hAnsiTheme="minorHAnsi"/>
          <w:color w:val="000000" w:themeColor="text1"/>
          <w:szCs w:val="22"/>
        </w:rPr>
        <w:t xml:space="preserve">We will continue to challenge existing practice and further develop ways of working differently with strong service pathways to enhance care and support for children and their families.  Within the community we look to </w:t>
      </w:r>
      <w:r w:rsidRPr="00F13A85">
        <w:rPr>
          <w:rFonts w:asciiTheme="minorHAnsi" w:hAnsiTheme="minorHAnsi"/>
          <w:color w:val="000000" w:themeColor="text1"/>
          <w:szCs w:val="22"/>
        </w:rPr>
        <w:lastRenderedPageBreak/>
        <w:t xml:space="preserve">recruit further community paediatrics to further strengthen the community model of integration being developed in partnership.  </w:t>
      </w:r>
    </w:p>
    <w:p w14:paraId="1DBEFA26" w14:textId="77777777" w:rsidR="00D96821" w:rsidRDefault="00D96821" w:rsidP="004130DD">
      <w:pPr>
        <w:rPr>
          <w:rFonts w:asciiTheme="minorHAnsi" w:hAnsiTheme="minorHAnsi"/>
          <w:color w:val="000000" w:themeColor="text1"/>
          <w:szCs w:val="22"/>
        </w:rPr>
      </w:pPr>
    </w:p>
    <w:p w14:paraId="6E4B826E" w14:textId="77777777" w:rsidR="004130DD" w:rsidRPr="00F13A85" w:rsidRDefault="004130DD" w:rsidP="004130DD">
      <w:pPr>
        <w:rPr>
          <w:rFonts w:asciiTheme="minorHAnsi" w:hAnsiTheme="minorHAnsi"/>
          <w:color w:val="000000" w:themeColor="text1"/>
          <w:szCs w:val="22"/>
        </w:rPr>
      </w:pPr>
      <w:r w:rsidRPr="00F13A85">
        <w:rPr>
          <w:rFonts w:asciiTheme="minorHAnsi" w:hAnsiTheme="minorHAnsi"/>
          <w:color w:val="000000" w:themeColor="text1"/>
          <w:szCs w:val="22"/>
        </w:rPr>
        <w:t xml:space="preserve">Work has also been undertaken across the Health Board and with partners to fully implement the Continuing Care Framework for Children and Young People. There are now guidelines in place for the management of 16-18 year olds within the health board and a transition protocol from CAMHS into Adult Mental Health has been completed. </w:t>
      </w:r>
    </w:p>
    <w:p w14:paraId="7ACC4727" w14:textId="77777777" w:rsidR="004130DD" w:rsidRDefault="004130DD" w:rsidP="004130DD">
      <w:pPr>
        <w:rPr>
          <w:rFonts w:asciiTheme="minorHAnsi" w:hAnsiTheme="minorHAnsi"/>
          <w:color w:val="000000" w:themeColor="text1"/>
          <w:szCs w:val="22"/>
        </w:rPr>
      </w:pPr>
    </w:p>
    <w:p w14:paraId="61D7A3CE" w14:textId="1BA7FE62" w:rsidR="004130DD" w:rsidRDefault="004130DD" w:rsidP="004130DD">
      <w:pPr>
        <w:rPr>
          <w:rFonts w:asciiTheme="minorHAnsi" w:hAnsiTheme="minorHAnsi"/>
          <w:color w:val="000000" w:themeColor="text1"/>
          <w:szCs w:val="22"/>
        </w:rPr>
      </w:pPr>
      <w:r w:rsidRPr="00F13A85">
        <w:rPr>
          <w:rFonts w:asciiTheme="minorHAnsi" w:hAnsiTheme="minorHAnsi"/>
          <w:color w:val="000000" w:themeColor="text1"/>
          <w:szCs w:val="22"/>
        </w:rPr>
        <w:t>The multi-disciplinary Neurodevelopment service continues to offer a dedicated service to children referred for assessment of ASD and ADHD. Non-recurrent funding has been provided in 2019/20 to provide additional capacity in order to meet the growing demand for this service and recurrent funding will be sought for this going forward.  There is also to be ongoing review of the  Halcyon ‘Specialist Parenting support Project’  funded by the Health Board and Local Authority to demonstrate the significant changes in medical and service behaviours that have been supported by this service since its inception in order to seek to secure permanent funding for the future.</w:t>
      </w:r>
    </w:p>
    <w:p w14:paraId="7AC354C7" w14:textId="77777777" w:rsidR="00D96821" w:rsidRDefault="00D96821" w:rsidP="004130DD">
      <w:pPr>
        <w:rPr>
          <w:rFonts w:asciiTheme="minorHAnsi" w:hAnsiTheme="minorHAnsi"/>
          <w:color w:val="000000" w:themeColor="text1"/>
          <w:szCs w:val="22"/>
        </w:rPr>
      </w:pPr>
    </w:p>
    <w:p w14:paraId="3548524E" w14:textId="77777777" w:rsidR="004130DD" w:rsidRPr="00F13A85" w:rsidRDefault="004130DD" w:rsidP="004130DD">
      <w:pPr>
        <w:rPr>
          <w:rFonts w:asciiTheme="minorHAnsi" w:hAnsiTheme="minorHAnsi"/>
          <w:color w:val="000000" w:themeColor="text1"/>
          <w:szCs w:val="22"/>
        </w:rPr>
      </w:pPr>
      <w:r w:rsidRPr="00F13A85">
        <w:rPr>
          <w:rFonts w:asciiTheme="minorHAnsi" w:hAnsiTheme="minorHAnsi"/>
          <w:color w:val="000000" w:themeColor="text1"/>
          <w:szCs w:val="22"/>
        </w:rPr>
        <w:t xml:space="preserve">Significant work has also been undertaken regarding the development and implementation of plans to prepare us for the Additional Learning Needs (Wales) Act being introduced in 2020. </w:t>
      </w:r>
    </w:p>
    <w:p w14:paraId="328A4A83" w14:textId="41AD814F" w:rsidR="004130DD" w:rsidRPr="00F13A85" w:rsidRDefault="004130DD" w:rsidP="004130DD">
      <w:pPr>
        <w:tabs>
          <w:tab w:val="left" w:pos="3540"/>
        </w:tabs>
        <w:rPr>
          <w:rFonts w:asciiTheme="minorHAnsi" w:hAnsiTheme="minorHAnsi"/>
          <w:color w:val="000000" w:themeColor="text1"/>
          <w:szCs w:val="22"/>
        </w:rPr>
      </w:pPr>
    </w:p>
    <w:p w14:paraId="61021700" w14:textId="7E5944B3" w:rsidR="004130DD" w:rsidRDefault="004130DD" w:rsidP="004130DD">
      <w:pPr>
        <w:rPr>
          <w:rFonts w:asciiTheme="minorHAnsi" w:hAnsiTheme="minorHAnsi"/>
          <w:color w:val="000000" w:themeColor="text1"/>
          <w:szCs w:val="22"/>
        </w:rPr>
      </w:pPr>
      <w:r w:rsidRPr="00F13A85">
        <w:rPr>
          <w:rFonts w:asciiTheme="minorHAnsi" w:hAnsiTheme="minorHAnsi"/>
          <w:color w:val="000000" w:themeColor="text1"/>
          <w:szCs w:val="22"/>
        </w:rPr>
        <w:t>Following the Bridgend transition, work has been undertaken within the directorate to strengthen the relationship with CYP services based in Bridgend. Over the last year, integration has been achieved in many areas of the service and good working relationships have been developed. This has been strengthened by ensuring service development has been undertaken in Bridgend, such as the reintroduction of tertiary Neurology services for Paediatrics in POW.</w:t>
      </w:r>
    </w:p>
    <w:p w14:paraId="5D7537B5" w14:textId="77777777" w:rsidR="00E334A5" w:rsidRDefault="00E334A5" w:rsidP="004130DD">
      <w:pPr>
        <w:rPr>
          <w:rFonts w:asciiTheme="minorHAnsi" w:hAnsiTheme="minorHAnsi"/>
          <w:b/>
          <w:color w:val="000000" w:themeColor="text1"/>
          <w:szCs w:val="22"/>
        </w:rPr>
      </w:pPr>
    </w:p>
    <w:p w14:paraId="4332E7E1" w14:textId="5CE769D0" w:rsidR="004130DD" w:rsidRPr="00F13A85" w:rsidRDefault="0098336B" w:rsidP="004130DD">
      <w:pPr>
        <w:rPr>
          <w:rFonts w:asciiTheme="minorHAnsi" w:hAnsiTheme="minorHAnsi"/>
          <w:b/>
          <w:color w:val="000000" w:themeColor="text1"/>
          <w:szCs w:val="22"/>
        </w:rPr>
      </w:pPr>
      <w:r w:rsidRPr="00F13A85">
        <w:rPr>
          <w:rFonts w:asciiTheme="minorHAnsi" w:hAnsiTheme="minorHAnsi"/>
          <w:b/>
          <w:bCs/>
          <w:noProof/>
          <w:color w:val="000000" w:themeColor="text1"/>
        </w:rPr>
        <mc:AlternateContent>
          <mc:Choice Requires="wps">
            <w:drawing>
              <wp:anchor distT="0" distB="0" distL="114300" distR="114300" simplePos="0" relativeHeight="252830720" behindDoc="1" locked="0" layoutInCell="1" allowOverlap="1" wp14:anchorId="5F1BB6D0" wp14:editId="5DB02AE6">
                <wp:simplePos x="0" y="0"/>
                <wp:positionH relativeFrom="margin">
                  <wp:posOffset>-67854</wp:posOffset>
                </wp:positionH>
                <wp:positionV relativeFrom="paragraph">
                  <wp:posOffset>99332</wp:posOffset>
                </wp:positionV>
                <wp:extent cx="6716485" cy="696595"/>
                <wp:effectExtent l="0" t="38100" r="46355" b="65405"/>
                <wp:wrapNone/>
                <wp:docPr id="449" name="Right Arrow 449"/>
                <wp:cNvGraphicFramePr/>
                <a:graphic xmlns:a="http://schemas.openxmlformats.org/drawingml/2006/main">
                  <a:graphicData uri="http://schemas.microsoft.com/office/word/2010/wordprocessingShape">
                    <wps:wsp>
                      <wps:cNvSpPr/>
                      <wps:spPr>
                        <a:xfrm>
                          <a:off x="0" y="0"/>
                          <a:ext cx="6716485" cy="696595"/>
                        </a:xfrm>
                        <a:prstGeom prst="rightArrow">
                          <a:avLst>
                            <a:gd name="adj1" fmla="val 50000"/>
                            <a:gd name="adj2" fmla="val 29881"/>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2672F01"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449" o:spid="_x0000_s1026" type="#_x0000_t13" style="position:absolute;margin-left:-5.35pt;margin-top:7.8pt;width:528.85pt;height:54.85pt;z-index:-2504857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" adj="20931" fillcolor="#eaf1dd [662]" strokecolor="#76923c [2406]" strokeweight="2pt">
                <w10:wrap anchorx="margin"/>
              </v:shape>
            </w:pict>
          </mc:Fallback>
        </mc:AlternateContent>
      </w:r>
      <w:r w:rsidR="004130DD" w:rsidRPr="00F13A85">
        <w:rPr>
          <w:rFonts w:asciiTheme="minorHAnsi" w:hAnsiTheme="minorHAnsi"/>
          <w:b/>
          <w:color w:val="000000" w:themeColor="text1"/>
          <w:szCs w:val="22"/>
        </w:rPr>
        <w:t>MILESTONES</w:t>
      </w:r>
    </w:p>
    <w:p w14:paraId="12F67799" w14:textId="0CFC5EBC" w:rsidR="004130DD" w:rsidRPr="00F13A85" w:rsidRDefault="004130DD" w:rsidP="004130DD">
      <w:pPr>
        <w:rPr>
          <w:rFonts w:asciiTheme="minorHAnsi" w:hAnsiTheme="minorHAnsi"/>
          <w:color w:val="000000" w:themeColor="text1"/>
          <w:szCs w:val="22"/>
        </w:rPr>
      </w:pPr>
    </w:p>
    <w:tbl>
      <w:tblPr>
        <w:tblStyle w:val="TableGrid"/>
        <w:tblW w:w="10060" w:type="dxa"/>
        <w:tblLook w:val="04A0" w:firstRow="1" w:lastRow="0" w:firstColumn="1" w:lastColumn="0" w:noHBand="0" w:noVBand="1"/>
      </w:tblPr>
      <w:tblGrid>
        <w:gridCol w:w="5665"/>
        <w:gridCol w:w="2694"/>
        <w:gridCol w:w="1701"/>
      </w:tblGrid>
      <w:tr w:rsidR="004130DD" w:rsidRPr="00F13A85" w14:paraId="183E91AE" w14:textId="77777777" w:rsidTr="0098336B">
        <w:trPr>
          <w:trHeight w:val="4374"/>
        </w:trPr>
        <w:tc>
          <w:tcPr>
            <w:tcW w:w="5665" w:type="dxa"/>
          </w:tcPr>
          <w:p w14:paraId="64788F48" w14:textId="77777777" w:rsidR="004130DD" w:rsidRDefault="004130DD" w:rsidP="0098336B">
            <w:pPr>
              <w:jc w:val="center"/>
              <w:rPr>
                <w:rFonts w:asciiTheme="minorHAnsi" w:hAnsiTheme="minorHAnsi"/>
                <w:bCs/>
                <w:color w:val="000000" w:themeColor="text1"/>
                <w:sz w:val="22"/>
              </w:rPr>
            </w:pPr>
            <w:r w:rsidRPr="008B31E4">
              <w:rPr>
                <w:rFonts w:asciiTheme="minorHAnsi" w:hAnsiTheme="minorHAnsi"/>
                <w:bCs/>
                <w:color w:val="000000" w:themeColor="text1"/>
                <w:sz w:val="22"/>
              </w:rPr>
              <w:t>Year 1</w:t>
            </w:r>
          </w:p>
          <w:p w14:paraId="54E9308F" w14:textId="77777777" w:rsidR="004130DD" w:rsidRPr="008B31E4" w:rsidRDefault="004130DD" w:rsidP="004130DD">
            <w:pPr>
              <w:rPr>
                <w:rFonts w:asciiTheme="minorHAnsi" w:hAnsiTheme="minorHAnsi"/>
                <w:bCs/>
                <w:color w:val="000000" w:themeColor="text1"/>
                <w:sz w:val="22"/>
              </w:rPr>
            </w:pPr>
          </w:p>
          <w:p w14:paraId="001DA9F5" w14:textId="77777777" w:rsidR="004130DD" w:rsidRPr="008B31E4" w:rsidRDefault="004130DD" w:rsidP="004130DD">
            <w:pPr>
              <w:rPr>
                <w:rFonts w:asciiTheme="minorHAnsi" w:hAnsiTheme="minorHAnsi"/>
                <w:bCs/>
                <w:color w:val="000000" w:themeColor="text1"/>
                <w:sz w:val="22"/>
              </w:rPr>
            </w:pPr>
            <w:r w:rsidRPr="008B31E4">
              <w:rPr>
                <w:rFonts w:asciiTheme="minorHAnsi" w:hAnsiTheme="minorHAnsi"/>
                <w:b/>
                <w:bCs/>
                <w:color w:val="000000" w:themeColor="text1"/>
                <w:sz w:val="22"/>
              </w:rPr>
              <w:t>Q1</w:t>
            </w:r>
            <w:r w:rsidRPr="008B31E4">
              <w:rPr>
                <w:rFonts w:asciiTheme="minorHAnsi" w:hAnsiTheme="minorHAnsi"/>
                <w:bCs/>
                <w:color w:val="000000" w:themeColor="text1"/>
                <w:sz w:val="22"/>
              </w:rPr>
              <w:t>: Bid produced for therapist input in the NNU</w:t>
            </w:r>
          </w:p>
          <w:p w14:paraId="0D0DC598" w14:textId="77777777" w:rsidR="004130DD" w:rsidRPr="008B31E4" w:rsidRDefault="004130DD" w:rsidP="004130DD">
            <w:pPr>
              <w:rPr>
                <w:rFonts w:asciiTheme="minorHAnsi" w:hAnsiTheme="minorHAnsi"/>
                <w:bCs/>
                <w:color w:val="000000" w:themeColor="text1"/>
                <w:sz w:val="22"/>
              </w:rPr>
            </w:pPr>
            <w:r w:rsidRPr="008B31E4">
              <w:rPr>
                <w:rFonts w:asciiTheme="minorHAnsi" w:hAnsiTheme="minorHAnsi"/>
                <w:b/>
                <w:bCs/>
                <w:color w:val="000000" w:themeColor="text1"/>
                <w:sz w:val="22"/>
              </w:rPr>
              <w:t>Q1</w:t>
            </w:r>
            <w:r w:rsidRPr="008B31E4">
              <w:rPr>
                <w:rFonts w:asciiTheme="minorHAnsi" w:hAnsiTheme="minorHAnsi"/>
                <w:bCs/>
                <w:color w:val="000000" w:themeColor="text1"/>
                <w:sz w:val="22"/>
              </w:rPr>
              <w:t xml:space="preserve">: Confirm investment and continue to refer to Halcyon service </w:t>
            </w:r>
          </w:p>
          <w:p w14:paraId="6462046D" w14:textId="77777777" w:rsidR="004130DD" w:rsidRPr="008B31E4" w:rsidRDefault="004130DD" w:rsidP="004130DD">
            <w:pPr>
              <w:rPr>
                <w:rFonts w:asciiTheme="minorHAnsi" w:hAnsiTheme="minorHAnsi"/>
                <w:bCs/>
                <w:color w:val="000000" w:themeColor="text1"/>
                <w:sz w:val="22"/>
              </w:rPr>
            </w:pPr>
            <w:r w:rsidRPr="008B31E4">
              <w:rPr>
                <w:rFonts w:asciiTheme="minorHAnsi" w:hAnsiTheme="minorHAnsi"/>
                <w:b/>
                <w:bCs/>
                <w:color w:val="000000" w:themeColor="text1"/>
                <w:sz w:val="22"/>
              </w:rPr>
              <w:t>Q1</w:t>
            </w:r>
            <w:r w:rsidRPr="008B31E4">
              <w:rPr>
                <w:rFonts w:asciiTheme="minorHAnsi" w:hAnsiTheme="minorHAnsi"/>
                <w:bCs/>
                <w:color w:val="000000" w:themeColor="text1"/>
                <w:sz w:val="22"/>
              </w:rPr>
              <w:t xml:space="preserve"> Paeds Neurology clinics run </w:t>
            </w:r>
          </w:p>
          <w:p w14:paraId="1F50B842" w14:textId="77777777" w:rsidR="004130DD" w:rsidRPr="008B31E4" w:rsidRDefault="004130DD" w:rsidP="004130DD">
            <w:pPr>
              <w:rPr>
                <w:rFonts w:asciiTheme="minorHAnsi" w:hAnsiTheme="minorHAnsi"/>
                <w:bCs/>
                <w:color w:val="000000" w:themeColor="text1"/>
                <w:sz w:val="22"/>
              </w:rPr>
            </w:pPr>
            <w:r w:rsidRPr="008B31E4">
              <w:rPr>
                <w:rFonts w:asciiTheme="minorHAnsi" w:hAnsiTheme="minorHAnsi"/>
                <w:b/>
                <w:bCs/>
                <w:color w:val="000000" w:themeColor="text1"/>
                <w:sz w:val="22"/>
              </w:rPr>
              <w:t>Q1</w:t>
            </w:r>
            <w:r w:rsidRPr="008B31E4">
              <w:rPr>
                <w:rFonts w:asciiTheme="minorHAnsi" w:hAnsiTheme="minorHAnsi"/>
                <w:bCs/>
                <w:color w:val="000000" w:themeColor="text1"/>
                <w:sz w:val="22"/>
              </w:rPr>
              <w:t>: Work on PAU interdependencies with A&amp;E, Obs, and Gynae.</w:t>
            </w:r>
          </w:p>
          <w:p w14:paraId="76B99164" w14:textId="77777777" w:rsidR="004130DD" w:rsidRPr="008B31E4" w:rsidRDefault="004130DD" w:rsidP="004130DD">
            <w:pPr>
              <w:rPr>
                <w:rFonts w:asciiTheme="minorHAnsi" w:hAnsiTheme="minorHAnsi"/>
                <w:bCs/>
                <w:color w:val="000000" w:themeColor="text1"/>
                <w:sz w:val="22"/>
              </w:rPr>
            </w:pPr>
            <w:r w:rsidRPr="008B31E4">
              <w:rPr>
                <w:rFonts w:asciiTheme="minorHAnsi" w:hAnsiTheme="minorHAnsi"/>
                <w:b/>
                <w:bCs/>
                <w:color w:val="000000" w:themeColor="text1"/>
                <w:sz w:val="22"/>
              </w:rPr>
              <w:t>Q2</w:t>
            </w:r>
            <w:r w:rsidRPr="008B31E4">
              <w:rPr>
                <w:rFonts w:asciiTheme="minorHAnsi" w:hAnsiTheme="minorHAnsi"/>
                <w:bCs/>
                <w:color w:val="000000" w:themeColor="text1"/>
                <w:sz w:val="22"/>
              </w:rPr>
              <w:t>: Bid complete for therapist input into NNU and taken for sign off</w:t>
            </w:r>
          </w:p>
          <w:p w14:paraId="480BAC3A" w14:textId="77777777" w:rsidR="004130DD" w:rsidRPr="008B31E4" w:rsidRDefault="004130DD" w:rsidP="004130DD">
            <w:pPr>
              <w:rPr>
                <w:rFonts w:asciiTheme="minorHAnsi" w:hAnsiTheme="minorHAnsi"/>
                <w:bCs/>
                <w:color w:val="000000" w:themeColor="text1"/>
                <w:sz w:val="22"/>
              </w:rPr>
            </w:pPr>
            <w:r w:rsidRPr="008B31E4">
              <w:rPr>
                <w:rFonts w:asciiTheme="minorHAnsi" w:hAnsiTheme="minorHAnsi"/>
                <w:b/>
                <w:bCs/>
                <w:color w:val="000000" w:themeColor="text1"/>
                <w:sz w:val="22"/>
              </w:rPr>
              <w:t>Q2</w:t>
            </w:r>
            <w:r w:rsidRPr="008B31E4">
              <w:rPr>
                <w:rFonts w:asciiTheme="minorHAnsi" w:hAnsiTheme="minorHAnsi"/>
                <w:bCs/>
                <w:color w:val="000000" w:themeColor="text1"/>
                <w:sz w:val="22"/>
              </w:rPr>
              <w:t>: Implementation of ALN Act</w:t>
            </w:r>
          </w:p>
          <w:p w14:paraId="02DB1380" w14:textId="77777777" w:rsidR="004130DD" w:rsidRPr="008B31E4" w:rsidRDefault="004130DD" w:rsidP="004130DD">
            <w:pPr>
              <w:rPr>
                <w:rFonts w:asciiTheme="minorHAnsi" w:hAnsiTheme="minorHAnsi"/>
                <w:bCs/>
                <w:color w:val="000000" w:themeColor="text1"/>
                <w:sz w:val="22"/>
              </w:rPr>
            </w:pPr>
            <w:r w:rsidRPr="008B31E4">
              <w:rPr>
                <w:rFonts w:asciiTheme="minorHAnsi" w:hAnsiTheme="minorHAnsi"/>
                <w:b/>
                <w:bCs/>
                <w:color w:val="000000" w:themeColor="text1"/>
                <w:sz w:val="22"/>
              </w:rPr>
              <w:t>Q2</w:t>
            </w:r>
            <w:r w:rsidRPr="008B31E4">
              <w:rPr>
                <w:rFonts w:asciiTheme="minorHAnsi" w:hAnsiTheme="minorHAnsi"/>
                <w:bCs/>
                <w:color w:val="000000" w:themeColor="text1"/>
                <w:sz w:val="22"/>
              </w:rPr>
              <w:t>: Review future requirements of Halcyon service</w:t>
            </w:r>
          </w:p>
          <w:p w14:paraId="2987D497" w14:textId="77777777" w:rsidR="004130DD" w:rsidRPr="008B31E4" w:rsidRDefault="004130DD" w:rsidP="004130DD">
            <w:pPr>
              <w:rPr>
                <w:rFonts w:asciiTheme="minorHAnsi" w:hAnsiTheme="minorHAnsi"/>
                <w:bCs/>
                <w:color w:val="000000" w:themeColor="text1"/>
                <w:sz w:val="22"/>
              </w:rPr>
            </w:pPr>
            <w:r w:rsidRPr="008B31E4">
              <w:rPr>
                <w:rFonts w:asciiTheme="minorHAnsi" w:hAnsiTheme="minorHAnsi"/>
                <w:b/>
                <w:bCs/>
                <w:color w:val="000000" w:themeColor="text1"/>
                <w:sz w:val="22"/>
              </w:rPr>
              <w:t>Q2</w:t>
            </w:r>
            <w:r w:rsidRPr="008B31E4">
              <w:rPr>
                <w:rFonts w:asciiTheme="minorHAnsi" w:hAnsiTheme="minorHAnsi"/>
                <w:bCs/>
                <w:color w:val="000000" w:themeColor="text1"/>
                <w:sz w:val="22"/>
              </w:rPr>
              <w:t>: Implementation of PAU in RGH and completion of SWP programme</w:t>
            </w:r>
          </w:p>
          <w:p w14:paraId="5AF37C73" w14:textId="77777777" w:rsidR="004130DD" w:rsidRPr="008B31E4" w:rsidRDefault="004130DD" w:rsidP="004130DD">
            <w:pPr>
              <w:rPr>
                <w:rFonts w:asciiTheme="minorHAnsi" w:hAnsiTheme="minorHAnsi"/>
                <w:bCs/>
                <w:color w:val="000000" w:themeColor="text1"/>
                <w:sz w:val="22"/>
              </w:rPr>
            </w:pPr>
            <w:r w:rsidRPr="008B31E4">
              <w:rPr>
                <w:rFonts w:asciiTheme="minorHAnsi" w:hAnsiTheme="minorHAnsi"/>
                <w:b/>
                <w:bCs/>
                <w:color w:val="000000" w:themeColor="text1"/>
                <w:sz w:val="22"/>
              </w:rPr>
              <w:t>Q3</w:t>
            </w:r>
            <w:r w:rsidRPr="008B31E4">
              <w:rPr>
                <w:rFonts w:asciiTheme="minorHAnsi" w:hAnsiTheme="minorHAnsi"/>
                <w:bCs/>
                <w:color w:val="000000" w:themeColor="text1"/>
                <w:sz w:val="22"/>
              </w:rPr>
              <w:t>: Recruitment of Therapists  for NNU</w:t>
            </w:r>
          </w:p>
          <w:p w14:paraId="49FA1F38" w14:textId="77777777" w:rsidR="004130DD" w:rsidRPr="008B31E4" w:rsidRDefault="004130DD" w:rsidP="004130DD">
            <w:pPr>
              <w:rPr>
                <w:rFonts w:asciiTheme="minorHAnsi" w:hAnsiTheme="minorHAnsi"/>
                <w:bCs/>
                <w:color w:val="000000" w:themeColor="text1"/>
                <w:sz w:val="22"/>
              </w:rPr>
            </w:pPr>
            <w:r w:rsidRPr="008B31E4">
              <w:rPr>
                <w:rFonts w:asciiTheme="minorHAnsi" w:hAnsiTheme="minorHAnsi"/>
                <w:b/>
                <w:bCs/>
                <w:color w:val="000000" w:themeColor="text1"/>
                <w:sz w:val="22"/>
              </w:rPr>
              <w:t>Q4:</w:t>
            </w:r>
            <w:r w:rsidRPr="008B31E4">
              <w:rPr>
                <w:rFonts w:asciiTheme="minorHAnsi" w:hAnsiTheme="minorHAnsi"/>
                <w:bCs/>
                <w:color w:val="000000" w:themeColor="text1"/>
                <w:sz w:val="22"/>
              </w:rPr>
              <w:t xml:space="preserve"> Recurrent Funding for ND service sought</w:t>
            </w:r>
          </w:p>
          <w:p w14:paraId="781F5B6D" w14:textId="08D7FDE9" w:rsidR="004130DD" w:rsidRPr="008B31E4" w:rsidRDefault="004130DD" w:rsidP="004130DD">
            <w:pPr>
              <w:rPr>
                <w:rFonts w:asciiTheme="minorHAnsi" w:hAnsiTheme="minorHAnsi"/>
                <w:bCs/>
                <w:color w:val="000000" w:themeColor="text1"/>
                <w:sz w:val="22"/>
              </w:rPr>
            </w:pPr>
            <w:r w:rsidRPr="008B31E4">
              <w:rPr>
                <w:rFonts w:asciiTheme="minorHAnsi" w:hAnsiTheme="minorHAnsi"/>
                <w:b/>
                <w:bCs/>
                <w:color w:val="000000" w:themeColor="text1"/>
                <w:sz w:val="22"/>
              </w:rPr>
              <w:t>Q4</w:t>
            </w:r>
            <w:r w:rsidRPr="008B31E4">
              <w:rPr>
                <w:rFonts w:asciiTheme="minorHAnsi" w:hAnsiTheme="minorHAnsi"/>
                <w:bCs/>
                <w:color w:val="000000" w:themeColor="text1"/>
                <w:sz w:val="22"/>
              </w:rPr>
              <w:t>: Implemented Halcyon service model as appropriate to resource</w:t>
            </w:r>
          </w:p>
        </w:tc>
        <w:tc>
          <w:tcPr>
            <w:tcW w:w="2694" w:type="dxa"/>
          </w:tcPr>
          <w:p w14:paraId="27B566E2" w14:textId="77777777" w:rsidR="004130DD" w:rsidRDefault="004130DD" w:rsidP="0098336B">
            <w:pPr>
              <w:jc w:val="center"/>
              <w:rPr>
                <w:rFonts w:asciiTheme="minorHAnsi" w:hAnsiTheme="minorHAnsi"/>
                <w:bCs/>
                <w:color w:val="000000" w:themeColor="text1"/>
                <w:sz w:val="22"/>
              </w:rPr>
            </w:pPr>
            <w:r w:rsidRPr="008B31E4">
              <w:rPr>
                <w:rFonts w:asciiTheme="minorHAnsi" w:hAnsiTheme="minorHAnsi"/>
                <w:bCs/>
                <w:color w:val="000000" w:themeColor="text1"/>
                <w:sz w:val="22"/>
              </w:rPr>
              <w:t>Year 2</w:t>
            </w:r>
          </w:p>
          <w:p w14:paraId="04683CEC" w14:textId="77777777" w:rsidR="004130DD" w:rsidRPr="008B31E4" w:rsidRDefault="004130DD" w:rsidP="004130DD">
            <w:pPr>
              <w:rPr>
                <w:rFonts w:asciiTheme="minorHAnsi" w:hAnsiTheme="minorHAnsi"/>
                <w:bCs/>
                <w:color w:val="000000" w:themeColor="text1"/>
                <w:sz w:val="22"/>
              </w:rPr>
            </w:pPr>
          </w:p>
          <w:p w14:paraId="7538BF45" w14:textId="77777777" w:rsidR="004130DD" w:rsidRPr="008B31E4" w:rsidRDefault="004130DD" w:rsidP="004130DD">
            <w:pPr>
              <w:rPr>
                <w:rFonts w:asciiTheme="minorHAnsi" w:hAnsiTheme="minorHAnsi"/>
                <w:bCs/>
                <w:color w:val="000000" w:themeColor="text1"/>
                <w:sz w:val="22"/>
              </w:rPr>
            </w:pPr>
            <w:r w:rsidRPr="008B31E4">
              <w:rPr>
                <w:rFonts w:asciiTheme="minorHAnsi" w:hAnsiTheme="minorHAnsi"/>
                <w:b/>
                <w:bCs/>
                <w:color w:val="000000" w:themeColor="text1"/>
                <w:sz w:val="22"/>
              </w:rPr>
              <w:t>Q1:</w:t>
            </w:r>
            <w:r w:rsidRPr="008B31E4">
              <w:rPr>
                <w:rFonts w:asciiTheme="minorHAnsi" w:hAnsiTheme="minorHAnsi"/>
                <w:bCs/>
                <w:color w:val="000000" w:themeColor="text1"/>
                <w:sz w:val="22"/>
              </w:rPr>
              <w:t xml:space="preserve"> Funding for recurrent funding for Halcyon project sought</w:t>
            </w:r>
          </w:p>
          <w:p w14:paraId="1D0EABBC" w14:textId="77777777" w:rsidR="004130DD" w:rsidRPr="008B31E4" w:rsidRDefault="004130DD" w:rsidP="004130DD">
            <w:pPr>
              <w:rPr>
                <w:rFonts w:asciiTheme="minorHAnsi" w:hAnsiTheme="minorHAnsi"/>
                <w:bCs/>
                <w:color w:val="000000" w:themeColor="text1"/>
                <w:sz w:val="22"/>
              </w:rPr>
            </w:pPr>
            <w:r w:rsidRPr="008B31E4">
              <w:rPr>
                <w:rFonts w:asciiTheme="minorHAnsi" w:hAnsiTheme="minorHAnsi"/>
                <w:b/>
                <w:bCs/>
                <w:color w:val="000000" w:themeColor="text1"/>
                <w:sz w:val="22"/>
              </w:rPr>
              <w:t>Q1</w:t>
            </w:r>
            <w:r w:rsidRPr="008B31E4">
              <w:rPr>
                <w:rFonts w:asciiTheme="minorHAnsi" w:hAnsiTheme="minorHAnsi"/>
                <w:bCs/>
                <w:color w:val="000000" w:themeColor="text1"/>
                <w:sz w:val="22"/>
              </w:rPr>
              <w:t>: Evaluation of PAU in RGH.</w:t>
            </w:r>
          </w:p>
          <w:p w14:paraId="56DF13E7" w14:textId="77777777" w:rsidR="004130DD" w:rsidRPr="008B31E4" w:rsidRDefault="004130DD" w:rsidP="004130DD">
            <w:pPr>
              <w:rPr>
                <w:rFonts w:asciiTheme="minorHAnsi" w:hAnsiTheme="minorHAnsi"/>
                <w:bCs/>
                <w:color w:val="000000" w:themeColor="text1"/>
                <w:sz w:val="22"/>
              </w:rPr>
            </w:pPr>
            <w:r w:rsidRPr="008B31E4">
              <w:rPr>
                <w:rFonts w:asciiTheme="minorHAnsi" w:hAnsiTheme="minorHAnsi"/>
                <w:b/>
                <w:bCs/>
                <w:color w:val="000000" w:themeColor="text1"/>
                <w:sz w:val="22"/>
              </w:rPr>
              <w:t>Q1</w:t>
            </w:r>
            <w:r w:rsidRPr="008B31E4">
              <w:rPr>
                <w:rFonts w:asciiTheme="minorHAnsi" w:hAnsiTheme="minorHAnsi"/>
                <w:bCs/>
                <w:color w:val="000000" w:themeColor="text1"/>
                <w:sz w:val="22"/>
              </w:rPr>
              <w:t>: Realisation of benefits of recurrent funding of ND service</w:t>
            </w:r>
          </w:p>
          <w:p w14:paraId="470B5F22" w14:textId="77777777" w:rsidR="004130DD" w:rsidRPr="008B31E4" w:rsidRDefault="004130DD" w:rsidP="004130DD">
            <w:pPr>
              <w:rPr>
                <w:rFonts w:asciiTheme="minorHAnsi" w:hAnsiTheme="minorHAnsi"/>
                <w:bCs/>
                <w:color w:val="000000" w:themeColor="text1"/>
                <w:sz w:val="22"/>
              </w:rPr>
            </w:pPr>
            <w:r w:rsidRPr="008B31E4">
              <w:rPr>
                <w:rFonts w:asciiTheme="minorHAnsi" w:hAnsiTheme="minorHAnsi"/>
                <w:b/>
                <w:bCs/>
                <w:color w:val="000000" w:themeColor="text1"/>
                <w:sz w:val="22"/>
              </w:rPr>
              <w:t>Q1-4</w:t>
            </w:r>
            <w:r w:rsidRPr="008B31E4">
              <w:rPr>
                <w:rFonts w:asciiTheme="minorHAnsi" w:hAnsiTheme="minorHAnsi"/>
                <w:bCs/>
                <w:color w:val="000000" w:themeColor="text1"/>
                <w:sz w:val="22"/>
              </w:rPr>
              <w:t xml:space="preserve"> Continue to run Paeds Neuro clinics in POW</w:t>
            </w:r>
          </w:p>
          <w:p w14:paraId="10547524" w14:textId="6B1B13EB" w:rsidR="004130DD" w:rsidRPr="008B31E4" w:rsidRDefault="004130DD" w:rsidP="004130DD">
            <w:pPr>
              <w:rPr>
                <w:rFonts w:asciiTheme="minorHAnsi" w:hAnsiTheme="minorHAnsi"/>
                <w:bCs/>
                <w:color w:val="000000" w:themeColor="text1"/>
                <w:sz w:val="22"/>
              </w:rPr>
            </w:pPr>
            <w:r w:rsidRPr="008B31E4">
              <w:rPr>
                <w:rFonts w:asciiTheme="minorHAnsi" w:hAnsiTheme="minorHAnsi"/>
                <w:b/>
                <w:bCs/>
                <w:color w:val="000000" w:themeColor="text1"/>
                <w:sz w:val="22"/>
              </w:rPr>
              <w:t>Q1-4</w:t>
            </w:r>
            <w:r w:rsidRPr="008B31E4">
              <w:rPr>
                <w:rFonts w:asciiTheme="minorHAnsi" w:hAnsiTheme="minorHAnsi"/>
                <w:bCs/>
                <w:color w:val="000000" w:themeColor="text1"/>
                <w:sz w:val="22"/>
              </w:rPr>
              <w:t>: Implemented Halcyon service model as appropriate to resource</w:t>
            </w:r>
          </w:p>
        </w:tc>
        <w:tc>
          <w:tcPr>
            <w:tcW w:w="1701" w:type="dxa"/>
          </w:tcPr>
          <w:p w14:paraId="1A6B31F0" w14:textId="77777777" w:rsidR="004130DD" w:rsidRDefault="004130DD" w:rsidP="0098336B">
            <w:pPr>
              <w:jc w:val="center"/>
              <w:rPr>
                <w:rFonts w:asciiTheme="minorHAnsi" w:hAnsiTheme="minorHAnsi"/>
                <w:bCs/>
                <w:color w:val="000000" w:themeColor="text1"/>
                <w:sz w:val="22"/>
              </w:rPr>
            </w:pPr>
            <w:r w:rsidRPr="008B31E4">
              <w:rPr>
                <w:rFonts w:asciiTheme="minorHAnsi" w:hAnsiTheme="minorHAnsi"/>
                <w:bCs/>
                <w:color w:val="000000" w:themeColor="text1"/>
                <w:sz w:val="22"/>
              </w:rPr>
              <w:t>Year 3</w:t>
            </w:r>
          </w:p>
          <w:p w14:paraId="2DF5D63E" w14:textId="77777777" w:rsidR="004130DD" w:rsidRPr="008B31E4" w:rsidRDefault="004130DD" w:rsidP="004130DD">
            <w:pPr>
              <w:rPr>
                <w:rFonts w:asciiTheme="minorHAnsi" w:hAnsiTheme="minorHAnsi"/>
                <w:bCs/>
                <w:color w:val="000000" w:themeColor="text1"/>
                <w:sz w:val="22"/>
              </w:rPr>
            </w:pPr>
          </w:p>
          <w:p w14:paraId="1D67896C" w14:textId="77777777" w:rsidR="004130DD" w:rsidRPr="008B31E4" w:rsidRDefault="004130DD" w:rsidP="004130DD">
            <w:pPr>
              <w:rPr>
                <w:rFonts w:asciiTheme="minorHAnsi" w:hAnsiTheme="minorHAnsi"/>
                <w:bCs/>
                <w:color w:val="000000" w:themeColor="text1"/>
                <w:sz w:val="22"/>
              </w:rPr>
            </w:pPr>
            <w:r w:rsidRPr="008B31E4">
              <w:rPr>
                <w:rFonts w:asciiTheme="minorHAnsi" w:hAnsiTheme="minorHAnsi"/>
                <w:b/>
                <w:bCs/>
                <w:color w:val="000000" w:themeColor="text1"/>
                <w:sz w:val="22"/>
              </w:rPr>
              <w:t>Q1:</w:t>
            </w:r>
            <w:r w:rsidRPr="008B31E4">
              <w:rPr>
                <w:rFonts w:asciiTheme="minorHAnsi" w:hAnsiTheme="minorHAnsi"/>
                <w:bCs/>
                <w:color w:val="000000" w:themeColor="text1"/>
                <w:sz w:val="22"/>
              </w:rPr>
              <w:t xml:space="preserve"> Realisation of benefits of PAU in RGH </w:t>
            </w:r>
          </w:p>
          <w:p w14:paraId="280FC7C8" w14:textId="77777777" w:rsidR="004130DD" w:rsidRPr="008B31E4" w:rsidRDefault="004130DD" w:rsidP="004130DD">
            <w:pPr>
              <w:rPr>
                <w:rFonts w:asciiTheme="minorHAnsi" w:hAnsiTheme="minorHAnsi"/>
                <w:bCs/>
                <w:color w:val="000000" w:themeColor="text1"/>
                <w:sz w:val="22"/>
              </w:rPr>
            </w:pPr>
            <w:r w:rsidRPr="008B31E4">
              <w:rPr>
                <w:rFonts w:asciiTheme="minorHAnsi" w:hAnsiTheme="minorHAnsi"/>
                <w:b/>
                <w:bCs/>
                <w:color w:val="000000" w:themeColor="text1"/>
                <w:sz w:val="22"/>
              </w:rPr>
              <w:t>Q1-4:</w:t>
            </w:r>
            <w:r w:rsidRPr="008B31E4">
              <w:rPr>
                <w:rFonts w:asciiTheme="minorHAnsi" w:hAnsiTheme="minorHAnsi"/>
                <w:bCs/>
                <w:color w:val="000000" w:themeColor="text1"/>
                <w:sz w:val="22"/>
              </w:rPr>
              <w:t xml:space="preserve"> Continue to run Paeds Neuro clinics in POW</w:t>
            </w:r>
          </w:p>
          <w:p w14:paraId="2019C8F1" w14:textId="4E06B5EA" w:rsidR="004130DD" w:rsidRPr="008B31E4" w:rsidRDefault="004130DD" w:rsidP="004130DD">
            <w:pPr>
              <w:rPr>
                <w:rFonts w:asciiTheme="minorHAnsi" w:hAnsiTheme="minorHAnsi"/>
                <w:bCs/>
                <w:color w:val="000000" w:themeColor="text1"/>
                <w:sz w:val="22"/>
              </w:rPr>
            </w:pPr>
            <w:r w:rsidRPr="008B31E4">
              <w:rPr>
                <w:rFonts w:asciiTheme="minorHAnsi" w:hAnsiTheme="minorHAnsi"/>
                <w:b/>
                <w:bCs/>
                <w:color w:val="000000" w:themeColor="text1"/>
                <w:sz w:val="22"/>
              </w:rPr>
              <w:t>Q1-4:</w:t>
            </w:r>
            <w:r w:rsidRPr="008B31E4">
              <w:rPr>
                <w:rFonts w:asciiTheme="minorHAnsi" w:hAnsiTheme="minorHAnsi"/>
                <w:bCs/>
                <w:color w:val="000000" w:themeColor="text1"/>
                <w:sz w:val="22"/>
              </w:rPr>
              <w:t xml:space="preserve"> Implemented Halcyon service model as appropriate to resource</w:t>
            </w:r>
          </w:p>
        </w:tc>
      </w:tr>
    </w:tbl>
    <w:p w14:paraId="32984DF4" w14:textId="77777777" w:rsidR="00D96821" w:rsidRDefault="00D96821" w:rsidP="004130DD">
      <w:pPr>
        <w:rPr>
          <w:rFonts w:asciiTheme="minorHAnsi" w:hAnsiTheme="minorHAnsi"/>
          <w:color w:val="000000" w:themeColor="text1"/>
          <w:szCs w:val="22"/>
        </w:rPr>
      </w:pPr>
    </w:p>
    <w:p w14:paraId="428F431F" w14:textId="7F9B100A" w:rsidR="00D96821" w:rsidRPr="00D96821" w:rsidRDefault="00D96821" w:rsidP="004130DD">
      <w:pPr>
        <w:rPr>
          <w:rFonts w:asciiTheme="minorHAnsi" w:hAnsiTheme="minorHAnsi"/>
          <w:b/>
          <w:color w:val="000000" w:themeColor="text1"/>
          <w:szCs w:val="22"/>
        </w:rPr>
      </w:pPr>
      <w:r w:rsidRPr="00D96821">
        <w:rPr>
          <w:rFonts w:asciiTheme="minorHAnsi" w:hAnsiTheme="minorHAnsi"/>
          <w:b/>
          <w:color w:val="000000" w:themeColor="text1"/>
          <w:szCs w:val="22"/>
        </w:rPr>
        <w:t>Child and Adolescent Mental Health Service</w:t>
      </w:r>
    </w:p>
    <w:p w14:paraId="4E4C9F58" w14:textId="77777777" w:rsidR="00F85ADB" w:rsidRDefault="00F85ADB" w:rsidP="004130DD">
      <w:pPr>
        <w:rPr>
          <w:rFonts w:asciiTheme="minorHAnsi" w:hAnsiTheme="minorHAnsi"/>
          <w:szCs w:val="22"/>
        </w:rPr>
      </w:pPr>
      <w:r w:rsidRPr="003D0778">
        <w:rPr>
          <w:rFonts w:asciiTheme="minorHAnsi" w:hAnsiTheme="minorHAnsi"/>
          <w:szCs w:val="22"/>
        </w:rPr>
        <w:t xml:space="preserve">The Child </w:t>
      </w:r>
      <w:r>
        <w:rPr>
          <w:rFonts w:asciiTheme="minorHAnsi" w:hAnsiTheme="minorHAnsi"/>
          <w:szCs w:val="22"/>
        </w:rPr>
        <w:t xml:space="preserve">and </w:t>
      </w:r>
      <w:r w:rsidRPr="003D0778">
        <w:rPr>
          <w:rFonts w:asciiTheme="minorHAnsi" w:hAnsiTheme="minorHAnsi"/>
          <w:szCs w:val="22"/>
        </w:rPr>
        <w:t xml:space="preserve">Adolescent Mental Health Service (CAMHS) is an integral part of the Health Board’s Children and Young Peoples Service.  We currently provide </w:t>
      </w:r>
      <w:r>
        <w:rPr>
          <w:rFonts w:asciiTheme="minorHAnsi" w:hAnsiTheme="minorHAnsi"/>
          <w:szCs w:val="22"/>
        </w:rPr>
        <w:t xml:space="preserve">Primary and Specialist </w:t>
      </w:r>
      <w:r w:rsidRPr="003D0778">
        <w:rPr>
          <w:rFonts w:asciiTheme="minorHAnsi" w:hAnsiTheme="minorHAnsi"/>
          <w:szCs w:val="22"/>
        </w:rPr>
        <w:t xml:space="preserve">CAMHS to </w:t>
      </w:r>
      <w:r>
        <w:rPr>
          <w:rFonts w:asciiTheme="minorHAnsi" w:hAnsiTheme="minorHAnsi"/>
          <w:szCs w:val="22"/>
        </w:rPr>
        <w:t xml:space="preserve">our </w:t>
      </w:r>
      <w:r w:rsidRPr="003D0778">
        <w:rPr>
          <w:rFonts w:asciiTheme="minorHAnsi" w:hAnsiTheme="minorHAnsi"/>
          <w:szCs w:val="22"/>
        </w:rPr>
        <w:t xml:space="preserve">resident population together with the population of </w:t>
      </w:r>
      <w:r>
        <w:rPr>
          <w:rFonts w:asciiTheme="minorHAnsi" w:hAnsiTheme="minorHAnsi"/>
          <w:szCs w:val="22"/>
        </w:rPr>
        <w:t xml:space="preserve">Swansea Bay </w:t>
      </w:r>
      <w:r w:rsidRPr="003D0778">
        <w:rPr>
          <w:rFonts w:asciiTheme="minorHAnsi" w:hAnsiTheme="minorHAnsi"/>
          <w:szCs w:val="22"/>
        </w:rPr>
        <w:t>UHB</w:t>
      </w:r>
      <w:r>
        <w:rPr>
          <w:rFonts w:asciiTheme="minorHAnsi" w:hAnsiTheme="minorHAnsi"/>
          <w:szCs w:val="22"/>
        </w:rPr>
        <w:t>. CTM also manages a range of networked services (Young People Drug and Alcohol and Learning Disability) as well as a range of South Wales and all Wales tertiary services.</w:t>
      </w:r>
    </w:p>
    <w:p w14:paraId="6C89E083" w14:textId="77777777" w:rsidR="00F85ADB" w:rsidRPr="003D0778" w:rsidRDefault="00F85ADB" w:rsidP="004130DD">
      <w:pPr>
        <w:rPr>
          <w:rFonts w:asciiTheme="minorHAnsi" w:hAnsiTheme="minorHAnsi"/>
          <w:szCs w:val="22"/>
        </w:rPr>
      </w:pPr>
    </w:p>
    <w:p w14:paraId="0076F0DD" w14:textId="77777777" w:rsidR="00F85ADB" w:rsidRPr="003D0778" w:rsidRDefault="00F85ADB" w:rsidP="004130DD">
      <w:pPr>
        <w:rPr>
          <w:rFonts w:asciiTheme="minorHAnsi" w:hAnsiTheme="minorHAnsi"/>
          <w:szCs w:val="22"/>
        </w:rPr>
      </w:pPr>
      <w:r>
        <w:rPr>
          <w:rFonts w:asciiTheme="minorHAnsi" w:hAnsiTheme="minorHAnsi"/>
          <w:szCs w:val="22"/>
        </w:rPr>
        <w:t>As such, t</w:t>
      </w:r>
      <w:r w:rsidRPr="003D0778">
        <w:rPr>
          <w:rFonts w:asciiTheme="minorHAnsi" w:hAnsiTheme="minorHAnsi"/>
          <w:szCs w:val="22"/>
        </w:rPr>
        <w:t xml:space="preserve">he Health Board will continue to manage Ty Llidiard, an inpatient unit based on the Princess of Wales Hospital site, that covers the South Wales area, an all Wales Tertiary Forensic service and the Mid and South </w:t>
      </w:r>
      <w:r w:rsidRPr="003D0778">
        <w:rPr>
          <w:rFonts w:asciiTheme="minorHAnsi" w:hAnsiTheme="minorHAnsi"/>
          <w:szCs w:val="22"/>
        </w:rPr>
        <w:lastRenderedPageBreak/>
        <w:t>Wales Eating Disorders Service.  In addition the on call rota that service</w:t>
      </w:r>
      <w:r>
        <w:rPr>
          <w:rFonts w:asciiTheme="minorHAnsi" w:hAnsiTheme="minorHAnsi"/>
          <w:szCs w:val="22"/>
        </w:rPr>
        <w:t>s</w:t>
      </w:r>
      <w:r w:rsidRPr="003D0778">
        <w:rPr>
          <w:rFonts w:asciiTheme="minorHAnsi" w:hAnsiTheme="minorHAnsi"/>
          <w:szCs w:val="22"/>
        </w:rPr>
        <w:t xml:space="preserve"> the </w:t>
      </w:r>
      <w:r>
        <w:rPr>
          <w:rFonts w:asciiTheme="minorHAnsi" w:hAnsiTheme="minorHAnsi"/>
          <w:szCs w:val="22"/>
        </w:rPr>
        <w:t xml:space="preserve">previous </w:t>
      </w:r>
      <w:r w:rsidRPr="003D0778">
        <w:rPr>
          <w:rFonts w:asciiTheme="minorHAnsi" w:hAnsiTheme="minorHAnsi"/>
          <w:szCs w:val="22"/>
        </w:rPr>
        <w:t xml:space="preserve">Network </w:t>
      </w:r>
      <w:r>
        <w:rPr>
          <w:rFonts w:asciiTheme="minorHAnsi" w:hAnsiTheme="minorHAnsi"/>
          <w:szCs w:val="22"/>
        </w:rPr>
        <w:t>area (including C&amp;V)</w:t>
      </w:r>
      <w:r w:rsidRPr="003D0778">
        <w:rPr>
          <w:rFonts w:asciiTheme="minorHAnsi" w:hAnsiTheme="minorHAnsi"/>
          <w:szCs w:val="22"/>
        </w:rPr>
        <w:t xml:space="preserve"> will be maintained.</w:t>
      </w:r>
      <w:r>
        <w:rPr>
          <w:rFonts w:asciiTheme="minorHAnsi" w:hAnsiTheme="minorHAnsi"/>
          <w:szCs w:val="22"/>
        </w:rPr>
        <w:t xml:space="preserve"> </w:t>
      </w:r>
    </w:p>
    <w:p w14:paraId="6E02F7B8" w14:textId="77777777" w:rsidR="00F85ADB" w:rsidRPr="003D0778" w:rsidRDefault="00F85ADB" w:rsidP="004130DD">
      <w:pPr>
        <w:rPr>
          <w:rFonts w:asciiTheme="minorHAnsi" w:hAnsiTheme="minorHAnsi"/>
          <w:szCs w:val="22"/>
        </w:rPr>
      </w:pPr>
    </w:p>
    <w:p w14:paraId="02E638D9" w14:textId="77777777" w:rsidR="00F85ADB" w:rsidRPr="00D93850" w:rsidRDefault="00F85ADB" w:rsidP="004130DD">
      <w:pPr>
        <w:rPr>
          <w:rFonts w:asciiTheme="minorHAnsi" w:hAnsiTheme="minorHAnsi"/>
          <w:szCs w:val="22"/>
        </w:rPr>
      </w:pPr>
      <w:r w:rsidRPr="00D93850">
        <w:rPr>
          <w:rFonts w:asciiTheme="minorHAnsi" w:hAnsiTheme="minorHAnsi"/>
          <w:szCs w:val="22"/>
        </w:rPr>
        <w:t xml:space="preserve">Work continues to review our </w:t>
      </w:r>
      <w:r w:rsidRPr="00D93850">
        <w:rPr>
          <w:rFonts w:asciiTheme="minorHAnsi" w:hAnsiTheme="minorHAnsi"/>
          <w:iCs/>
          <w:szCs w:val="22"/>
        </w:rPr>
        <w:t>core business</w:t>
      </w:r>
      <w:r w:rsidRPr="00D93850">
        <w:rPr>
          <w:rFonts w:asciiTheme="minorHAnsi" w:hAnsiTheme="minorHAnsi"/>
          <w:szCs w:val="22"/>
        </w:rPr>
        <w:t xml:space="preserve"> and to develop a multi-agency emotional and mental health strategy that will look to foster even greater linkages with other service</w:t>
      </w:r>
      <w:r>
        <w:rPr>
          <w:rFonts w:asciiTheme="minorHAnsi" w:hAnsiTheme="minorHAnsi"/>
          <w:szCs w:val="22"/>
        </w:rPr>
        <w:t>s and</w:t>
      </w:r>
      <w:r w:rsidRPr="00D93850">
        <w:rPr>
          <w:rFonts w:asciiTheme="minorHAnsi" w:hAnsiTheme="minorHAnsi"/>
          <w:szCs w:val="22"/>
        </w:rPr>
        <w:t xml:space="preserve"> partner agencies.  To this end we are working with local authorities to develop a model for </w:t>
      </w:r>
      <w:r>
        <w:rPr>
          <w:rFonts w:asciiTheme="minorHAnsi" w:hAnsiTheme="minorHAnsi"/>
          <w:szCs w:val="22"/>
        </w:rPr>
        <w:t xml:space="preserve">an emotional well-being service </w:t>
      </w:r>
      <w:r w:rsidRPr="00D93850">
        <w:rPr>
          <w:rFonts w:asciiTheme="minorHAnsi" w:hAnsiTheme="minorHAnsi"/>
          <w:szCs w:val="22"/>
        </w:rPr>
        <w:t xml:space="preserve">at Tier 0 that will </w:t>
      </w:r>
      <w:r>
        <w:rPr>
          <w:rFonts w:asciiTheme="minorHAnsi" w:hAnsiTheme="minorHAnsi"/>
          <w:szCs w:val="22"/>
        </w:rPr>
        <w:t xml:space="preserve">increase liaison with partner agencies and </w:t>
      </w:r>
      <w:r w:rsidRPr="00D93850">
        <w:rPr>
          <w:rFonts w:asciiTheme="minorHAnsi" w:hAnsiTheme="minorHAnsi"/>
          <w:szCs w:val="22"/>
        </w:rPr>
        <w:t xml:space="preserve">provide </w:t>
      </w:r>
      <w:r>
        <w:rPr>
          <w:rFonts w:asciiTheme="minorHAnsi" w:hAnsiTheme="minorHAnsi"/>
          <w:szCs w:val="22"/>
        </w:rPr>
        <w:t>a focus on prevention and early intervention</w:t>
      </w:r>
      <w:r w:rsidRPr="00D93850">
        <w:rPr>
          <w:rFonts w:asciiTheme="minorHAnsi" w:hAnsiTheme="minorHAnsi"/>
          <w:szCs w:val="22"/>
        </w:rPr>
        <w:t>. ICF funding has been received for this and will align to early intervention models targeting families with specific risk factors including a range of Adverse Childhood Episodes (ACE) and, or evidence of low resilience.</w:t>
      </w:r>
    </w:p>
    <w:p w14:paraId="551F842B" w14:textId="77777777" w:rsidR="00F85ADB" w:rsidRPr="00D93850" w:rsidRDefault="00F85ADB" w:rsidP="004130DD">
      <w:pPr>
        <w:rPr>
          <w:rFonts w:asciiTheme="minorHAnsi" w:hAnsiTheme="minorHAnsi"/>
          <w:szCs w:val="22"/>
        </w:rPr>
      </w:pPr>
    </w:p>
    <w:p w14:paraId="351E4D53" w14:textId="77777777" w:rsidR="00F85ADB" w:rsidRPr="003D0778" w:rsidRDefault="00F85ADB" w:rsidP="004130DD">
      <w:pPr>
        <w:rPr>
          <w:rFonts w:asciiTheme="minorHAnsi" w:hAnsiTheme="minorHAnsi"/>
          <w:szCs w:val="22"/>
        </w:rPr>
      </w:pPr>
      <w:r w:rsidRPr="00D93850">
        <w:rPr>
          <w:rFonts w:asciiTheme="minorHAnsi" w:hAnsiTheme="minorHAnsi"/>
          <w:szCs w:val="22"/>
        </w:rPr>
        <w:t xml:space="preserve">Following the review by the Delivery Unit of the primary CAMH service, significant progress has been made on the areas for improvement the action plan identified.  </w:t>
      </w:r>
      <w:r>
        <w:rPr>
          <w:rFonts w:asciiTheme="minorHAnsi" w:hAnsiTheme="minorHAnsi"/>
          <w:szCs w:val="22"/>
        </w:rPr>
        <w:t xml:space="preserve">It had previously been identified </w:t>
      </w:r>
      <w:r w:rsidRPr="00D93850">
        <w:rPr>
          <w:rFonts w:asciiTheme="minorHAnsi" w:hAnsiTheme="minorHAnsi"/>
          <w:szCs w:val="22"/>
        </w:rPr>
        <w:t xml:space="preserve">that there </w:t>
      </w:r>
      <w:r>
        <w:rPr>
          <w:rFonts w:asciiTheme="minorHAnsi" w:hAnsiTheme="minorHAnsi"/>
          <w:szCs w:val="22"/>
        </w:rPr>
        <w:t xml:space="preserve">was </w:t>
      </w:r>
      <w:r w:rsidRPr="00D93850">
        <w:rPr>
          <w:rFonts w:asciiTheme="minorHAnsi" w:hAnsiTheme="minorHAnsi"/>
          <w:szCs w:val="22"/>
        </w:rPr>
        <w:t>a significant mismatch between the demand on the service and its capacity</w:t>
      </w:r>
      <w:r>
        <w:rPr>
          <w:rFonts w:asciiTheme="minorHAnsi" w:hAnsiTheme="minorHAnsi"/>
          <w:szCs w:val="22"/>
        </w:rPr>
        <w:t xml:space="preserve"> and</w:t>
      </w:r>
      <w:r w:rsidRPr="00D93850">
        <w:rPr>
          <w:rFonts w:asciiTheme="minorHAnsi" w:hAnsiTheme="minorHAnsi"/>
          <w:szCs w:val="22"/>
        </w:rPr>
        <w:t xml:space="preserve"> action taken to increase the staffing </w:t>
      </w:r>
      <w:r>
        <w:rPr>
          <w:rFonts w:asciiTheme="minorHAnsi" w:hAnsiTheme="minorHAnsi"/>
          <w:szCs w:val="22"/>
        </w:rPr>
        <w:t xml:space="preserve">establishment </w:t>
      </w:r>
      <w:r w:rsidRPr="00D93850">
        <w:rPr>
          <w:rFonts w:asciiTheme="minorHAnsi" w:hAnsiTheme="minorHAnsi"/>
          <w:szCs w:val="22"/>
        </w:rPr>
        <w:t>by 50% as a consequence</w:t>
      </w:r>
      <w:r>
        <w:rPr>
          <w:rFonts w:asciiTheme="minorHAnsi" w:hAnsiTheme="minorHAnsi"/>
          <w:szCs w:val="22"/>
        </w:rPr>
        <w:t xml:space="preserve">. The DU review helped to identify where efficiency could be improved within the service to further support increased activity and reduced waiting times. There has also been investment in </w:t>
      </w:r>
      <w:r w:rsidRPr="00D93850">
        <w:rPr>
          <w:rFonts w:asciiTheme="minorHAnsi" w:hAnsiTheme="minorHAnsi"/>
          <w:szCs w:val="22"/>
        </w:rPr>
        <w:t xml:space="preserve">3 </w:t>
      </w:r>
      <w:r>
        <w:rPr>
          <w:rFonts w:asciiTheme="minorHAnsi" w:hAnsiTheme="minorHAnsi"/>
          <w:szCs w:val="22"/>
        </w:rPr>
        <w:t xml:space="preserve">additional posts that will be focused on </w:t>
      </w:r>
      <w:r w:rsidRPr="00D93850">
        <w:rPr>
          <w:rFonts w:asciiTheme="minorHAnsi" w:hAnsiTheme="minorHAnsi"/>
          <w:szCs w:val="22"/>
        </w:rPr>
        <w:t>liais</w:t>
      </w:r>
      <w:r>
        <w:rPr>
          <w:rFonts w:asciiTheme="minorHAnsi" w:hAnsiTheme="minorHAnsi"/>
          <w:szCs w:val="22"/>
        </w:rPr>
        <w:t xml:space="preserve">on work e.g. working </w:t>
      </w:r>
      <w:r w:rsidRPr="00D93850">
        <w:rPr>
          <w:rFonts w:asciiTheme="minorHAnsi" w:hAnsiTheme="minorHAnsi"/>
          <w:szCs w:val="22"/>
        </w:rPr>
        <w:t xml:space="preserve">with schools </w:t>
      </w:r>
      <w:r>
        <w:rPr>
          <w:rFonts w:asciiTheme="minorHAnsi" w:hAnsiTheme="minorHAnsi"/>
          <w:szCs w:val="22"/>
        </w:rPr>
        <w:t>to focus on prevention and early intervention</w:t>
      </w:r>
      <w:r w:rsidRPr="00D93850">
        <w:rPr>
          <w:rFonts w:asciiTheme="minorHAnsi" w:hAnsiTheme="minorHAnsi"/>
          <w:szCs w:val="22"/>
        </w:rPr>
        <w:t xml:space="preserve">.  </w:t>
      </w:r>
      <w:r>
        <w:rPr>
          <w:rFonts w:asciiTheme="minorHAnsi" w:hAnsiTheme="minorHAnsi"/>
          <w:szCs w:val="22"/>
        </w:rPr>
        <w:t>A trajectory has been developed for PCAMHS to meet the referral to assessment waiting time target by the end of 2019/20</w:t>
      </w:r>
      <w:r w:rsidRPr="00D93850">
        <w:rPr>
          <w:rFonts w:asciiTheme="minorHAnsi" w:hAnsiTheme="minorHAnsi"/>
          <w:szCs w:val="22"/>
        </w:rPr>
        <w:t>.</w:t>
      </w:r>
      <w:r>
        <w:rPr>
          <w:rFonts w:asciiTheme="minorHAnsi" w:hAnsiTheme="minorHAnsi"/>
          <w:szCs w:val="22"/>
        </w:rPr>
        <w:t xml:space="preserve"> </w:t>
      </w:r>
    </w:p>
    <w:p w14:paraId="6689429D" w14:textId="77777777" w:rsidR="00F85ADB" w:rsidRPr="003D0778" w:rsidRDefault="00F85ADB" w:rsidP="004130DD">
      <w:pPr>
        <w:rPr>
          <w:rFonts w:asciiTheme="minorHAnsi" w:hAnsiTheme="minorHAnsi"/>
          <w:szCs w:val="22"/>
        </w:rPr>
      </w:pPr>
    </w:p>
    <w:p w14:paraId="3ACD7C98" w14:textId="77777777" w:rsidR="00F85ADB" w:rsidRPr="003D0778" w:rsidRDefault="00F85ADB" w:rsidP="004130DD">
      <w:pPr>
        <w:rPr>
          <w:rFonts w:asciiTheme="minorHAnsi" w:hAnsiTheme="minorHAnsi"/>
          <w:szCs w:val="22"/>
        </w:rPr>
      </w:pPr>
      <w:r>
        <w:rPr>
          <w:rFonts w:asciiTheme="minorHAnsi" w:hAnsiTheme="minorHAnsi"/>
          <w:szCs w:val="22"/>
        </w:rPr>
        <w:t>T</w:t>
      </w:r>
      <w:r w:rsidRPr="003D0778">
        <w:rPr>
          <w:rFonts w:asciiTheme="minorHAnsi" w:hAnsiTheme="minorHAnsi"/>
          <w:szCs w:val="22"/>
        </w:rPr>
        <w:t xml:space="preserve">he specialist CAMHS has continued the process of aligning its services more consistently to provide a psychological therapies service to young people/families via the adoption of the Choice and Partnership Approach (CAPA).  The CAPA model emphasises quality, the provision of focused therapeutic input and evidence informed interventions.  It also provides a clear picture of demand and capacity so that the Directorate can work towards ensuring that the service is delivering to its’ maximum and that </w:t>
      </w:r>
      <w:r>
        <w:rPr>
          <w:rFonts w:asciiTheme="minorHAnsi" w:hAnsiTheme="minorHAnsi"/>
          <w:szCs w:val="22"/>
        </w:rPr>
        <w:t>demand and capacity are balanced</w:t>
      </w:r>
      <w:r w:rsidRPr="003D0778">
        <w:rPr>
          <w:rFonts w:asciiTheme="minorHAnsi" w:hAnsiTheme="minorHAnsi"/>
          <w:szCs w:val="22"/>
        </w:rPr>
        <w:t>.</w:t>
      </w:r>
    </w:p>
    <w:p w14:paraId="78319AD9" w14:textId="77777777" w:rsidR="00F85ADB" w:rsidRPr="003D0778" w:rsidRDefault="00F85ADB" w:rsidP="004130DD">
      <w:pPr>
        <w:rPr>
          <w:rFonts w:asciiTheme="minorHAnsi" w:hAnsiTheme="minorHAnsi"/>
          <w:szCs w:val="22"/>
        </w:rPr>
      </w:pPr>
    </w:p>
    <w:p w14:paraId="220E698D" w14:textId="77777777" w:rsidR="00F85ADB" w:rsidRDefault="00F85ADB" w:rsidP="004130DD">
      <w:pPr>
        <w:rPr>
          <w:rFonts w:asciiTheme="minorHAnsi" w:hAnsiTheme="minorHAnsi"/>
          <w:szCs w:val="22"/>
        </w:rPr>
      </w:pPr>
      <w:r w:rsidRPr="003D0778">
        <w:rPr>
          <w:rFonts w:asciiTheme="minorHAnsi" w:hAnsiTheme="minorHAnsi"/>
          <w:szCs w:val="22"/>
        </w:rPr>
        <w:t xml:space="preserve">Supported by this approach, the service has secured additional funding from WG to </w:t>
      </w:r>
      <w:r>
        <w:rPr>
          <w:rFonts w:asciiTheme="minorHAnsi" w:hAnsiTheme="minorHAnsi"/>
          <w:szCs w:val="22"/>
        </w:rPr>
        <w:t xml:space="preserve">recruit the staff required to recurrently </w:t>
      </w:r>
      <w:r w:rsidRPr="003D0778">
        <w:rPr>
          <w:rFonts w:asciiTheme="minorHAnsi" w:hAnsiTheme="minorHAnsi"/>
          <w:szCs w:val="22"/>
        </w:rPr>
        <w:t xml:space="preserve">meet the 80% target </w:t>
      </w:r>
      <w:r>
        <w:rPr>
          <w:rFonts w:asciiTheme="minorHAnsi" w:hAnsiTheme="minorHAnsi"/>
          <w:szCs w:val="22"/>
        </w:rPr>
        <w:t>for referral to assessment, with the funding currently being used to deliver additional clinics to sustain compliance in the meantime</w:t>
      </w:r>
      <w:r w:rsidRPr="003D0778">
        <w:rPr>
          <w:rFonts w:asciiTheme="minorHAnsi" w:hAnsiTheme="minorHAnsi"/>
          <w:szCs w:val="22"/>
        </w:rPr>
        <w:t xml:space="preserve">.  </w:t>
      </w:r>
      <w:r>
        <w:rPr>
          <w:rFonts w:asciiTheme="minorHAnsi" w:hAnsiTheme="minorHAnsi"/>
          <w:szCs w:val="22"/>
        </w:rPr>
        <w:t>This target was and continues to be achieved.  Further work has commenced to ensure that this continues to be sustainable with the recruitment of 3.3 WTE staff and waiting list initiative clinics being undertaken.</w:t>
      </w:r>
    </w:p>
    <w:p w14:paraId="1DF3FD4C" w14:textId="77777777" w:rsidR="00F85ADB" w:rsidRDefault="00F85ADB" w:rsidP="004130DD">
      <w:pPr>
        <w:rPr>
          <w:rFonts w:asciiTheme="minorHAnsi" w:hAnsiTheme="minorHAnsi"/>
          <w:szCs w:val="22"/>
        </w:rPr>
      </w:pPr>
    </w:p>
    <w:p w14:paraId="3449137E" w14:textId="77777777" w:rsidR="00F85ADB" w:rsidRDefault="00F85ADB" w:rsidP="004130DD">
      <w:pPr>
        <w:rPr>
          <w:rFonts w:asciiTheme="minorHAnsi" w:hAnsiTheme="minorHAnsi"/>
          <w:szCs w:val="22"/>
        </w:rPr>
      </w:pPr>
      <w:r w:rsidRPr="003D0778">
        <w:rPr>
          <w:rFonts w:asciiTheme="minorHAnsi" w:hAnsiTheme="minorHAnsi"/>
          <w:szCs w:val="22"/>
        </w:rPr>
        <w:t xml:space="preserve">Alongside the introduction of CAPA, we have introduced the new All Wales referral criteria and </w:t>
      </w:r>
      <w:r>
        <w:rPr>
          <w:rFonts w:asciiTheme="minorHAnsi" w:hAnsiTheme="minorHAnsi"/>
          <w:szCs w:val="22"/>
        </w:rPr>
        <w:t xml:space="preserve">a </w:t>
      </w:r>
      <w:r w:rsidRPr="003D0778">
        <w:rPr>
          <w:rFonts w:asciiTheme="minorHAnsi" w:hAnsiTheme="minorHAnsi"/>
          <w:szCs w:val="22"/>
        </w:rPr>
        <w:t xml:space="preserve">single point of access </w:t>
      </w:r>
      <w:r>
        <w:rPr>
          <w:rFonts w:asciiTheme="minorHAnsi" w:hAnsiTheme="minorHAnsi"/>
          <w:szCs w:val="22"/>
        </w:rPr>
        <w:t xml:space="preserve">through which all PCAMHS and SCAMHS referrals are assessed, to ensure that </w:t>
      </w:r>
      <w:r w:rsidRPr="003D0778">
        <w:rPr>
          <w:rFonts w:asciiTheme="minorHAnsi" w:hAnsiTheme="minorHAnsi"/>
          <w:szCs w:val="22"/>
        </w:rPr>
        <w:t xml:space="preserve">children </w:t>
      </w:r>
      <w:r>
        <w:rPr>
          <w:rFonts w:asciiTheme="minorHAnsi" w:hAnsiTheme="minorHAnsi"/>
          <w:szCs w:val="22"/>
        </w:rPr>
        <w:t xml:space="preserve">are actively managed </w:t>
      </w:r>
      <w:r w:rsidRPr="003D0778">
        <w:rPr>
          <w:rFonts w:asciiTheme="minorHAnsi" w:hAnsiTheme="minorHAnsi"/>
          <w:szCs w:val="22"/>
        </w:rPr>
        <w:t xml:space="preserve">into the right services in a timely manner.  The service has also embarked on a programme of up-skilling staff so that the appropriate interventions can be offered using the qualified therapists in post to provide quality consultation.  </w:t>
      </w:r>
    </w:p>
    <w:p w14:paraId="727D9C2A" w14:textId="77777777" w:rsidR="00F85ADB" w:rsidRPr="003D0778" w:rsidRDefault="00F85ADB" w:rsidP="004130DD">
      <w:pPr>
        <w:rPr>
          <w:rFonts w:asciiTheme="minorHAnsi" w:hAnsiTheme="minorHAnsi"/>
          <w:szCs w:val="22"/>
        </w:rPr>
      </w:pPr>
    </w:p>
    <w:p w14:paraId="57DCFDD4" w14:textId="77777777" w:rsidR="00F85ADB" w:rsidRDefault="00F85ADB" w:rsidP="004130DD">
      <w:pPr>
        <w:rPr>
          <w:rFonts w:asciiTheme="minorHAnsi" w:hAnsiTheme="minorHAnsi"/>
          <w:szCs w:val="22"/>
        </w:rPr>
      </w:pPr>
      <w:r w:rsidRPr="003D0778">
        <w:rPr>
          <w:rFonts w:asciiTheme="minorHAnsi" w:hAnsiTheme="minorHAnsi"/>
          <w:szCs w:val="22"/>
        </w:rPr>
        <w:t>The Health Board in conjunction with WHSCC is reviewing the commissioning service specification for the Tier 4 service provided at Ty Llidiard</w:t>
      </w:r>
      <w:r>
        <w:rPr>
          <w:rFonts w:asciiTheme="minorHAnsi" w:hAnsiTheme="minorHAnsi"/>
          <w:szCs w:val="22"/>
        </w:rPr>
        <w:t xml:space="preserve"> and a revised draft has recently been circulated by WHSSC for consultation</w:t>
      </w:r>
      <w:r w:rsidRPr="003D0778">
        <w:rPr>
          <w:rFonts w:asciiTheme="minorHAnsi" w:hAnsiTheme="minorHAnsi"/>
          <w:szCs w:val="22"/>
        </w:rPr>
        <w:t xml:space="preserve">.  Following </w:t>
      </w:r>
      <w:r>
        <w:rPr>
          <w:rFonts w:asciiTheme="minorHAnsi" w:hAnsiTheme="minorHAnsi"/>
          <w:szCs w:val="22"/>
        </w:rPr>
        <w:t xml:space="preserve">previous </w:t>
      </w:r>
      <w:r w:rsidRPr="003D0778">
        <w:rPr>
          <w:rFonts w:asciiTheme="minorHAnsi" w:hAnsiTheme="minorHAnsi"/>
          <w:szCs w:val="22"/>
        </w:rPr>
        <w:t>serious incidents and review</w:t>
      </w:r>
      <w:r>
        <w:rPr>
          <w:rFonts w:asciiTheme="minorHAnsi" w:hAnsiTheme="minorHAnsi"/>
          <w:szCs w:val="22"/>
        </w:rPr>
        <w:t>s</w:t>
      </w:r>
      <w:r w:rsidRPr="003D0778">
        <w:rPr>
          <w:rFonts w:asciiTheme="minorHAnsi" w:hAnsiTheme="minorHAnsi"/>
          <w:szCs w:val="22"/>
        </w:rPr>
        <w:t xml:space="preserve"> from QUAIT and HIW,</w:t>
      </w:r>
      <w:r>
        <w:rPr>
          <w:rFonts w:asciiTheme="minorHAnsi" w:hAnsiTheme="minorHAnsi"/>
          <w:szCs w:val="22"/>
        </w:rPr>
        <w:t xml:space="preserve"> a detailed action plan was</w:t>
      </w:r>
      <w:r w:rsidRPr="003D0778">
        <w:rPr>
          <w:rFonts w:asciiTheme="minorHAnsi" w:hAnsiTheme="minorHAnsi"/>
          <w:szCs w:val="22"/>
        </w:rPr>
        <w:t xml:space="preserve"> developed</w:t>
      </w:r>
      <w:r>
        <w:rPr>
          <w:rFonts w:asciiTheme="minorHAnsi" w:hAnsiTheme="minorHAnsi"/>
          <w:szCs w:val="22"/>
        </w:rPr>
        <w:t xml:space="preserve"> and significant progress has been made in implementing this, as reflected in the 2019 HIW inspection report. Further, a number of environmental upgrades such as security and anti- ligature work has been completed and this </w:t>
      </w:r>
      <w:r w:rsidRPr="003D0778">
        <w:rPr>
          <w:rFonts w:asciiTheme="minorHAnsi" w:hAnsiTheme="minorHAnsi"/>
          <w:szCs w:val="22"/>
        </w:rPr>
        <w:t xml:space="preserve">will </w:t>
      </w:r>
      <w:r>
        <w:rPr>
          <w:rFonts w:asciiTheme="minorHAnsi" w:hAnsiTheme="minorHAnsi"/>
          <w:szCs w:val="22"/>
        </w:rPr>
        <w:t xml:space="preserve">ensure </w:t>
      </w:r>
      <w:r w:rsidRPr="003D0778">
        <w:rPr>
          <w:rFonts w:asciiTheme="minorHAnsi" w:hAnsiTheme="minorHAnsi"/>
          <w:szCs w:val="22"/>
        </w:rPr>
        <w:t xml:space="preserve">an </w:t>
      </w:r>
      <w:r>
        <w:rPr>
          <w:rFonts w:asciiTheme="minorHAnsi" w:hAnsiTheme="minorHAnsi"/>
          <w:szCs w:val="22"/>
        </w:rPr>
        <w:t xml:space="preserve">appropriate </w:t>
      </w:r>
      <w:r w:rsidRPr="003D0778">
        <w:rPr>
          <w:rFonts w:asciiTheme="minorHAnsi" w:hAnsiTheme="minorHAnsi"/>
          <w:szCs w:val="22"/>
        </w:rPr>
        <w:t xml:space="preserve">environment that can safely manage children with more challenging needs at Ty </w:t>
      </w:r>
      <w:r>
        <w:rPr>
          <w:rFonts w:asciiTheme="minorHAnsi" w:hAnsiTheme="minorHAnsi"/>
          <w:szCs w:val="22"/>
        </w:rPr>
        <w:t xml:space="preserve">Llidiard.  Linked to this and as described above, WHSCC have recently consulted on a revised service specification for tier 4 inpatient CAMHS services incorporating a specification for the development of an Enhanced Care Area within Ty Llidiard. </w:t>
      </w:r>
    </w:p>
    <w:p w14:paraId="5402908C" w14:textId="77777777" w:rsidR="00F85ADB" w:rsidRPr="003D0778" w:rsidRDefault="00F85ADB" w:rsidP="004130DD">
      <w:pPr>
        <w:rPr>
          <w:rFonts w:asciiTheme="minorHAnsi" w:hAnsiTheme="minorHAnsi"/>
          <w:szCs w:val="22"/>
        </w:rPr>
      </w:pPr>
    </w:p>
    <w:p w14:paraId="01701F3C" w14:textId="77777777" w:rsidR="00F85ADB" w:rsidRDefault="00F85ADB" w:rsidP="004130DD">
      <w:pPr>
        <w:rPr>
          <w:rFonts w:asciiTheme="minorHAnsi" w:hAnsiTheme="minorHAnsi"/>
          <w:szCs w:val="22"/>
        </w:rPr>
      </w:pPr>
      <w:r w:rsidRPr="003D0778">
        <w:rPr>
          <w:rFonts w:asciiTheme="minorHAnsi" w:hAnsiTheme="minorHAnsi"/>
          <w:szCs w:val="22"/>
        </w:rPr>
        <w:t xml:space="preserve">As part of the integration of CAMHS with CYP new ways of working and greater collaboration, at all levels of services, all possible opportunities are being explored, including collaborative approaches with our local partners.  This includes our commissioning intentions with our </w:t>
      </w:r>
      <w:r>
        <w:rPr>
          <w:rFonts w:asciiTheme="minorHAnsi" w:hAnsiTheme="minorHAnsi"/>
          <w:szCs w:val="22"/>
        </w:rPr>
        <w:t xml:space="preserve">Local Authority colleagues </w:t>
      </w:r>
      <w:r w:rsidRPr="003D0778">
        <w:rPr>
          <w:rFonts w:asciiTheme="minorHAnsi" w:hAnsiTheme="minorHAnsi"/>
          <w:szCs w:val="22"/>
        </w:rPr>
        <w:t>such</w:t>
      </w:r>
      <w:r>
        <w:rPr>
          <w:rFonts w:asciiTheme="minorHAnsi" w:hAnsiTheme="minorHAnsi"/>
          <w:szCs w:val="22"/>
        </w:rPr>
        <w:t xml:space="preserve"> as the </w:t>
      </w:r>
      <w:r w:rsidRPr="00521F14">
        <w:rPr>
          <w:rFonts w:asciiTheme="minorHAnsi" w:hAnsiTheme="minorHAnsi"/>
          <w:szCs w:val="22"/>
        </w:rPr>
        <w:t>MAPSS project funded through Welsh Government ICF.</w:t>
      </w:r>
      <w:r>
        <w:rPr>
          <w:rFonts w:asciiTheme="minorHAnsi" w:hAnsiTheme="minorHAnsi"/>
          <w:szCs w:val="22"/>
        </w:rPr>
        <w:t xml:space="preserve"> </w:t>
      </w:r>
      <w:r w:rsidRPr="00521F14">
        <w:rPr>
          <w:rFonts w:asciiTheme="minorHAnsi" w:hAnsiTheme="minorHAnsi"/>
          <w:szCs w:val="22"/>
        </w:rPr>
        <w:t>The service aims to help Looked after</w:t>
      </w:r>
      <w:r>
        <w:rPr>
          <w:rFonts w:asciiTheme="minorHAnsi" w:hAnsiTheme="minorHAnsi"/>
          <w:szCs w:val="22"/>
        </w:rPr>
        <w:t xml:space="preserve"> Children at risk of </w:t>
      </w:r>
      <w:r w:rsidRPr="00521F14">
        <w:rPr>
          <w:rFonts w:asciiTheme="minorHAnsi" w:hAnsiTheme="minorHAnsi"/>
          <w:szCs w:val="22"/>
        </w:rPr>
        <w:t xml:space="preserve">mental illness </w:t>
      </w:r>
      <w:r>
        <w:rPr>
          <w:rFonts w:asciiTheme="minorHAnsi" w:hAnsiTheme="minorHAnsi"/>
          <w:szCs w:val="22"/>
        </w:rPr>
        <w:t>or</w:t>
      </w:r>
      <w:r w:rsidRPr="00521F14">
        <w:rPr>
          <w:rFonts w:asciiTheme="minorHAnsi" w:hAnsiTheme="minorHAnsi"/>
          <w:szCs w:val="22"/>
        </w:rPr>
        <w:t xml:space="preserve"> emotional and behavioural difficulties by providing specialist placement support.</w:t>
      </w:r>
    </w:p>
    <w:p w14:paraId="634EAFEB" w14:textId="0248317A" w:rsidR="00A1335B" w:rsidRDefault="00F85ADB" w:rsidP="004130DD">
      <w:pPr>
        <w:rPr>
          <w:rFonts w:asciiTheme="minorHAnsi" w:hAnsiTheme="minorHAnsi"/>
          <w:color w:val="000000" w:themeColor="text1"/>
          <w:szCs w:val="22"/>
        </w:rPr>
      </w:pPr>
      <w:r>
        <w:rPr>
          <w:rFonts w:asciiTheme="minorHAnsi" w:hAnsiTheme="minorHAnsi"/>
          <w:szCs w:val="22"/>
        </w:rPr>
        <w:t xml:space="preserve">We are also seeking to </w:t>
      </w:r>
      <w:r w:rsidRPr="00F85ADB">
        <w:rPr>
          <w:rFonts w:asciiTheme="minorHAnsi" w:hAnsiTheme="minorHAnsi"/>
          <w:color w:val="000000" w:themeColor="text1"/>
          <w:szCs w:val="22"/>
        </w:rPr>
        <w:t>employ 1 WTE CAMHS consultant nurse as a way of managing medical workforce pressures via a robust governance framework. This will allow medics to allocate clinical activity and free capacity, whilst also empowering Nursing.</w:t>
      </w:r>
    </w:p>
    <w:p w14:paraId="4CB5438D" w14:textId="68C1B954" w:rsidR="00F85ADB" w:rsidRDefault="004130DD" w:rsidP="00F85ADB">
      <w:pPr>
        <w:jc w:val="left"/>
        <w:rPr>
          <w:rFonts w:asciiTheme="minorHAnsi" w:hAnsiTheme="minorHAnsi"/>
          <w:b/>
          <w:szCs w:val="22"/>
        </w:rPr>
      </w:pPr>
      <w:r>
        <w:rPr>
          <w:rFonts w:asciiTheme="minorHAnsi" w:hAnsiTheme="minorHAnsi"/>
          <w:bCs/>
          <w:noProof/>
        </w:rPr>
        <w:lastRenderedPageBreak/>
        <mc:AlternateContent>
          <mc:Choice Requires="wps">
            <w:drawing>
              <wp:anchor distT="0" distB="0" distL="114300" distR="114300" simplePos="0" relativeHeight="252808192" behindDoc="1" locked="0" layoutInCell="1" allowOverlap="1" wp14:anchorId="683F51DA" wp14:editId="42A4EBD7">
                <wp:simplePos x="0" y="0"/>
                <wp:positionH relativeFrom="page">
                  <wp:posOffset>544286</wp:posOffset>
                </wp:positionH>
                <wp:positionV relativeFrom="paragraph">
                  <wp:posOffset>62774</wp:posOffset>
                </wp:positionV>
                <wp:extent cx="6738166" cy="696595"/>
                <wp:effectExtent l="0" t="38100" r="43815" b="65405"/>
                <wp:wrapNone/>
                <wp:docPr id="42" name="Right Arrow 42"/>
                <wp:cNvGraphicFramePr/>
                <a:graphic xmlns:a="http://schemas.openxmlformats.org/drawingml/2006/main">
                  <a:graphicData uri="http://schemas.microsoft.com/office/word/2010/wordprocessingShape">
                    <wps:wsp>
                      <wps:cNvSpPr/>
                      <wps:spPr>
                        <a:xfrm>
                          <a:off x="0" y="0"/>
                          <a:ext cx="6738166" cy="696595"/>
                        </a:xfrm>
                        <a:prstGeom prst="rightArrow">
                          <a:avLst>
                            <a:gd name="adj1" fmla="val 50000"/>
                            <a:gd name="adj2" fmla="val 29881"/>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DEAD3A" id="Right Arrow 42" o:spid="_x0000_s1026" type="#_x0000_t13" style="position:absolute;margin-left:42.85pt;margin-top:4.95pt;width:530.55pt;height:54.85pt;z-index:-250508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" adj="20933" fillcolor="#eaf1dd [662]" strokecolor="#76923c [2406]" strokeweight="2pt">
                <w10:wrap anchorx="page"/>
              </v:shape>
            </w:pict>
          </mc:Fallback>
        </mc:AlternateContent>
      </w:r>
      <w:r w:rsidR="00F85ADB" w:rsidRPr="008769A1">
        <w:rPr>
          <w:rFonts w:asciiTheme="minorHAnsi" w:hAnsiTheme="minorHAnsi"/>
          <w:b/>
          <w:szCs w:val="22"/>
        </w:rPr>
        <w:t xml:space="preserve">Milestones </w:t>
      </w:r>
    </w:p>
    <w:p w14:paraId="60ED4433" w14:textId="61F1CFCD" w:rsidR="00F85ADB" w:rsidRPr="008769A1" w:rsidRDefault="00F85ADB" w:rsidP="00F85ADB">
      <w:pPr>
        <w:jc w:val="left"/>
        <w:rPr>
          <w:rFonts w:asciiTheme="minorHAnsi" w:hAnsiTheme="minorHAnsi"/>
          <w:b/>
          <w:szCs w:val="22"/>
        </w:rPr>
      </w:pPr>
    </w:p>
    <w:tbl>
      <w:tblPr>
        <w:tblStyle w:val="TableGrid"/>
        <w:tblW w:w="10065" w:type="dxa"/>
        <w:tblInd w:w="-5" w:type="dxa"/>
        <w:tblLook w:val="04A0" w:firstRow="1" w:lastRow="0" w:firstColumn="1" w:lastColumn="0" w:noHBand="0" w:noVBand="1"/>
      </w:tblPr>
      <w:tblGrid>
        <w:gridCol w:w="4395"/>
        <w:gridCol w:w="3685"/>
        <w:gridCol w:w="1985"/>
      </w:tblGrid>
      <w:tr w:rsidR="00F85ADB" w14:paraId="46DCA031" w14:textId="77777777" w:rsidTr="0098336B">
        <w:trPr>
          <w:trHeight w:val="3339"/>
        </w:trPr>
        <w:tc>
          <w:tcPr>
            <w:tcW w:w="4395" w:type="dxa"/>
          </w:tcPr>
          <w:p w14:paraId="095E396A" w14:textId="77777777" w:rsidR="00F85ADB" w:rsidRPr="00F85ADB" w:rsidRDefault="00F85ADB" w:rsidP="00E02C36">
            <w:pPr>
              <w:jc w:val="center"/>
              <w:rPr>
                <w:rFonts w:asciiTheme="minorHAnsi" w:hAnsiTheme="minorHAnsi"/>
                <w:b/>
                <w:bCs/>
              </w:rPr>
            </w:pPr>
            <w:r w:rsidRPr="00F85ADB">
              <w:rPr>
                <w:rFonts w:asciiTheme="minorHAnsi" w:hAnsiTheme="minorHAnsi"/>
                <w:b/>
                <w:bCs/>
              </w:rPr>
              <w:t>Year 1</w:t>
            </w:r>
          </w:p>
          <w:p w14:paraId="798FF0C9" w14:textId="77777777" w:rsidR="00F85ADB" w:rsidRDefault="00F85ADB" w:rsidP="00E02C36">
            <w:pPr>
              <w:jc w:val="left"/>
              <w:rPr>
                <w:rFonts w:asciiTheme="minorHAnsi" w:hAnsiTheme="minorHAnsi"/>
                <w:b/>
                <w:bCs/>
              </w:rPr>
            </w:pPr>
          </w:p>
          <w:p w14:paraId="7ECD45A9" w14:textId="77777777" w:rsidR="00F85ADB" w:rsidRPr="00317EF3" w:rsidRDefault="00F85ADB" w:rsidP="00E02C36">
            <w:pPr>
              <w:jc w:val="left"/>
              <w:rPr>
                <w:rFonts w:asciiTheme="minorHAnsi" w:hAnsiTheme="minorHAnsi"/>
                <w:bCs/>
              </w:rPr>
            </w:pPr>
            <w:r w:rsidRPr="00317EF3">
              <w:rPr>
                <w:rFonts w:asciiTheme="minorHAnsi" w:hAnsiTheme="minorHAnsi"/>
                <w:b/>
                <w:bCs/>
              </w:rPr>
              <w:t>Q1:</w:t>
            </w:r>
            <w:r w:rsidRPr="00317EF3">
              <w:rPr>
                <w:rFonts w:asciiTheme="minorHAnsi" w:hAnsiTheme="minorHAnsi"/>
                <w:bCs/>
              </w:rPr>
              <w:t xml:space="preserve"> Implement ICF funded early intervention model </w:t>
            </w:r>
          </w:p>
          <w:p w14:paraId="23F66067" w14:textId="77777777" w:rsidR="00F85ADB" w:rsidRPr="00317EF3" w:rsidRDefault="00F85ADB" w:rsidP="00E02C36">
            <w:pPr>
              <w:jc w:val="left"/>
              <w:rPr>
                <w:rFonts w:asciiTheme="minorHAnsi" w:hAnsiTheme="minorHAnsi"/>
                <w:bCs/>
              </w:rPr>
            </w:pPr>
            <w:r w:rsidRPr="00317EF3">
              <w:rPr>
                <w:rFonts w:asciiTheme="minorHAnsi" w:hAnsiTheme="minorHAnsi"/>
                <w:b/>
                <w:bCs/>
              </w:rPr>
              <w:t>Q1:</w:t>
            </w:r>
            <w:r w:rsidRPr="00317EF3">
              <w:rPr>
                <w:rFonts w:asciiTheme="minorHAnsi" w:hAnsiTheme="minorHAnsi"/>
                <w:bCs/>
              </w:rPr>
              <w:t xml:space="preserve"> Advertise and recruit CAMHS Consultant Nurse</w:t>
            </w:r>
          </w:p>
          <w:p w14:paraId="3DDD1A92" w14:textId="77777777" w:rsidR="00F85ADB" w:rsidRPr="00317EF3" w:rsidRDefault="00F85ADB" w:rsidP="00E02C36">
            <w:pPr>
              <w:jc w:val="left"/>
              <w:rPr>
                <w:rFonts w:asciiTheme="minorHAnsi" w:hAnsiTheme="minorHAnsi"/>
                <w:bCs/>
              </w:rPr>
            </w:pPr>
            <w:r w:rsidRPr="00317EF3">
              <w:rPr>
                <w:rFonts w:asciiTheme="minorHAnsi" w:hAnsiTheme="minorHAnsi"/>
                <w:b/>
                <w:bCs/>
              </w:rPr>
              <w:t>Q1:</w:t>
            </w:r>
            <w:r w:rsidRPr="00317EF3">
              <w:rPr>
                <w:rFonts w:asciiTheme="minorHAnsi" w:hAnsiTheme="minorHAnsi"/>
                <w:bCs/>
              </w:rPr>
              <w:t xml:space="preserve"> Recruitment of 3 addition posts for PCAMHS </w:t>
            </w:r>
          </w:p>
          <w:p w14:paraId="665133FF" w14:textId="77777777" w:rsidR="00F85ADB" w:rsidRPr="00317EF3" w:rsidRDefault="00F85ADB" w:rsidP="00E02C36">
            <w:pPr>
              <w:jc w:val="left"/>
              <w:rPr>
                <w:rFonts w:asciiTheme="minorHAnsi" w:hAnsiTheme="minorHAnsi"/>
                <w:bCs/>
              </w:rPr>
            </w:pPr>
            <w:r w:rsidRPr="00317EF3">
              <w:rPr>
                <w:rFonts w:asciiTheme="minorHAnsi" w:hAnsiTheme="minorHAnsi"/>
                <w:b/>
                <w:bCs/>
              </w:rPr>
              <w:t>Q1-4:</w:t>
            </w:r>
            <w:r w:rsidRPr="00317EF3">
              <w:rPr>
                <w:rFonts w:asciiTheme="minorHAnsi" w:hAnsiTheme="minorHAnsi"/>
                <w:bCs/>
              </w:rPr>
              <w:t xml:space="preserve"> Further alignment of SCAMHS with CAPA</w:t>
            </w:r>
          </w:p>
          <w:p w14:paraId="54449920" w14:textId="77777777" w:rsidR="00F85ADB" w:rsidRPr="00317EF3" w:rsidRDefault="00F85ADB" w:rsidP="00E02C36">
            <w:pPr>
              <w:jc w:val="left"/>
              <w:rPr>
                <w:rFonts w:asciiTheme="minorHAnsi" w:hAnsiTheme="minorHAnsi"/>
                <w:bCs/>
              </w:rPr>
            </w:pPr>
            <w:r w:rsidRPr="00317EF3">
              <w:rPr>
                <w:rFonts w:asciiTheme="minorHAnsi" w:hAnsiTheme="minorHAnsi"/>
                <w:b/>
                <w:bCs/>
              </w:rPr>
              <w:t>Q2</w:t>
            </w:r>
            <w:r w:rsidRPr="00317EF3">
              <w:rPr>
                <w:rFonts w:asciiTheme="minorHAnsi" w:hAnsiTheme="minorHAnsi"/>
                <w:bCs/>
              </w:rPr>
              <w:t xml:space="preserve">:Model for MAPPS project confirmed </w:t>
            </w:r>
          </w:p>
          <w:p w14:paraId="66B33225" w14:textId="77777777" w:rsidR="00F85ADB" w:rsidRPr="00317EF3" w:rsidRDefault="00F85ADB" w:rsidP="00E02C36">
            <w:pPr>
              <w:jc w:val="left"/>
              <w:rPr>
                <w:rFonts w:asciiTheme="minorHAnsi" w:hAnsiTheme="minorHAnsi"/>
                <w:bCs/>
              </w:rPr>
            </w:pPr>
            <w:r w:rsidRPr="00317EF3">
              <w:rPr>
                <w:rFonts w:asciiTheme="minorHAnsi" w:hAnsiTheme="minorHAnsi"/>
                <w:b/>
                <w:bCs/>
              </w:rPr>
              <w:t>Q2:</w:t>
            </w:r>
            <w:r w:rsidRPr="00317EF3">
              <w:rPr>
                <w:rFonts w:asciiTheme="minorHAnsi" w:hAnsiTheme="minorHAnsi"/>
                <w:bCs/>
              </w:rPr>
              <w:t xml:space="preserve"> Upskilling of qualified therapists working in </w:t>
            </w:r>
          </w:p>
          <w:p w14:paraId="0397A743" w14:textId="77777777" w:rsidR="00F85ADB" w:rsidRPr="00317EF3" w:rsidRDefault="00F85ADB" w:rsidP="00E02C36">
            <w:pPr>
              <w:jc w:val="left"/>
              <w:rPr>
                <w:rFonts w:asciiTheme="minorHAnsi" w:hAnsiTheme="minorHAnsi"/>
                <w:bCs/>
              </w:rPr>
            </w:pPr>
            <w:r w:rsidRPr="00317EF3">
              <w:rPr>
                <w:rFonts w:asciiTheme="minorHAnsi" w:hAnsiTheme="minorHAnsi"/>
                <w:bCs/>
              </w:rPr>
              <w:t xml:space="preserve">PCAMHS/SCAMHS to provide consultations </w:t>
            </w:r>
          </w:p>
          <w:p w14:paraId="6BF86571" w14:textId="77777777" w:rsidR="00F85ADB" w:rsidRPr="00317EF3" w:rsidRDefault="00F85ADB" w:rsidP="00E02C36">
            <w:pPr>
              <w:jc w:val="left"/>
              <w:rPr>
                <w:rFonts w:asciiTheme="minorHAnsi" w:hAnsiTheme="minorHAnsi"/>
                <w:bCs/>
              </w:rPr>
            </w:pPr>
            <w:r w:rsidRPr="00317EF3">
              <w:rPr>
                <w:rFonts w:asciiTheme="minorHAnsi" w:hAnsiTheme="minorHAnsi"/>
                <w:b/>
                <w:bCs/>
              </w:rPr>
              <w:t>Q3:</w:t>
            </w:r>
            <w:r w:rsidRPr="00317EF3">
              <w:rPr>
                <w:rFonts w:asciiTheme="minorHAnsi" w:hAnsiTheme="minorHAnsi"/>
                <w:bCs/>
              </w:rPr>
              <w:t xml:space="preserve"> Outcome of  WHSCC consultation on revised Tier 4 inpatient service – Enhanced Care Area in Ty Llidiard </w:t>
            </w:r>
          </w:p>
          <w:p w14:paraId="3358916B" w14:textId="77777777" w:rsidR="00F85ADB" w:rsidRPr="00317EF3" w:rsidRDefault="00F85ADB" w:rsidP="00E02C36">
            <w:pPr>
              <w:jc w:val="left"/>
              <w:rPr>
                <w:rFonts w:asciiTheme="minorHAnsi" w:hAnsiTheme="minorHAnsi"/>
                <w:bCs/>
              </w:rPr>
            </w:pPr>
            <w:r w:rsidRPr="00317EF3">
              <w:rPr>
                <w:rFonts w:asciiTheme="minorHAnsi" w:hAnsiTheme="minorHAnsi"/>
                <w:b/>
                <w:bCs/>
              </w:rPr>
              <w:t>Q4:</w:t>
            </w:r>
            <w:r w:rsidRPr="00317EF3">
              <w:rPr>
                <w:rFonts w:asciiTheme="minorHAnsi" w:hAnsiTheme="minorHAnsi"/>
                <w:bCs/>
              </w:rPr>
              <w:t xml:space="preserve"> Complete delivery unit action plan for PCAMHS</w:t>
            </w:r>
          </w:p>
          <w:p w14:paraId="67CF88F7" w14:textId="77777777" w:rsidR="00F85ADB" w:rsidRPr="00317EF3" w:rsidRDefault="00F85ADB" w:rsidP="00E02C36">
            <w:pPr>
              <w:jc w:val="left"/>
              <w:rPr>
                <w:rFonts w:asciiTheme="minorHAnsi" w:hAnsiTheme="minorHAnsi"/>
                <w:bCs/>
              </w:rPr>
            </w:pPr>
            <w:r w:rsidRPr="00317EF3">
              <w:rPr>
                <w:rFonts w:asciiTheme="minorHAnsi" w:hAnsiTheme="minorHAnsi"/>
                <w:b/>
                <w:bCs/>
              </w:rPr>
              <w:t>Q4:</w:t>
            </w:r>
            <w:r w:rsidRPr="00317EF3">
              <w:rPr>
                <w:rFonts w:asciiTheme="minorHAnsi" w:hAnsiTheme="minorHAnsi"/>
                <w:bCs/>
              </w:rPr>
              <w:t xml:space="preserve"> SCAMHS 80% target continues to be achieved</w:t>
            </w:r>
          </w:p>
          <w:p w14:paraId="1FC6566E" w14:textId="77777777" w:rsidR="00F85ADB" w:rsidRPr="00317EF3" w:rsidRDefault="00F85ADB" w:rsidP="00E02C36">
            <w:pPr>
              <w:jc w:val="left"/>
              <w:rPr>
                <w:rFonts w:asciiTheme="minorHAnsi" w:hAnsiTheme="minorHAnsi"/>
                <w:bCs/>
              </w:rPr>
            </w:pPr>
            <w:r w:rsidRPr="00317EF3">
              <w:rPr>
                <w:rFonts w:asciiTheme="minorHAnsi" w:hAnsiTheme="minorHAnsi"/>
                <w:b/>
                <w:bCs/>
              </w:rPr>
              <w:t>Q4:</w:t>
            </w:r>
            <w:r w:rsidRPr="00317EF3">
              <w:rPr>
                <w:rFonts w:asciiTheme="minorHAnsi" w:hAnsiTheme="minorHAnsi"/>
                <w:bCs/>
              </w:rPr>
              <w:t xml:space="preserve"> Completion of Ty Llidiard action plan </w:t>
            </w:r>
          </w:p>
        </w:tc>
        <w:tc>
          <w:tcPr>
            <w:tcW w:w="3685" w:type="dxa"/>
          </w:tcPr>
          <w:p w14:paraId="16EE869E" w14:textId="77777777" w:rsidR="00F85ADB" w:rsidRPr="00F85ADB" w:rsidRDefault="00F85ADB" w:rsidP="00E02C36">
            <w:pPr>
              <w:jc w:val="center"/>
              <w:rPr>
                <w:rFonts w:asciiTheme="minorHAnsi" w:hAnsiTheme="minorHAnsi"/>
                <w:b/>
                <w:bCs/>
              </w:rPr>
            </w:pPr>
            <w:r w:rsidRPr="00F85ADB">
              <w:rPr>
                <w:rFonts w:asciiTheme="minorHAnsi" w:hAnsiTheme="minorHAnsi"/>
                <w:b/>
                <w:bCs/>
              </w:rPr>
              <w:t>Year 2</w:t>
            </w:r>
          </w:p>
          <w:p w14:paraId="221546AF" w14:textId="77777777" w:rsidR="00F85ADB" w:rsidRDefault="00F85ADB" w:rsidP="00E02C36">
            <w:pPr>
              <w:jc w:val="left"/>
              <w:rPr>
                <w:rFonts w:asciiTheme="minorHAnsi" w:hAnsiTheme="minorHAnsi"/>
                <w:b/>
                <w:bCs/>
              </w:rPr>
            </w:pPr>
          </w:p>
          <w:p w14:paraId="57AF07E8" w14:textId="77777777" w:rsidR="00F85ADB" w:rsidRDefault="00F85ADB" w:rsidP="00E02C36">
            <w:pPr>
              <w:jc w:val="left"/>
              <w:rPr>
                <w:rFonts w:asciiTheme="minorHAnsi" w:hAnsiTheme="minorHAnsi"/>
                <w:bCs/>
              </w:rPr>
            </w:pPr>
            <w:r w:rsidRPr="00317EF3">
              <w:rPr>
                <w:rFonts w:asciiTheme="minorHAnsi" w:hAnsiTheme="minorHAnsi"/>
                <w:b/>
                <w:bCs/>
              </w:rPr>
              <w:t>Q1:</w:t>
            </w:r>
            <w:r w:rsidRPr="00317EF3">
              <w:rPr>
                <w:rFonts w:asciiTheme="minorHAnsi" w:hAnsiTheme="minorHAnsi"/>
                <w:bCs/>
              </w:rPr>
              <w:t xml:space="preserve"> Benefits realisation of 3 additional posts for PCAMHS including reduced waiting times</w:t>
            </w:r>
          </w:p>
          <w:p w14:paraId="70CF2512" w14:textId="77777777" w:rsidR="00F85ADB" w:rsidRPr="00317EF3" w:rsidRDefault="00F85ADB" w:rsidP="00E02C36">
            <w:pPr>
              <w:jc w:val="left"/>
              <w:rPr>
                <w:rFonts w:asciiTheme="minorHAnsi" w:hAnsiTheme="minorHAnsi"/>
                <w:bCs/>
              </w:rPr>
            </w:pPr>
            <w:r w:rsidRPr="00E77536">
              <w:rPr>
                <w:rFonts w:asciiTheme="minorHAnsi" w:hAnsiTheme="minorHAnsi"/>
                <w:b/>
                <w:bCs/>
              </w:rPr>
              <w:t>Q1</w:t>
            </w:r>
            <w:r>
              <w:rPr>
                <w:rFonts w:asciiTheme="minorHAnsi" w:hAnsiTheme="minorHAnsi"/>
                <w:bCs/>
              </w:rPr>
              <w:t>: Benefits realisation of Consultant Nurse with more capacity for medial colleagues</w:t>
            </w:r>
          </w:p>
          <w:p w14:paraId="55CE22EB" w14:textId="77777777" w:rsidR="00F85ADB" w:rsidRPr="00317EF3" w:rsidRDefault="00F85ADB" w:rsidP="00E02C36">
            <w:pPr>
              <w:jc w:val="left"/>
              <w:rPr>
                <w:rFonts w:asciiTheme="minorHAnsi" w:hAnsiTheme="minorHAnsi"/>
                <w:bCs/>
              </w:rPr>
            </w:pPr>
            <w:r w:rsidRPr="00317EF3">
              <w:rPr>
                <w:rFonts w:asciiTheme="minorHAnsi" w:hAnsiTheme="minorHAnsi"/>
                <w:b/>
                <w:bCs/>
              </w:rPr>
              <w:t>Q1-Q4</w:t>
            </w:r>
            <w:r w:rsidRPr="00317EF3">
              <w:rPr>
                <w:rFonts w:asciiTheme="minorHAnsi" w:hAnsiTheme="minorHAnsi"/>
                <w:bCs/>
              </w:rPr>
              <w:t xml:space="preserve">:Further  alignment of SCAMHS to CAPA model </w:t>
            </w:r>
          </w:p>
          <w:p w14:paraId="601E631E" w14:textId="77777777" w:rsidR="00F85ADB" w:rsidRPr="00317EF3" w:rsidRDefault="00F85ADB" w:rsidP="00E02C36">
            <w:pPr>
              <w:jc w:val="left"/>
              <w:rPr>
                <w:rFonts w:asciiTheme="minorHAnsi" w:hAnsiTheme="minorHAnsi"/>
                <w:bCs/>
              </w:rPr>
            </w:pPr>
            <w:r w:rsidRPr="00317EF3">
              <w:rPr>
                <w:rFonts w:asciiTheme="minorHAnsi" w:hAnsiTheme="minorHAnsi"/>
                <w:b/>
                <w:bCs/>
              </w:rPr>
              <w:t>Q2:</w:t>
            </w:r>
            <w:r w:rsidRPr="00317EF3">
              <w:rPr>
                <w:rFonts w:asciiTheme="minorHAnsi" w:hAnsiTheme="minorHAnsi"/>
                <w:bCs/>
              </w:rPr>
              <w:t xml:space="preserve"> Business case for Enhanced Care Area in Ty Llidiard approved. </w:t>
            </w:r>
          </w:p>
          <w:p w14:paraId="08CD5643" w14:textId="77777777" w:rsidR="00F85ADB" w:rsidRPr="00317EF3" w:rsidRDefault="00F85ADB" w:rsidP="00E02C36">
            <w:pPr>
              <w:jc w:val="left"/>
              <w:rPr>
                <w:rFonts w:asciiTheme="minorHAnsi" w:hAnsiTheme="minorHAnsi"/>
                <w:bCs/>
              </w:rPr>
            </w:pPr>
            <w:r w:rsidRPr="00317EF3">
              <w:rPr>
                <w:rFonts w:asciiTheme="minorHAnsi" w:hAnsiTheme="minorHAnsi"/>
                <w:b/>
                <w:bCs/>
              </w:rPr>
              <w:t>Q4:</w:t>
            </w:r>
            <w:r w:rsidRPr="00317EF3">
              <w:rPr>
                <w:rFonts w:asciiTheme="minorHAnsi" w:hAnsiTheme="minorHAnsi"/>
                <w:bCs/>
              </w:rPr>
              <w:t>Further embedding of therapists within PCAMHS/SCAMHS to provide consultations</w:t>
            </w:r>
          </w:p>
          <w:p w14:paraId="4872EC15" w14:textId="77777777" w:rsidR="00F85ADB" w:rsidRPr="00317EF3" w:rsidRDefault="00F85ADB" w:rsidP="00E02C36">
            <w:pPr>
              <w:jc w:val="left"/>
              <w:rPr>
                <w:rFonts w:asciiTheme="minorHAnsi" w:hAnsiTheme="minorHAnsi"/>
                <w:bCs/>
              </w:rPr>
            </w:pPr>
            <w:r w:rsidRPr="00317EF3">
              <w:rPr>
                <w:rFonts w:asciiTheme="minorHAnsi" w:hAnsiTheme="minorHAnsi"/>
                <w:b/>
                <w:bCs/>
              </w:rPr>
              <w:t>Q4</w:t>
            </w:r>
            <w:r w:rsidRPr="00317EF3">
              <w:rPr>
                <w:rFonts w:asciiTheme="minorHAnsi" w:hAnsiTheme="minorHAnsi"/>
                <w:bCs/>
              </w:rPr>
              <w:t>:Embedding of MAPPS project</w:t>
            </w:r>
          </w:p>
          <w:p w14:paraId="1C31B3EF" w14:textId="3AE49843" w:rsidR="00F85ADB" w:rsidRPr="00317EF3" w:rsidRDefault="00F85ADB" w:rsidP="00E02C36">
            <w:pPr>
              <w:jc w:val="left"/>
              <w:rPr>
                <w:rFonts w:asciiTheme="minorHAnsi" w:hAnsiTheme="minorHAnsi"/>
                <w:bCs/>
              </w:rPr>
            </w:pPr>
            <w:r w:rsidRPr="00317EF3">
              <w:rPr>
                <w:rFonts w:asciiTheme="minorHAnsi" w:hAnsiTheme="minorHAnsi"/>
                <w:b/>
                <w:bCs/>
              </w:rPr>
              <w:t>Q4:</w:t>
            </w:r>
            <w:r w:rsidRPr="00317EF3">
              <w:rPr>
                <w:rFonts w:asciiTheme="minorHAnsi" w:hAnsiTheme="minorHAnsi"/>
                <w:bCs/>
              </w:rPr>
              <w:t>Sustained 80% target being met in SCAMHS</w:t>
            </w:r>
          </w:p>
        </w:tc>
        <w:tc>
          <w:tcPr>
            <w:tcW w:w="1985" w:type="dxa"/>
          </w:tcPr>
          <w:p w14:paraId="39D0A42D" w14:textId="77777777" w:rsidR="00F85ADB" w:rsidRPr="00F85ADB" w:rsidRDefault="00F85ADB" w:rsidP="00E02C36">
            <w:pPr>
              <w:jc w:val="center"/>
              <w:rPr>
                <w:rFonts w:asciiTheme="minorHAnsi" w:hAnsiTheme="minorHAnsi"/>
                <w:b/>
                <w:bCs/>
              </w:rPr>
            </w:pPr>
            <w:r w:rsidRPr="00F85ADB">
              <w:rPr>
                <w:rFonts w:asciiTheme="minorHAnsi" w:hAnsiTheme="minorHAnsi"/>
                <w:b/>
                <w:bCs/>
              </w:rPr>
              <w:t>Year 3</w:t>
            </w:r>
          </w:p>
          <w:p w14:paraId="25455E33" w14:textId="77777777" w:rsidR="00F85ADB" w:rsidRDefault="00F85ADB" w:rsidP="00E02C36">
            <w:pPr>
              <w:jc w:val="left"/>
              <w:rPr>
                <w:rFonts w:asciiTheme="minorHAnsi" w:hAnsiTheme="minorHAnsi"/>
                <w:b/>
                <w:bCs/>
              </w:rPr>
            </w:pPr>
          </w:p>
          <w:p w14:paraId="14372FB6" w14:textId="77777777" w:rsidR="00F85ADB" w:rsidRPr="00317EF3" w:rsidRDefault="00F85ADB" w:rsidP="00E02C36">
            <w:pPr>
              <w:jc w:val="left"/>
              <w:rPr>
                <w:rFonts w:asciiTheme="minorHAnsi" w:hAnsiTheme="minorHAnsi"/>
                <w:bCs/>
              </w:rPr>
            </w:pPr>
            <w:r w:rsidRPr="00317EF3">
              <w:rPr>
                <w:rFonts w:asciiTheme="minorHAnsi" w:hAnsiTheme="minorHAnsi"/>
                <w:b/>
                <w:bCs/>
              </w:rPr>
              <w:t>Q1:</w:t>
            </w:r>
            <w:r w:rsidRPr="00317EF3">
              <w:rPr>
                <w:rFonts w:asciiTheme="minorHAnsi" w:hAnsiTheme="minorHAnsi"/>
                <w:bCs/>
              </w:rPr>
              <w:t xml:space="preserve"> Continue to deliver MAPPS project</w:t>
            </w:r>
          </w:p>
          <w:p w14:paraId="242E1908" w14:textId="77777777" w:rsidR="00F85ADB" w:rsidRPr="00317EF3" w:rsidRDefault="00F85ADB" w:rsidP="00E02C36">
            <w:pPr>
              <w:jc w:val="left"/>
              <w:rPr>
                <w:rFonts w:asciiTheme="minorHAnsi" w:hAnsiTheme="minorHAnsi"/>
                <w:bCs/>
              </w:rPr>
            </w:pPr>
            <w:r w:rsidRPr="00317EF3">
              <w:rPr>
                <w:rFonts w:asciiTheme="minorHAnsi" w:hAnsiTheme="minorHAnsi"/>
                <w:b/>
                <w:bCs/>
              </w:rPr>
              <w:t>Q1</w:t>
            </w:r>
            <w:r w:rsidRPr="00317EF3">
              <w:rPr>
                <w:rFonts w:asciiTheme="minorHAnsi" w:hAnsiTheme="minorHAnsi"/>
                <w:bCs/>
              </w:rPr>
              <w:t xml:space="preserve">: Embedded CAPA model across Health Board </w:t>
            </w:r>
          </w:p>
          <w:p w14:paraId="17831F6D" w14:textId="77777777" w:rsidR="00F85ADB" w:rsidRPr="00317EF3" w:rsidRDefault="00F85ADB" w:rsidP="00E02C36">
            <w:pPr>
              <w:jc w:val="left"/>
              <w:rPr>
                <w:rFonts w:asciiTheme="minorHAnsi" w:hAnsiTheme="minorHAnsi"/>
                <w:bCs/>
              </w:rPr>
            </w:pPr>
            <w:r w:rsidRPr="00317EF3">
              <w:rPr>
                <w:rFonts w:asciiTheme="minorHAnsi" w:hAnsiTheme="minorHAnsi"/>
                <w:b/>
                <w:bCs/>
              </w:rPr>
              <w:t>Q1</w:t>
            </w:r>
            <w:r w:rsidRPr="00317EF3">
              <w:rPr>
                <w:rFonts w:asciiTheme="minorHAnsi" w:hAnsiTheme="minorHAnsi"/>
                <w:bCs/>
              </w:rPr>
              <w:t>:Delivery of Enhanced Care Area model in Ty Llidiard</w:t>
            </w:r>
          </w:p>
          <w:p w14:paraId="1C595212" w14:textId="77777777" w:rsidR="00F85ADB" w:rsidRPr="00317EF3" w:rsidRDefault="00F85ADB" w:rsidP="00E02C36">
            <w:pPr>
              <w:jc w:val="left"/>
              <w:rPr>
                <w:rFonts w:asciiTheme="minorHAnsi" w:hAnsiTheme="minorHAnsi"/>
                <w:bCs/>
              </w:rPr>
            </w:pPr>
            <w:r w:rsidRPr="00317EF3">
              <w:rPr>
                <w:rFonts w:asciiTheme="minorHAnsi" w:hAnsiTheme="minorHAnsi"/>
                <w:b/>
                <w:bCs/>
              </w:rPr>
              <w:t>Q4</w:t>
            </w:r>
            <w:r w:rsidRPr="00317EF3">
              <w:rPr>
                <w:rFonts w:asciiTheme="minorHAnsi" w:hAnsiTheme="minorHAnsi"/>
                <w:bCs/>
              </w:rPr>
              <w:t>:Sustained 80% target being met in SCAMHS</w:t>
            </w:r>
          </w:p>
          <w:p w14:paraId="1C49660C" w14:textId="54F39516" w:rsidR="00F85ADB" w:rsidRPr="00317EF3" w:rsidRDefault="00F85ADB" w:rsidP="00E02C36">
            <w:pPr>
              <w:jc w:val="left"/>
              <w:rPr>
                <w:rFonts w:asciiTheme="minorHAnsi" w:hAnsiTheme="minorHAnsi"/>
                <w:bCs/>
              </w:rPr>
            </w:pPr>
            <w:r w:rsidRPr="00317EF3">
              <w:rPr>
                <w:rFonts w:asciiTheme="minorHAnsi" w:hAnsiTheme="minorHAnsi"/>
                <w:b/>
                <w:bCs/>
              </w:rPr>
              <w:t>Q4:</w:t>
            </w:r>
            <w:r w:rsidRPr="00317EF3">
              <w:rPr>
                <w:rFonts w:asciiTheme="minorHAnsi" w:hAnsiTheme="minorHAnsi"/>
                <w:bCs/>
              </w:rPr>
              <w:t xml:space="preserve"> Reduction of waiting times in PCAMHS sustained </w:t>
            </w:r>
          </w:p>
        </w:tc>
      </w:tr>
    </w:tbl>
    <w:p w14:paraId="0B1F9165" w14:textId="77777777" w:rsidR="00382C58" w:rsidRPr="003D0778" w:rsidRDefault="00382C58" w:rsidP="00573556">
      <w:pPr>
        <w:pStyle w:val="Heading3"/>
        <w:rPr>
          <w:iCs/>
          <w:szCs w:val="22"/>
        </w:rPr>
      </w:pPr>
      <w:bookmarkStart w:id="99" w:name="_Toc532463983"/>
      <w:r w:rsidRPr="003D0778">
        <w:rPr>
          <w:szCs w:val="22"/>
        </w:rPr>
        <w:t>Adult Mental Health</w:t>
      </w:r>
      <w:bookmarkEnd w:id="99"/>
    </w:p>
    <w:p w14:paraId="15063AD0" w14:textId="77777777" w:rsidR="00D550E0" w:rsidRPr="00D550E0" w:rsidRDefault="00D550E0" w:rsidP="00D550E0">
      <w:pPr>
        <w:rPr>
          <w:rFonts w:asciiTheme="minorHAnsi" w:hAnsiTheme="minorHAnsi"/>
          <w:szCs w:val="22"/>
        </w:rPr>
      </w:pPr>
      <w:bookmarkStart w:id="100" w:name="_Toc532463984"/>
      <w:r w:rsidRPr="00D550E0">
        <w:rPr>
          <w:rFonts w:asciiTheme="minorHAnsi" w:hAnsiTheme="minorHAnsi"/>
          <w:szCs w:val="22"/>
        </w:rPr>
        <w:t xml:space="preserve">Quality and Governance have taken centre stage for the Adult Mental Health Directorate this year, with the establishment of a robust framework and mechanism for learning and reporting on quality, safety and risk issues across the portfolio.  Extensive work has been undertaken to review and start to align practices, policies and structures across the new Cwm Taf Morgannwg footprint. External scrutiny via HIW /CIW has further stimulated a focus on quality improvement, and has prompted a strategic review of our estate and subsequent capital business case development.  </w:t>
      </w:r>
    </w:p>
    <w:p w14:paraId="2B0B0319" w14:textId="77777777" w:rsidR="00D550E0" w:rsidRPr="00D550E0" w:rsidRDefault="00D550E0" w:rsidP="00D550E0">
      <w:pPr>
        <w:rPr>
          <w:rFonts w:asciiTheme="minorHAnsi" w:hAnsiTheme="minorHAnsi"/>
          <w:szCs w:val="22"/>
        </w:rPr>
      </w:pPr>
    </w:p>
    <w:p w14:paraId="60829F23" w14:textId="77777777" w:rsidR="00D550E0" w:rsidRPr="003D0778" w:rsidRDefault="00D550E0" w:rsidP="00D550E0">
      <w:pPr>
        <w:rPr>
          <w:rFonts w:asciiTheme="minorHAnsi" w:hAnsiTheme="minorHAnsi"/>
          <w:szCs w:val="22"/>
        </w:rPr>
      </w:pPr>
      <w:r w:rsidRPr="00D550E0">
        <w:rPr>
          <w:rFonts w:asciiTheme="minorHAnsi" w:hAnsiTheme="minorHAnsi"/>
          <w:szCs w:val="22"/>
        </w:rPr>
        <w:t>Meanwhile our vision for mental health services remains to build upon the successful implementation of our ‘Recovery Model’ and take it to a logical point where all but the most acute episode of illness is treated and cared for within the community</w:t>
      </w:r>
      <w:r w:rsidRPr="003D0778">
        <w:rPr>
          <w:rFonts w:asciiTheme="minorHAnsi" w:hAnsiTheme="minorHAnsi"/>
          <w:szCs w:val="22"/>
        </w:rPr>
        <w:t xml:space="preserve"> whenever possible.  The aim is to shift the balance so around 90% of our resources are in the community setting operating on a 24/7 and 365 day basis. </w:t>
      </w:r>
    </w:p>
    <w:p w14:paraId="0E1FDF61" w14:textId="77777777" w:rsidR="00D550E0" w:rsidRDefault="00D550E0" w:rsidP="00D550E0">
      <w:pPr>
        <w:pStyle w:val="Footer"/>
        <w:tabs>
          <w:tab w:val="right" w:pos="9000"/>
        </w:tabs>
        <w:rPr>
          <w:rFonts w:asciiTheme="minorHAnsi" w:hAnsiTheme="minorHAnsi"/>
          <w:b/>
        </w:rPr>
      </w:pPr>
    </w:p>
    <w:p w14:paraId="77C941A9" w14:textId="77777777" w:rsidR="00D550E0" w:rsidRDefault="00D550E0" w:rsidP="00D550E0">
      <w:pPr>
        <w:pStyle w:val="Footer"/>
        <w:tabs>
          <w:tab w:val="right" w:pos="9000"/>
        </w:tabs>
        <w:rPr>
          <w:rFonts w:asciiTheme="minorHAnsi" w:hAnsiTheme="minorHAnsi"/>
        </w:rPr>
      </w:pPr>
      <w:r w:rsidRPr="00330544">
        <w:rPr>
          <w:rFonts w:asciiTheme="minorHAnsi" w:hAnsiTheme="minorHAnsi"/>
        </w:rPr>
        <w:t xml:space="preserve">Our main </w:t>
      </w:r>
      <w:r>
        <w:rPr>
          <w:rFonts w:asciiTheme="minorHAnsi" w:hAnsiTheme="minorHAnsi"/>
        </w:rPr>
        <w:t xml:space="preserve">areas of </w:t>
      </w:r>
      <w:r w:rsidRPr="00330544">
        <w:rPr>
          <w:rFonts w:asciiTheme="minorHAnsi" w:hAnsiTheme="minorHAnsi"/>
        </w:rPr>
        <w:t xml:space="preserve">focus </w:t>
      </w:r>
      <w:r>
        <w:rPr>
          <w:rFonts w:asciiTheme="minorHAnsi" w:hAnsiTheme="minorHAnsi"/>
        </w:rPr>
        <w:t>in recent years to enable this shift have been our Valley Life programme in older people’s mental health services, and our redesign of adult community mental health services.</w:t>
      </w:r>
      <w:r w:rsidRPr="00DE5252">
        <w:rPr>
          <w:rFonts w:asciiTheme="minorHAnsi" w:hAnsiTheme="minorHAnsi"/>
        </w:rPr>
        <w:t xml:space="preserve"> </w:t>
      </w:r>
      <w:r>
        <w:rPr>
          <w:rFonts w:asciiTheme="minorHAnsi" w:hAnsiTheme="minorHAnsi"/>
        </w:rPr>
        <w:t>This work is being refreshed to be an integrated approach with Bridgend County Borough Council.</w:t>
      </w:r>
    </w:p>
    <w:p w14:paraId="319235CE" w14:textId="77777777" w:rsidR="00174521" w:rsidRDefault="00174521" w:rsidP="00174521">
      <w:pPr>
        <w:pStyle w:val="Footer"/>
        <w:tabs>
          <w:tab w:val="right" w:pos="9000"/>
        </w:tabs>
        <w:rPr>
          <w:rFonts w:asciiTheme="minorHAnsi" w:hAnsiTheme="minorHAnsi"/>
        </w:rPr>
      </w:pPr>
    </w:p>
    <w:p w14:paraId="5126F960" w14:textId="77777777" w:rsidR="00174521" w:rsidRPr="009C50A4" w:rsidRDefault="00174521" w:rsidP="00174521">
      <w:pPr>
        <w:pStyle w:val="Footer"/>
        <w:tabs>
          <w:tab w:val="right" w:pos="9000"/>
        </w:tabs>
        <w:rPr>
          <w:rFonts w:asciiTheme="minorHAnsi" w:hAnsiTheme="minorHAnsi"/>
          <w:b/>
        </w:rPr>
      </w:pPr>
      <w:r>
        <w:rPr>
          <w:rFonts w:asciiTheme="minorHAnsi" w:hAnsiTheme="minorHAnsi"/>
          <w:b/>
        </w:rPr>
        <w:t>Transforming Older Adult Services</w:t>
      </w:r>
    </w:p>
    <w:p w14:paraId="18D447CA" w14:textId="77777777" w:rsidR="00D550E0" w:rsidRDefault="00D550E0" w:rsidP="00D550E0">
      <w:pPr>
        <w:pStyle w:val="Footer"/>
        <w:tabs>
          <w:tab w:val="right" w:pos="9000"/>
        </w:tabs>
        <w:rPr>
          <w:rFonts w:asciiTheme="minorHAnsi" w:hAnsiTheme="minorHAnsi"/>
        </w:rPr>
      </w:pPr>
      <w:r w:rsidRPr="009C50A4">
        <w:rPr>
          <w:rFonts w:asciiTheme="minorHAnsi" w:hAnsiTheme="minorHAnsi"/>
        </w:rPr>
        <w:t>2019</w:t>
      </w:r>
      <w:r>
        <w:rPr>
          <w:rFonts w:asciiTheme="minorHAnsi" w:hAnsiTheme="minorHAnsi"/>
        </w:rPr>
        <w:t>/20 has seen the final phase of our ‘Valley Life’ programme with the transfer of the older adult mental health Ward 35 at Prince Charles Hospital into the community. This move is being supported by the development of an integrated day service model and planned redesign of the day unit at Keir Hardie Health Park using ICF capital funding.</w:t>
      </w:r>
    </w:p>
    <w:p w14:paraId="22D2D82B" w14:textId="77777777" w:rsidR="00D550E0" w:rsidRDefault="00D550E0" w:rsidP="00D550E0">
      <w:pPr>
        <w:pStyle w:val="Footer"/>
        <w:tabs>
          <w:tab w:val="right" w:pos="9000"/>
        </w:tabs>
        <w:rPr>
          <w:rFonts w:asciiTheme="minorHAnsi" w:hAnsiTheme="minorHAnsi"/>
        </w:rPr>
      </w:pPr>
    </w:p>
    <w:p w14:paraId="0DBB9D8D" w14:textId="77777777" w:rsidR="00D550E0" w:rsidRDefault="00D550E0" w:rsidP="00D550E0">
      <w:pPr>
        <w:pStyle w:val="Footer"/>
        <w:tabs>
          <w:tab w:val="right" w:pos="9000"/>
        </w:tabs>
        <w:rPr>
          <w:rFonts w:asciiTheme="minorHAnsi" w:hAnsiTheme="minorHAnsi"/>
        </w:rPr>
      </w:pPr>
      <w:r>
        <w:rPr>
          <w:rFonts w:asciiTheme="minorHAnsi" w:hAnsiTheme="minorHAnsi"/>
        </w:rPr>
        <w:t xml:space="preserve">A number of work streams are addressing other aspects of older people’s mental health services including Memory Assessment Services, Dementia Care in General Hospitals, What a good OPMH Ward Looks Like,  End of Life Dementia Care and Assistive/Digital Technologies.  All are contributing to the implementation of the Welsh Government Dementia Action Plan overseen by the Dementia Steering Group, alongside other multi-agency workstreams addressing Raising Awareness and Understanding of Dementia in our Communities, and Dementia Workforce Development. With Dementia ICF funding we have been able to enhance our Specialist Dementia Intervention Team (SDIT), providing intensive support to care homes and family carers to help them prevent and manage dementia related ‘behaviours that challenge’; we have established an Occupational Therapy Memory Assessment Team to help people newly diagnosed with dementia develop strategies to help them maintain employment and other usual daily functioning for as long as possible; and in Bridgend we have developed an integrated dementia day service and link service. In both areas, ICF funding has also been used to support third sector organisations to provide community based support and develop Dementia Friendly Communities. </w:t>
      </w:r>
    </w:p>
    <w:p w14:paraId="7197D8FA" w14:textId="77777777" w:rsidR="00D550E0" w:rsidRDefault="00D550E0" w:rsidP="00D550E0">
      <w:pPr>
        <w:pStyle w:val="Footer"/>
        <w:tabs>
          <w:tab w:val="right" w:pos="9000"/>
        </w:tabs>
        <w:rPr>
          <w:rFonts w:asciiTheme="minorHAnsi" w:hAnsiTheme="minorHAnsi"/>
        </w:rPr>
      </w:pPr>
    </w:p>
    <w:p w14:paraId="696BD5D8" w14:textId="77777777" w:rsidR="00D550E0" w:rsidRDefault="00D550E0" w:rsidP="00D550E0">
      <w:pPr>
        <w:pStyle w:val="Footer"/>
        <w:tabs>
          <w:tab w:val="right" w:pos="9000"/>
        </w:tabs>
        <w:rPr>
          <w:rFonts w:asciiTheme="minorHAnsi" w:hAnsiTheme="minorHAnsi"/>
        </w:rPr>
      </w:pPr>
      <w:r>
        <w:rPr>
          <w:rFonts w:asciiTheme="minorHAnsi" w:hAnsiTheme="minorHAnsi"/>
        </w:rPr>
        <w:t xml:space="preserve">Discussions with Rhondda Cynon Taff County Borough Council around the potential development of an Extra Care Housing facility on the Ysbyty George Hospital (YGT) site has prompted development of a wider vision for integrated health and social care provision in the Rhondda, including primary care. This will require consideration of options for the reprovision of the Dementia Wellbeing Centre, Day Unit and 14 bedded Supported Recovery Unit currently located in YGT. A proposal paper is being developed to scope potential options, benefits and impacts. </w:t>
      </w:r>
    </w:p>
    <w:p w14:paraId="021C8B32" w14:textId="77777777" w:rsidR="00D550E0" w:rsidRDefault="00D550E0" w:rsidP="00174521">
      <w:pPr>
        <w:pStyle w:val="Footer"/>
        <w:tabs>
          <w:tab w:val="right" w:pos="9000"/>
        </w:tabs>
        <w:rPr>
          <w:rFonts w:asciiTheme="minorHAnsi" w:hAnsiTheme="minorHAnsi"/>
          <w:b/>
        </w:rPr>
      </w:pPr>
    </w:p>
    <w:p w14:paraId="687057E7" w14:textId="77777777" w:rsidR="00174521" w:rsidRDefault="00174521" w:rsidP="00174521">
      <w:pPr>
        <w:pStyle w:val="Footer"/>
        <w:tabs>
          <w:tab w:val="right" w:pos="9000"/>
        </w:tabs>
        <w:rPr>
          <w:rFonts w:asciiTheme="minorHAnsi" w:hAnsiTheme="minorHAnsi"/>
          <w:b/>
        </w:rPr>
      </w:pPr>
      <w:r>
        <w:rPr>
          <w:rFonts w:asciiTheme="minorHAnsi" w:hAnsiTheme="minorHAnsi"/>
          <w:b/>
        </w:rPr>
        <w:t>Community Mental Health Services Redesign</w:t>
      </w:r>
    </w:p>
    <w:p w14:paraId="14E51963" w14:textId="60EB042F" w:rsidR="00D8540C" w:rsidRDefault="00D8540C" w:rsidP="00D8540C">
      <w:pPr>
        <w:pStyle w:val="Footer"/>
        <w:tabs>
          <w:tab w:val="right" w:pos="9000"/>
        </w:tabs>
        <w:rPr>
          <w:rFonts w:asciiTheme="minorHAnsi" w:hAnsiTheme="minorHAnsi"/>
        </w:rPr>
      </w:pPr>
      <w:r w:rsidRPr="00A71F6D">
        <w:rPr>
          <w:rFonts w:asciiTheme="minorHAnsi" w:hAnsiTheme="minorHAnsi"/>
        </w:rPr>
        <w:t>Th</w:t>
      </w:r>
      <w:r>
        <w:rPr>
          <w:rFonts w:asciiTheme="minorHAnsi" w:hAnsiTheme="minorHAnsi"/>
        </w:rPr>
        <w:t xml:space="preserve">rough our ongoing redesign of </w:t>
      </w:r>
      <w:r w:rsidRPr="00A71F6D">
        <w:rPr>
          <w:rFonts w:asciiTheme="minorHAnsi" w:hAnsiTheme="minorHAnsi"/>
        </w:rPr>
        <w:t xml:space="preserve">adult </w:t>
      </w:r>
      <w:r>
        <w:rPr>
          <w:rFonts w:asciiTheme="minorHAnsi" w:hAnsiTheme="minorHAnsi"/>
        </w:rPr>
        <w:t xml:space="preserve">community </w:t>
      </w:r>
      <w:r w:rsidRPr="00A71F6D">
        <w:rPr>
          <w:rFonts w:asciiTheme="minorHAnsi" w:hAnsiTheme="minorHAnsi"/>
        </w:rPr>
        <w:t>mental health services</w:t>
      </w:r>
      <w:r>
        <w:rPr>
          <w:rFonts w:asciiTheme="minorHAnsi" w:hAnsiTheme="minorHAnsi"/>
        </w:rPr>
        <w:t xml:space="preserve">, involving extensive engagement </w:t>
      </w:r>
      <w:r w:rsidRPr="00C75836">
        <w:rPr>
          <w:rFonts w:asciiTheme="minorHAnsi" w:hAnsiTheme="minorHAnsi"/>
        </w:rPr>
        <w:t xml:space="preserve">with </w:t>
      </w:r>
      <w:r w:rsidRPr="001B7623">
        <w:rPr>
          <w:rFonts w:asciiTheme="minorHAnsi" w:hAnsiTheme="minorHAnsi"/>
        </w:rPr>
        <w:t>staff, partner agencies, service users and carers</w:t>
      </w:r>
      <w:r>
        <w:rPr>
          <w:rFonts w:asciiTheme="minorHAnsi" w:hAnsiTheme="minorHAnsi"/>
        </w:rPr>
        <w:t>, we have</w:t>
      </w:r>
      <w:r w:rsidRPr="00693560">
        <w:rPr>
          <w:rFonts w:asciiTheme="minorHAnsi" w:hAnsiTheme="minorHAnsi"/>
        </w:rPr>
        <w:t xml:space="preserve"> developed a service model </w:t>
      </w:r>
      <w:r>
        <w:rPr>
          <w:rFonts w:asciiTheme="minorHAnsi" w:hAnsiTheme="minorHAnsi"/>
        </w:rPr>
        <w:t>based o</w:t>
      </w:r>
      <w:r w:rsidRPr="00C75836">
        <w:rPr>
          <w:rFonts w:asciiTheme="minorHAnsi" w:hAnsiTheme="minorHAnsi"/>
        </w:rPr>
        <w:t xml:space="preserve">n the principles of improved integration, a greater focus on prevention and earlier intervention, and a bio psychosocial approach.  </w:t>
      </w:r>
      <w:r w:rsidRPr="001B7623">
        <w:rPr>
          <w:rFonts w:asciiTheme="minorHAnsi" w:hAnsiTheme="minorHAnsi"/>
        </w:rPr>
        <w:t>The new model</w:t>
      </w:r>
      <w:r w:rsidRPr="00AB7B97">
        <w:rPr>
          <w:rFonts w:asciiTheme="minorHAnsi" w:hAnsiTheme="minorHAnsi"/>
        </w:rPr>
        <w:t xml:space="preserve"> reflects an increased emphasis on integrated support at ‘universal’ and local primary mental health service level, enabling secondary mental health services to offer more intense input to a smaller number of </w:t>
      </w:r>
      <w:r>
        <w:rPr>
          <w:rFonts w:asciiTheme="minorHAnsi" w:hAnsiTheme="minorHAnsi"/>
        </w:rPr>
        <w:t xml:space="preserve">people with </w:t>
      </w:r>
      <w:r w:rsidRPr="00AB7B97">
        <w:rPr>
          <w:rFonts w:asciiTheme="minorHAnsi" w:hAnsiTheme="minorHAnsi"/>
        </w:rPr>
        <w:t xml:space="preserve">more complex </w:t>
      </w:r>
      <w:r>
        <w:rPr>
          <w:rFonts w:asciiTheme="minorHAnsi" w:hAnsiTheme="minorHAnsi"/>
        </w:rPr>
        <w:t>needs</w:t>
      </w:r>
      <w:r w:rsidRPr="00AB7B97">
        <w:rPr>
          <w:rFonts w:asciiTheme="minorHAnsi" w:hAnsiTheme="minorHAnsi"/>
        </w:rPr>
        <w:t>.</w:t>
      </w:r>
      <w:r>
        <w:rPr>
          <w:rFonts w:asciiTheme="minorHAnsi" w:hAnsiTheme="minorHAnsi"/>
        </w:rPr>
        <w:t xml:space="preserve"> </w:t>
      </w:r>
    </w:p>
    <w:p w14:paraId="340BAD21" w14:textId="77777777" w:rsidR="00D8540C" w:rsidRDefault="00D8540C" w:rsidP="00D8540C">
      <w:pPr>
        <w:pStyle w:val="Footer"/>
        <w:tabs>
          <w:tab w:val="right" w:pos="9000"/>
        </w:tabs>
        <w:rPr>
          <w:rFonts w:asciiTheme="minorHAnsi" w:hAnsiTheme="minorHAnsi"/>
        </w:rPr>
      </w:pPr>
    </w:p>
    <w:p w14:paraId="3EFD8D60" w14:textId="77777777" w:rsidR="00D8540C" w:rsidRPr="00AB7B97" w:rsidRDefault="00D8540C" w:rsidP="00D8540C">
      <w:pPr>
        <w:rPr>
          <w:rFonts w:asciiTheme="minorHAnsi" w:hAnsiTheme="minorHAnsi"/>
          <w:szCs w:val="22"/>
        </w:rPr>
      </w:pPr>
      <w:r>
        <w:rPr>
          <w:rFonts w:asciiTheme="minorHAnsi" w:hAnsiTheme="minorHAnsi"/>
          <w:szCs w:val="22"/>
        </w:rPr>
        <w:t xml:space="preserve">We are </w:t>
      </w:r>
      <w:r w:rsidRPr="00AB7B97">
        <w:rPr>
          <w:rFonts w:asciiTheme="minorHAnsi" w:hAnsiTheme="minorHAnsi"/>
          <w:szCs w:val="22"/>
        </w:rPr>
        <w:t>work</w:t>
      </w:r>
      <w:r>
        <w:rPr>
          <w:rFonts w:asciiTheme="minorHAnsi" w:hAnsiTheme="minorHAnsi"/>
          <w:szCs w:val="22"/>
        </w:rPr>
        <w:t>ing</w:t>
      </w:r>
      <w:r w:rsidRPr="00AB7B97">
        <w:rPr>
          <w:rFonts w:asciiTheme="minorHAnsi" w:hAnsiTheme="minorHAnsi"/>
          <w:szCs w:val="22"/>
        </w:rPr>
        <w:t xml:space="preserve"> in partnership</w:t>
      </w:r>
      <w:r>
        <w:rPr>
          <w:rFonts w:ascii="Verdana" w:hAnsi="Verdana"/>
          <w:sz w:val="24"/>
        </w:rPr>
        <w:t xml:space="preserve"> </w:t>
      </w:r>
      <w:r w:rsidRPr="00AB7B97">
        <w:rPr>
          <w:rFonts w:asciiTheme="minorHAnsi" w:hAnsiTheme="minorHAnsi"/>
          <w:szCs w:val="22"/>
        </w:rPr>
        <w:t>to ensure improved availability of</w:t>
      </w:r>
      <w:r>
        <w:rPr>
          <w:rFonts w:asciiTheme="minorHAnsi" w:hAnsiTheme="minorHAnsi"/>
          <w:szCs w:val="22"/>
        </w:rPr>
        <w:t xml:space="preserve">, information about </w:t>
      </w:r>
      <w:r w:rsidRPr="00AB7B97">
        <w:rPr>
          <w:rFonts w:asciiTheme="minorHAnsi" w:hAnsiTheme="minorHAnsi"/>
          <w:szCs w:val="22"/>
        </w:rPr>
        <w:t xml:space="preserve">and access to services </w:t>
      </w:r>
      <w:r>
        <w:rPr>
          <w:rFonts w:asciiTheme="minorHAnsi" w:hAnsiTheme="minorHAnsi"/>
          <w:szCs w:val="22"/>
        </w:rPr>
        <w:t xml:space="preserve">that promote and enhance emotional and mental wellbeing </w:t>
      </w:r>
      <w:r w:rsidRPr="00AB7B97">
        <w:rPr>
          <w:rFonts w:asciiTheme="minorHAnsi" w:hAnsiTheme="minorHAnsi"/>
          <w:szCs w:val="22"/>
        </w:rPr>
        <w:t xml:space="preserve">across our communities. This </w:t>
      </w:r>
      <w:r>
        <w:rPr>
          <w:rFonts w:asciiTheme="minorHAnsi" w:hAnsiTheme="minorHAnsi"/>
          <w:szCs w:val="22"/>
        </w:rPr>
        <w:t>is being</w:t>
      </w:r>
      <w:r w:rsidRPr="00AB7B97">
        <w:rPr>
          <w:rFonts w:asciiTheme="minorHAnsi" w:hAnsiTheme="minorHAnsi"/>
          <w:szCs w:val="22"/>
        </w:rPr>
        <w:t xml:space="preserve"> accompanied by a review of the current third sector commissioned services to ensure there is appropriate and equitable access to services at this level across Cwm Taf Morgannwg, and that the services provided are of good quality and can evidence good outcomes. </w:t>
      </w:r>
    </w:p>
    <w:p w14:paraId="2025732B" w14:textId="77777777" w:rsidR="00D8540C" w:rsidRPr="00D8540C" w:rsidRDefault="00D8540C" w:rsidP="00D8540C">
      <w:pPr>
        <w:rPr>
          <w:rFonts w:ascii="Verdana" w:hAnsi="Verdana"/>
          <w:sz w:val="24"/>
        </w:rPr>
      </w:pPr>
    </w:p>
    <w:p w14:paraId="57C0038C" w14:textId="77777777" w:rsidR="00D8540C" w:rsidRPr="00D96821" w:rsidRDefault="00D8540C" w:rsidP="00D8540C">
      <w:pPr>
        <w:rPr>
          <w:rFonts w:asciiTheme="minorHAnsi" w:hAnsiTheme="minorHAnsi"/>
          <w:color w:val="000000" w:themeColor="text1"/>
          <w:szCs w:val="22"/>
        </w:rPr>
      </w:pPr>
      <w:r w:rsidRPr="00D8540C">
        <w:rPr>
          <w:rFonts w:asciiTheme="minorHAnsi" w:hAnsiTheme="minorHAnsi"/>
          <w:szCs w:val="22"/>
        </w:rPr>
        <w:t xml:space="preserve">A key enabler to effect the shift to universal services is our investment in cluster based Mental Health Practitioners who offer mental health assessment, medication monitoring, advice and information within primary care, as well as connections to other appropriate services.  Offering a rapid response to GP referrals, appointments can also be made directly with </w:t>
      </w:r>
      <w:r w:rsidRPr="00D96821">
        <w:rPr>
          <w:rFonts w:asciiTheme="minorHAnsi" w:hAnsiTheme="minorHAnsi"/>
          <w:color w:val="000000" w:themeColor="text1"/>
          <w:szCs w:val="22"/>
        </w:rPr>
        <w:t xml:space="preserve">the Practitioners without the need to see the GP first.  The Practitioners will also be able to refer directly to primary and secondary mental health services should they feel the patient is in need of more intensive and specialist mental health care and support.  Funded initially via the Stay Well in Your Community Transformation Programme, ongoing funding will be secured through the Mental Health Transformation Fund and by shifting resources through anticipated released capacity in the LPMHSS/CMHT service. </w:t>
      </w:r>
    </w:p>
    <w:p w14:paraId="7C550446" w14:textId="77777777" w:rsidR="00D8540C" w:rsidRPr="00D96821" w:rsidRDefault="00D8540C" w:rsidP="00D8540C">
      <w:pPr>
        <w:pStyle w:val="Footer"/>
        <w:tabs>
          <w:tab w:val="right" w:pos="9000"/>
        </w:tabs>
        <w:rPr>
          <w:rFonts w:asciiTheme="minorHAnsi" w:hAnsiTheme="minorHAnsi"/>
          <w:color w:val="000000" w:themeColor="text1"/>
        </w:rPr>
      </w:pPr>
    </w:p>
    <w:p w14:paraId="6491D947" w14:textId="77777777" w:rsidR="00D8540C" w:rsidRPr="00F73C79" w:rsidRDefault="00D8540C" w:rsidP="00D8540C">
      <w:pPr>
        <w:tabs>
          <w:tab w:val="left" w:pos="1305"/>
        </w:tabs>
      </w:pPr>
      <w:r w:rsidRPr="00D96821">
        <w:rPr>
          <w:color w:val="000000" w:themeColor="text1"/>
        </w:rPr>
        <w:t>Another key enabler</w:t>
      </w:r>
      <w:r w:rsidRPr="00D8540C">
        <w:t xml:space="preserve">, to ensure the most effective use of specialist resources and outcomes for patients in our proposed new model, is a redesign of our adult mental health </w:t>
      </w:r>
      <w:proofErr w:type="gramStart"/>
      <w:r w:rsidRPr="00D8540C">
        <w:t>outpatients</w:t>
      </w:r>
      <w:proofErr w:type="gramEnd"/>
      <w:r w:rsidRPr="00D8540C">
        <w:t xml:space="preserve"> service.  This has involved</w:t>
      </w:r>
      <w:r>
        <w:t xml:space="preserve"> a review of the role of consultant psychiatrists in care co-ordination, with a view to introducing a different skill mix thereby releasing consultant and senior psychiatrist capacity from outpatient clinics to enable them to instead provide expert support to Mental Health teams and other professions such as GPs. Improved partnerships with benefits agencies are also being explored to enable a clearer understanding and process for supporting patients to access benefits for which they are eligible, reducing reliance on outpatient services for such purposes. </w:t>
      </w:r>
      <w:r w:rsidRPr="00F73C79">
        <w:t>The proposed new model for outpatients is expected to result in:</w:t>
      </w:r>
    </w:p>
    <w:p w14:paraId="4A496FB4" w14:textId="77777777" w:rsidR="00D8540C" w:rsidRPr="00F73C79" w:rsidRDefault="00D8540C" w:rsidP="003B1653">
      <w:pPr>
        <w:numPr>
          <w:ilvl w:val="0"/>
          <w:numId w:val="38"/>
        </w:numPr>
        <w:tabs>
          <w:tab w:val="left" w:pos="1305"/>
        </w:tabs>
      </w:pPr>
      <w:r w:rsidRPr="00F73C79">
        <w:t>More timely and responsive access and improved patient experience</w:t>
      </w:r>
    </w:p>
    <w:p w14:paraId="7E4F3057" w14:textId="77777777" w:rsidR="00D8540C" w:rsidRPr="00F73C79" w:rsidRDefault="00D8540C" w:rsidP="003B1653">
      <w:pPr>
        <w:numPr>
          <w:ilvl w:val="0"/>
          <w:numId w:val="38"/>
        </w:numPr>
        <w:tabs>
          <w:tab w:val="left" w:pos="1305"/>
        </w:tabs>
      </w:pPr>
      <w:r w:rsidRPr="00F73C79">
        <w:t>Improved patient outcomes</w:t>
      </w:r>
    </w:p>
    <w:p w14:paraId="3EFE85A6" w14:textId="77777777" w:rsidR="00D8540C" w:rsidRPr="00F73C79" w:rsidRDefault="00D8540C" w:rsidP="003B1653">
      <w:pPr>
        <w:numPr>
          <w:ilvl w:val="0"/>
          <w:numId w:val="38"/>
        </w:numPr>
        <w:tabs>
          <w:tab w:val="left" w:pos="1305"/>
        </w:tabs>
      </w:pPr>
      <w:r w:rsidRPr="00F73C79">
        <w:t>Reduced numbers of patients being cared for under CTP, enabling more intensive and meaningful support provided to people to help them achieve their CTP goals</w:t>
      </w:r>
      <w:r>
        <w:t xml:space="preserve">, and </w:t>
      </w:r>
      <w:r w:rsidRPr="00F73C79">
        <w:t xml:space="preserve"> compliance with MHM Part 2 targets)</w:t>
      </w:r>
    </w:p>
    <w:p w14:paraId="4559F783" w14:textId="77777777" w:rsidR="00D8540C" w:rsidRPr="00F73C79" w:rsidRDefault="00D8540C" w:rsidP="003B1653">
      <w:pPr>
        <w:numPr>
          <w:ilvl w:val="0"/>
          <w:numId w:val="38"/>
        </w:numPr>
        <w:tabs>
          <w:tab w:val="left" w:pos="1305"/>
        </w:tabs>
      </w:pPr>
      <w:r w:rsidRPr="00F73C79">
        <w:t xml:space="preserve">More effective use of consultant psychiatrist resource </w:t>
      </w:r>
    </w:p>
    <w:p w14:paraId="27793E00" w14:textId="77777777" w:rsidR="00D8540C" w:rsidRDefault="00D8540C" w:rsidP="00D8540C">
      <w:pPr>
        <w:tabs>
          <w:tab w:val="left" w:pos="1305"/>
        </w:tabs>
      </w:pPr>
    </w:p>
    <w:p w14:paraId="714C3E91" w14:textId="77777777" w:rsidR="00D8540C" w:rsidRPr="002F75AD" w:rsidRDefault="00D8540C" w:rsidP="00D96821">
      <w:pPr>
        <w:rPr>
          <w:rFonts w:cs="Arial"/>
        </w:rPr>
      </w:pPr>
      <w:r>
        <w:t xml:space="preserve">Engagement on </w:t>
      </w:r>
      <w:r w:rsidRPr="00D8540C">
        <w:t>the service model has also highlighted the need for a more timely and integrated response to mental health crises in our communities</w:t>
      </w:r>
      <w:r>
        <w:t xml:space="preserve">, and this will be a key priority for the Directorate with our partners, particularly the Police and Third Sector, over the coming period. </w:t>
      </w:r>
      <w:r w:rsidRPr="002F75AD">
        <w:rPr>
          <w:rFonts w:cs="Arial"/>
        </w:rPr>
        <w:t xml:space="preserve">All partners across CTM </w:t>
      </w:r>
      <w:r>
        <w:rPr>
          <w:rFonts w:cs="Arial"/>
        </w:rPr>
        <w:t xml:space="preserve">have </w:t>
      </w:r>
      <w:r w:rsidRPr="002F75AD">
        <w:rPr>
          <w:rFonts w:cs="Arial"/>
        </w:rPr>
        <w:t xml:space="preserve">signed up to the </w:t>
      </w:r>
      <w:hyperlink r:id="rId59" w:history="1">
        <w:r w:rsidRPr="00AD0148">
          <w:rPr>
            <w:rStyle w:val="Hyperlink"/>
            <w:rFonts w:cs="Arial"/>
          </w:rPr>
          <w:t>Wales Crisis Care Concordat National Action Plan 2019-22</w:t>
        </w:r>
      </w:hyperlink>
      <w:r>
        <w:rPr>
          <w:rFonts w:cs="Arial"/>
        </w:rPr>
        <w:t xml:space="preserve"> which sets out our shared commitment to responding </w:t>
      </w:r>
      <w:r>
        <w:rPr>
          <w:sz w:val="23"/>
          <w:szCs w:val="23"/>
        </w:rPr>
        <w:t xml:space="preserve">to and supporting people of any age who experience a mental health crisis or a significant deterioration in their mental health that could lead to crisis and potential contact with the police and / or detention under the Mental Health Act. </w:t>
      </w:r>
      <w:r w:rsidRPr="002F75AD">
        <w:rPr>
          <w:rFonts w:cs="Arial"/>
        </w:rPr>
        <w:t xml:space="preserve"> </w:t>
      </w:r>
    </w:p>
    <w:p w14:paraId="15094633" w14:textId="77777777" w:rsidR="00D8540C" w:rsidRPr="00D96821" w:rsidRDefault="00D8540C" w:rsidP="00D96821"/>
    <w:p w14:paraId="1FD6E061" w14:textId="77777777" w:rsidR="00D8540C" w:rsidRDefault="00D8540C" w:rsidP="00D96821">
      <w:pPr>
        <w:spacing w:line="259" w:lineRule="auto"/>
      </w:pPr>
      <w:r w:rsidRPr="00D96821">
        <w:lastRenderedPageBreak/>
        <w:t xml:space="preserve">In response to Welsh Government’s report “Everybody’s business – a report on suicide prevention in Wales” December 2018, a </w:t>
      </w:r>
      <w:r w:rsidRPr="002F75AD">
        <w:t xml:space="preserve">South Wales PSC Mental Health Triage Pilot </w:t>
      </w:r>
      <w:r>
        <w:t xml:space="preserve">was set up in January </w:t>
      </w:r>
      <w:r w:rsidRPr="002F75AD">
        <w:t xml:space="preserve">2019. </w:t>
      </w:r>
      <w:r>
        <w:t xml:space="preserve">CPNs from the 3 health boards have been seconded to assist the police in supporting any person in Mental Health crisis or distress, and help provide alternatives to section 136 detention wherever appropriate.  </w:t>
      </w:r>
      <w:r w:rsidRPr="002F75AD">
        <w:t xml:space="preserve">An evaluation report </w:t>
      </w:r>
      <w:r>
        <w:t xml:space="preserve">has </w:t>
      </w:r>
      <w:r w:rsidRPr="00D96821">
        <w:t>shown that overall triage is considered to be a valuable service that provides police with additional support in the management of MH related incidents. The expertise of triage staff was praised and considered to be of benefit to both the police and those in need of support. On the whole, police staff considered triage to have a positive impact on their practice, particularly in terms of confidence building when dealing with incidents they consider outside their area of expertise. This opinion was shared across police and health, and interviewees across the services which has resulted in a continuation of the triage beyond the pilot.</w:t>
      </w:r>
    </w:p>
    <w:p w14:paraId="5C205F0B" w14:textId="77777777" w:rsidR="00D96821" w:rsidRPr="00D96821" w:rsidRDefault="00D96821" w:rsidP="00D96821">
      <w:pPr>
        <w:spacing w:line="259" w:lineRule="auto"/>
      </w:pPr>
    </w:p>
    <w:p w14:paraId="77DC68A7" w14:textId="77777777" w:rsidR="00D8540C" w:rsidRDefault="00D8540C" w:rsidP="00D8540C">
      <w:pPr>
        <w:pStyle w:val="Footer"/>
        <w:tabs>
          <w:tab w:val="right" w:pos="9000"/>
        </w:tabs>
        <w:rPr>
          <w:rFonts w:asciiTheme="minorHAnsi" w:hAnsiTheme="minorHAnsi"/>
        </w:rPr>
      </w:pPr>
      <w:r w:rsidRPr="00D8540C">
        <w:rPr>
          <w:rFonts w:asciiTheme="minorHAnsi" w:hAnsiTheme="minorHAnsi"/>
        </w:rPr>
        <w:t>To ensure a timely response to people experiencing first episode of psychosis, a multi-agency working group has been established to develop Early Intervention in Psychosis (EIP) services</w:t>
      </w:r>
      <w:r w:rsidRPr="006A6AEA">
        <w:rPr>
          <w:rFonts w:asciiTheme="minorHAnsi" w:hAnsiTheme="minorHAnsi"/>
        </w:rPr>
        <w:t xml:space="preserve"> further within Cwm Taf Morgannwg.  The aim is to develop a framework that takes existing patterns of service deliver</w:t>
      </w:r>
      <w:r>
        <w:rPr>
          <w:rFonts w:asciiTheme="minorHAnsi" w:hAnsiTheme="minorHAnsi"/>
        </w:rPr>
        <w:t>y and ensuring that clinical leadership and governance arrangements are in place</w:t>
      </w:r>
      <w:r w:rsidRPr="006A6AEA">
        <w:rPr>
          <w:rFonts w:asciiTheme="minorHAnsi" w:hAnsiTheme="minorHAnsi"/>
        </w:rPr>
        <w:t>. Whilst also taking into consideration national guidelines, assessment needs of our population and workforce requirements.</w:t>
      </w:r>
    </w:p>
    <w:p w14:paraId="65F27B5E" w14:textId="5DA7BBB0" w:rsidR="00174521" w:rsidRPr="00174521" w:rsidRDefault="00174521" w:rsidP="00D8540C">
      <w:pPr>
        <w:pStyle w:val="Footer"/>
        <w:tabs>
          <w:tab w:val="right" w:pos="9000"/>
        </w:tabs>
        <w:rPr>
          <w:rFonts w:ascii="Verdana" w:hAnsi="Verdana"/>
          <w:sz w:val="24"/>
        </w:rPr>
      </w:pPr>
      <w:r w:rsidRPr="00174521">
        <w:rPr>
          <w:rFonts w:asciiTheme="minorHAnsi" w:hAnsiTheme="minorHAnsi"/>
        </w:rPr>
        <w:t xml:space="preserve"> </w:t>
      </w:r>
    </w:p>
    <w:p w14:paraId="2273AEE0" w14:textId="3064DD7F" w:rsidR="00174521" w:rsidRPr="00D8540C" w:rsidRDefault="00D8540C" w:rsidP="00174521">
      <w:pPr>
        <w:pStyle w:val="Footer"/>
        <w:tabs>
          <w:tab w:val="right" w:pos="9000"/>
        </w:tabs>
        <w:rPr>
          <w:rFonts w:asciiTheme="minorHAnsi" w:hAnsiTheme="minorHAnsi"/>
          <w:b/>
        </w:rPr>
      </w:pPr>
      <w:r w:rsidRPr="00D8540C">
        <w:rPr>
          <w:rFonts w:asciiTheme="minorHAnsi" w:hAnsiTheme="minorHAnsi" w:cs="Arial"/>
          <w:b/>
          <w:lang w:val="en"/>
        </w:rPr>
        <w:t>Integrated Autism Service</w:t>
      </w:r>
    </w:p>
    <w:p w14:paraId="3DBF9C34" w14:textId="77777777" w:rsidR="00D8540C" w:rsidRDefault="00D8540C" w:rsidP="00D8540C">
      <w:pPr>
        <w:jc w:val="left"/>
        <w:rPr>
          <w:rFonts w:cs="Arial"/>
          <w:lang w:val="en"/>
        </w:rPr>
      </w:pPr>
      <w:r w:rsidRPr="005C0CAC">
        <w:rPr>
          <w:rFonts w:asciiTheme="minorHAnsi" w:hAnsiTheme="minorHAnsi" w:cs="Arial"/>
          <w:szCs w:val="22"/>
          <w:lang w:val="en"/>
        </w:rPr>
        <w:t xml:space="preserve">The </w:t>
      </w:r>
      <w:r w:rsidRPr="005C0CAC">
        <w:rPr>
          <w:rFonts w:asciiTheme="minorHAnsi" w:hAnsiTheme="minorHAnsi" w:cs="Arial"/>
          <w:b/>
          <w:szCs w:val="22"/>
          <w:lang w:val="en"/>
        </w:rPr>
        <w:t>Integrated Autism Service (IAS</w:t>
      </w:r>
      <w:proofErr w:type="gramStart"/>
      <w:r w:rsidRPr="005C0CAC">
        <w:rPr>
          <w:rFonts w:asciiTheme="minorHAnsi" w:hAnsiTheme="minorHAnsi" w:cs="Arial"/>
          <w:b/>
          <w:szCs w:val="22"/>
          <w:lang w:val="en"/>
        </w:rPr>
        <w:t xml:space="preserve">) </w:t>
      </w:r>
      <w:r w:rsidRPr="005C0CAC">
        <w:rPr>
          <w:rFonts w:asciiTheme="minorHAnsi" w:hAnsiTheme="minorHAnsi" w:cs="Arial"/>
          <w:szCs w:val="22"/>
          <w:lang w:val="en"/>
        </w:rPr>
        <w:t xml:space="preserve"> forms</w:t>
      </w:r>
      <w:proofErr w:type="gramEnd"/>
      <w:r w:rsidRPr="005C0CAC">
        <w:rPr>
          <w:rFonts w:asciiTheme="minorHAnsi" w:hAnsiTheme="minorHAnsi" w:cs="Arial"/>
          <w:szCs w:val="22"/>
          <w:lang w:val="en"/>
        </w:rPr>
        <w:t xml:space="preserve"> part of a Wales wide Autism Strategy initiative to develop support for </w:t>
      </w:r>
      <w:r>
        <w:rPr>
          <w:rFonts w:asciiTheme="minorHAnsi" w:hAnsiTheme="minorHAnsi" w:cs="Arial"/>
          <w:szCs w:val="22"/>
          <w:lang w:val="en"/>
        </w:rPr>
        <w:t xml:space="preserve">adults </w:t>
      </w:r>
      <w:r w:rsidRPr="005C0CAC">
        <w:rPr>
          <w:rFonts w:asciiTheme="minorHAnsi" w:hAnsiTheme="minorHAnsi" w:cs="Arial"/>
          <w:szCs w:val="22"/>
          <w:lang w:val="en"/>
        </w:rPr>
        <w:t>with Autistic Spectrum Disorders and their families.</w:t>
      </w:r>
      <w:r>
        <w:rPr>
          <w:rFonts w:asciiTheme="minorHAnsi" w:hAnsiTheme="minorHAnsi" w:cs="Arial"/>
          <w:szCs w:val="22"/>
          <w:lang w:val="en"/>
        </w:rPr>
        <w:t xml:space="preserve"> </w:t>
      </w:r>
      <w:r w:rsidRPr="005C0CAC">
        <w:rPr>
          <w:rFonts w:asciiTheme="minorHAnsi" w:hAnsiTheme="minorHAnsi" w:cs="Arial"/>
          <w:szCs w:val="22"/>
          <w:lang w:val="en"/>
        </w:rPr>
        <w:t xml:space="preserve">The vision for the </w:t>
      </w:r>
      <w:r>
        <w:rPr>
          <w:rFonts w:asciiTheme="minorHAnsi" w:hAnsiTheme="minorHAnsi" w:cs="Arial"/>
          <w:szCs w:val="22"/>
          <w:lang w:val="en"/>
        </w:rPr>
        <w:t>IAS</w:t>
      </w:r>
      <w:r w:rsidRPr="005C0CAC">
        <w:rPr>
          <w:rFonts w:asciiTheme="minorHAnsi" w:hAnsiTheme="minorHAnsi" w:cs="Arial"/>
          <w:szCs w:val="22"/>
          <w:lang w:val="en"/>
        </w:rPr>
        <w:t xml:space="preserve"> is </w:t>
      </w:r>
      <w:r>
        <w:rPr>
          <w:rFonts w:asciiTheme="minorHAnsi" w:hAnsiTheme="minorHAnsi" w:cs="Arial"/>
          <w:szCs w:val="22"/>
          <w:lang w:val="en"/>
        </w:rPr>
        <w:t>for</w:t>
      </w:r>
      <w:r w:rsidRPr="005C0CAC">
        <w:rPr>
          <w:rFonts w:asciiTheme="minorHAnsi" w:hAnsiTheme="minorHAnsi" w:cs="Arial"/>
          <w:szCs w:val="22"/>
          <w:lang w:val="en"/>
        </w:rPr>
        <w:t xml:space="preserve"> collaboration between health and social care in partnership with education, Third Sector organisations and other services. </w:t>
      </w:r>
      <w:r w:rsidRPr="005C0CAC">
        <w:rPr>
          <w:rFonts w:asciiTheme="minorHAnsi" w:hAnsiTheme="minorHAnsi" w:cs="Arial"/>
          <w:szCs w:val="22"/>
        </w:rPr>
        <w:t>The IAS service consists of a range of professionals who have the required ski</w:t>
      </w:r>
      <w:r>
        <w:rPr>
          <w:rFonts w:asciiTheme="minorHAnsi" w:hAnsiTheme="minorHAnsi" w:cs="Arial"/>
          <w:szCs w:val="22"/>
        </w:rPr>
        <w:t>lls to ensure low level support and</w:t>
      </w:r>
      <w:r w:rsidRPr="005C0CAC">
        <w:rPr>
          <w:rFonts w:asciiTheme="minorHAnsi" w:hAnsiTheme="minorHAnsi" w:cs="Arial"/>
          <w:szCs w:val="22"/>
        </w:rPr>
        <w:t xml:space="preserve"> brief interventions as well as having access to skilled practitioners who can support and intervene where required in relation to those with or affected by Autism.</w:t>
      </w:r>
      <w:r>
        <w:rPr>
          <w:rFonts w:asciiTheme="minorHAnsi" w:hAnsiTheme="minorHAnsi" w:cs="Arial"/>
          <w:szCs w:val="22"/>
        </w:rPr>
        <w:t xml:space="preserve"> Offering </w:t>
      </w:r>
      <w:r w:rsidRPr="00EF7720">
        <w:rPr>
          <w:rFonts w:cs="Arial"/>
          <w:lang w:val="en"/>
        </w:rPr>
        <w:t xml:space="preserve">adults </w:t>
      </w:r>
      <w:r w:rsidRPr="000F7872">
        <w:rPr>
          <w:rFonts w:cs="Arial"/>
          <w:lang w:val="en"/>
        </w:rPr>
        <w:t xml:space="preserve">a diagnostic assessment if </w:t>
      </w:r>
      <w:r w:rsidRPr="00EF7720">
        <w:rPr>
          <w:rFonts w:cs="Arial"/>
          <w:lang w:val="en"/>
        </w:rPr>
        <w:t xml:space="preserve">needed, </w:t>
      </w:r>
      <w:r>
        <w:rPr>
          <w:rFonts w:cs="Arial"/>
          <w:lang w:val="en"/>
        </w:rPr>
        <w:t>IAS also offer</w:t>
      </w:r>
      <w:r w:rsidRPr="00EF7720">
        <w:rPr>
          <w:rFonts w:cs="Arial"/>
          <w:lang w:val="en"/>
        </w:rPr>
        <w:t xml:space="preserve"> </w:t>
      </w:r>
      <w:r>
        <w:rPr>
          <w:rFonts w:cs="Arial"/>
          <w:lang w:val="en"/>
        </w:rPr>
        <w:t xml:space="preserve">advice and support on managing anxiety, developing social skills, accessing leisure and recreational activities, developing daily living skills and accessing other services as appropriate to the individual’s needs. </w:t>
      </w:r>
    </w:p>
    <w:p w14:paraId="7AD85E83" w14:textId="77777777" w:rsidR="00D8540C" w:rsidRDefault="00D8540C" w:rsidP="00D8540C">
      <w:pPr>
        <w:jc w:val="left"/>
        <w:rPr>
          <w:rFonts w:cs="Arial"/>
          <w:lang w:val="en"/>
        </w:rPr>
      </w:pPr>
    </w:p>
    <w:p w14:paraId="785E6986" w14:textId="59AECFCF" w:rsidR="00174521" w:rsidRDefault="00D8540C" w:rsidP="00D8540C">
      <w:pPr>
        <w:rPr>
          <w:rFonts w:cs="Arial"/>
          <w:lang w:val="en"/>
        </w:rPr>
      </w:pPr>
      <w:r>
        <w:rPr>
          <w:rFonts w:cs="Arial"/>
          <w:lang w:val="en"/>
        </w:rPr>
        <w:t xml:space="preserve">The service has seen a significant increase in referrals over the past 6 months, which along with the level of vacancies within the team has led to difficulty meeting demand. A service review has led to a new team skill mix and structure when fully appointed to will provide more capacity enabling timelier assessments.  Meanwhile a waiting list initiative is being undertaken to provide diagnostic assessments. </w:t>
      </w:r>
      <w:r w:rsidR="00174521">
        <w:rPr>
          <w:rFonts w:cs="Arial"/>
          <w:lang w:val="en"/>
        </w:rPr>
        <w:t xml:space="preserve"> </w:t>
      </w:r>
    </w:p>
    <w:p w14:paraId="59034079" w14:textId="77777777" w:rsidR="00174521" w:rsidRPr="000F7872" w:rsidRDefault="00174521" w:rsidP="00174521">
      <w:pPr>
        <w:jc w:val="left"/>
        <w:rPr>
          <w:rFonts w:cs="Arial"/>
          <w:lang w:val="en"/>
        </w:rPr>
      </w:pPr>
    </w:p>
    <w:p w14:paraId="5D1ABD51" w14:textId="6324FD23" w:rsidR="00D8540C" w:rsidRPr="00D8540C" w:rsidRDefault="00D8540C" w:rsidP="00174521">
      <w:pPr>
        <w:rPr>
          <w:rFonts w:asciiTheme="minorHAnsi" w:hAnsiTheme="minorHAnsi"/>
          <w:b/>
          <w:szCs w:val="22"/>
        </w:rPr>
      </w:pPr>
      <w:r w:rsidRPr="00D8540C">
        <w:rPr>
          <w:rFonts w:asciiTheme="minorHAnsi" w:hAnsiTheme="minorHAnsi"/>
          <w:b/>
          <w:szCs w:val="22"/>
        </w:rPr>
        <w:t>Local Mental Health Partnership Board</w:t>
      </w:r>
    </w:p>
    <w:p w14:paraId="41611395" w14:textId="77777777" w:rsidR="00D8540C" w:rsidRPr="00B463FA" w:rsidRDefault="00D8540C" w:rsidP="00D8540C">
      <w:pPr>
        <w:rPr>
          <w:rFonts w:asciiTheme="minorHAnsi" w:hAnsiTheme="minorHAnsi"/>
          <w:szCs w:val="22"/>
        </w:rPr>
      </w:pPr>
      <w:r>
        <w:rPr>
          <w:rFonts w:asciiTheme="minorHAnsi" w:hAnsiTheme="minorHAnsi"/>
          <w:szCs w:val="22"/>
        </w:rPr>
        <w:t>P</w:t>
      </w:r>
      <w:r w:rsidRPr="00B463FA">
        <w:rPr>
          <w:rFonts w:asciiTheme="minorHAnsi" w:hAnsiTheme="minorHAnsi"/>
          <w:szCs w:val="22"/>
        </w:rPr>
        <w:t xml:space="preserve">riority </w:t>
      </w:r>
      <w:r>
        <w:rPr>
          <w:rFonts w:asciiTheme="minorHAnsi" w:hAnsiTheme="minorHAnsi"/>
          <w:szCs w:val="22"/>
        </w:rPr>
        <w:t xml:space="preserve">service </w:t>
      </w:r>
      <w:r w:rsidRPr="00B463FA">
        <w:rPr>
          <w:rFonts w:asciiTheme="minorHAnsi" w:hAnsiTheme="minorHAnsi"/>
          <w:szCs w:val="22"/>
        </w:rPr>
        <w:t xml:space="preserve">developments are being enabled with the significant </w:t>
      </w:r>
      <w:r>
        <w:rPr>
          <w:rFonts w:asciiTheme="minorHAnsi" w:hAnsiTheme="minorHAnsi"/>
          <w:szCs w:val="22"/>
        </w:rPr>
        <w:t xml:space="preserve">and welcomed </w:t>
      </w:r>
      <w:r w:rsidRPr="00B463FA">
        <w:rPr>
          <w:rFonts w:asciiTheme="minorHAnsi" w:hAnsiTheme="minorHAnsi"/>
          <w:szCs w:val="22"/>
        </w:rPr>
        <w:t xml:space="preserve">WG investment in mental health services via the Mental Health Service Improvement Fund.  In 2018/19 this funding enabled us  to invest in improving the range of psychological therapies available; develop the commissioning structure for mental health related Continuing Health Care; develop local low secure and forensic services; help advance practice within adult inpatient care; enhancing community based support for people with dementia; and enhancing the local primary care CAMHS service. Building on these developments we are using £1.28m of this year’s funding to continue development of psychological therapies and </w:t>
      </w:r>
      <w:proofErr w:type="gramStart"/>
      <w:r w:rsidRPr="00B463FA">
        <w:rPr>
          <w:rFonts w:asciiTheme="minorHAnsi" w:hAnsiTheme="minorHAnsi"/>
          <w:szCs w:val="22"/>
        </w:rPr>
        <w:t>to  invest</w:t>
      </w:r>
      <w:proofErr w:type="gramEnd"/>
      <w:r w:rsidRPr="00B463FA">
        <w:rPr>
          <w:rFonts w:asciiTheme="minorHAnsi" w:hAnsiTheme="minorHAnsi"/>
          <w:szCs w:val="22"/>
        </w:rPr>
        <w:t xml:space="preserve"> in services to provide Early Intervention in Psychosis, Perinatal Mental Health, Eating Disorders, Crisis Care and advancing practice in adult mental health care. The </w:t>
      </w:r>
      <w:r>
        <w:rPr>
          <w:rFonts w:asciiTheme="minorHAnsi" w:hAnsiTheme="minorHAnsi"/>
          <w:szCs w:val="22"/>
        </w:rPr>
        <w:t xml:space="preserve">remaining £1m funding is being used to enhance primary, secondary and crisis CAMH services. </w:t>
      </w:r>
    </w:p>
    <w:p w14:paraId="44390CBA" w14:textId="77777777" w:rsidR="00D8540C" w:rsidRPr="00081017" w:rsidRDefault="00D8540C" w:rsidP="00D8540C">
      <w:pPr>
        <w:rPr>
          <w:rFonts w:asciiTheme="minorHAnsi" w:hAnsiTheme="minorHAnsi"/>
          <w:szCs w:val="22"/>
        </w:rPr>
      </w:pPr>
    </w:p>
    <w:p w14:paraId="4149EE24" w14:textId="627BF9D0" w:rsidR="00D8540C" w:rsidRPr="00D8540C" w:rsidRDefault="00D8540C" w:rsidP="00D8540C">
      <w:pPr>
        <w:rPr>
          <w:rFonts w:asciiTheme="minorHAnsi" w:hAnsiTheme="minorHAnsi"/>
          <w:szCs w:val="22"/>
        </w:rPr>
      </w:pPr>
      <w:r w:rsidRPr="00081017">
        <w:rPr>
          <w:rFonts w:asciiTheme="minorHAnsi" w:hAnsiTheme="minorHAnsi"/>
          <w:szCs w:val="22"/>
        </w:rPr>
        <w:t xml:space="preserve">Together with our partners we are making sound progress </w:t>
      </w:r>
      <w:r>
        <w:rPr>
          <w:rFonts w:asciiTheme="minorHAnsi" w:hAnsiTheme="minorHAnsi"/>
          <w:szCs w:val="22"/>
        </w:rPr>
        <w:t>in the Local Mental H</w:t>
      </w:r>
      <w:r w:rsidRPr="009E26B7">
        <w:rPr>
          <w:rFonts w:asciiTheme="minorHAnsi" w:hAnsiTheme="minorHAnsi"/>
          <w:szCs w:val="22"/>
        </w:rPr>
        <w:t xml:space="preserve">ealth Partnership Board </w:t>
      </w:r>
      <w:r w:rsidRPr="00D8540C">
        <w:rPr>
          <w:rFonts w:asciiTheme="minorHAnsi" w:hAnsiTheme="minorHAnsi"/>
          <w:szCs w:val="22"/>
        </w:rPr>
        <w:t>addressing the locally agreed priorities through multi-agency work streams. These cover:</w:t>
      </w:r>
    </w:p>
    <w:p w14:paraId="4C41AA94" w14:textId="77777777" w:rsidR="00D8540C" w:rsidRPr="00D8540C" w:rsidRDefault="00D8540C" w:rsidP="00D8540C">
      <w:pPr>
        <w:pStyle w:val="NormaBullet"/>
        <w:rPr>
          <w:szCs w:val="22"/>
        </w:rPr>
      </w:pPr>
      <w:r w:rsidRPr="00D8540C">
        <w:rPr>
          <w:szCs w:val="22"/>
        </w:rPr>
        <w:t xml:space="preserve">Prevention of Suicide and Self Harm (SSH): – Overseeing implementation of the Cwm Taf #Project 34 +and </w:t>
      </w:r>
      <w:r w:rsidRPr="00D8540C">
        <w:rPr>
          <w:szCs w:val="22"/>
          <w:lang w:val="en-NZ"/>
        </w:rPr>
        <w:t xml:space="preserve">Bridgend SSH action plans, with a view to developing </w:t>
      </w:r>
      <w:proofErr w:type="gramStart"/>
      <w:r w:rsidRPr="00D8540C">
        <w:rPr>
          <w:szCs w:val="22"/>
          <w:lang w:val="en-NZ"/>
        </w:rPr>
        <w:t>a  Cwm</w:t>
      </w:r>
      <w:proofErr w:type="gramEnd"/>
      <w:r w:rsidRPr="00D8540C">
        <w:rPr>
          <w:szCs w:val="22"/>
          <w:lang w:val="en-NZ"/>
        </w:rPr>
        <w:t xml:space="preserve"> Taf Morgannwg SSH action from 2020.  Welsh Government funding in 2019/20 is being used to raise awareness of suicide and self harm within communities and with key staff, and to offer support to those affected.</w:t>
      </w:r>
    </w:p>
    <w:p w14:paraId="0E39BEE5" w14:textId="77777777" w:rsidR="00D8540C" w:rsidRPr="00D8540C" w:rsidRDefault="00D8540C" w:rsidP="00D8540C">
      <w:pPr>
        <w:pStyle w:val="NormaBullet"/>
        <w:rPr>
          <w:szCs w:val="22"/>
        </w:rPr>
      </w:pPr>
      <w:r w:rsidRPr="00D8540C">
        <w:rPr>
          <w:szCs w:val="22"/>
        </w:rPr>
        <w:t xml:space="preserve">Children and Young People: - Opportunities continue to take place in relation to how children and young people are involved in the development of service delivery. Development continues to take place that reflects priorities that have been agreed by all agencies.  </w:t>
      </w:r>
    </w:p>
    <w:p w14:paraId="585D0379" w14:textId="77777777" w:rsidR="00D8540C" w:rsidRPr="00D8540C" w:rsidRDefault="00D8540C" w:rsidP="00D8540C">
      <w:pPr>
        <w:pStyle w:val="NormaBullet"/>
        <w:rPr>
          <w:szCs w:val="22"/>
        </w:rPr>
      </w:pPr>
      <w:r w:rsidRPr="00D8540C">
        <w:rPr>
          <w:szCs w:val="22"/>
        </w:rPr>
        <w:t xml:space="preserve">Dementia: - Local implementation of the Dementia Action Plan for Wales overseen by </w:t>
      </w:r>
      <w:proofErr w:type="gramStart"/>
      <w:r w:rsidRPr="00D8540C">
        <w:rPr>
          <w:szCs w:val="22"/>
        </w:rPr>
        <w:t>the  Dementia</w:t>
      </w:r>
      <w:proofErr w:type="gramEnd"/>
      <w:r w:rsidRPr="00D8540C">
        <w:rPr>
          <w:szCs w:val="22"/>
        </w:rPr>
        <w:t xml:space="preserve"> Steering Group and various workstreams.</w:t>
      </w:r>
    </w:p>
    <w:p w14:paraId="035B2036" w14:textId="77777777" w:rsidR="00D8540C" w:rsidRPr="00D8540C" w:rsidRDefault="00D8540C" w:rsidP="00D8540C">
      <w:pPr>
        <w:pStyle w:val="NormaBullet"/>
        <w:rPr>
          <w:szCs w:val="22"/>
        </w:rPr>
      </w:pPr>
      <w:r w:rsidRPr="00D8540C">
        <w:rPr>
          <w:szCs w:val="22"/>
        </w:rPr>
        <w:lastRenderedPageBreak/>
        <w:t xml:space="preserve">Co-occurring Mental Health and Substance Misuse: – Local implementation of the national framework, with a focus on improving pathways between mental health and substance misuse services, and staff </w:t>
      </w:r>
      <w:proofErr w:type="gramStart"/>
      <w:r w:rsidRPr="00D8540C">
        <w:rPr>
          <w:szCs w:val="22"/>
        </w:rPr>
        <w:t>training  in</w:t>
      </w:r>
      <w:proofErr w:type="gramEnd"/>
      <w:r w:rsidRPr="00D8540C">
        <w:rPr>
          <w:szCs w:val="22"/>
        </w:rPr>
        <w:t xml:space="preserve"> conjunction with the University of South Wales. </w:t>
      </w:r>
    </w:p>
    <w:p w14:paraId="59EF76A1" w14:textId="77777777" w:rsidR="00D8540C" w:rsidRPr="00D8540C" w:rsidRDefault="00D8540C" w:rsidP="00D8540C">
      <w:pPr>
        <w:pStyle w:val="NormaBullet"/>
        <w:rPr>
          <w:szCs w:val="22"/>
        </w:rPr>
      </w:pPr>
      <w:r w:rsidRPr="00D8540C">
        <w:rPr>
          <w:szCs w:val="22"/>
        </w:rPr>
        <w:t xml:space="preserve">Adult services: Access and Recovery – taking forward the redesign of adult community mental health services, and crisis support. </w:t>
      </w:r>
    </w:p>
    <w:p w14:paraId="6C046FD8" w14:textId="52A6F579" w:rsidR="00174521" w:rsidRPr="007027DF" w:rsidRDefault="00D8540C" w:rsidP="00D8540C">
      <w:pPr>
        <w:pStyle w:val="NormaBullet"/>
        <w:rPr>
          <w:rFonts w:asciiTheme="minorHAnsi" w:hAnsiTheme="minorHAnsi"/>
          <w:szCs w:val="22"/>
        </w:rPr>
      </w:pPr>
      <w:r w:rsidRPr="00D8540C">
        <w:rPr>
          <w:szCs w:val="22"/>
        </w:rPr>
        <w:t>Service User and Carer Engagement:  - All of the above work streams have involved service user and carer engagement.  Following the transition of Bridgend County</w:t>
      </w:r>
      <w:r>
        <w:rPr>
          <w:szCs w:val="22"/>
        </w:rPr>
        <w:t xml:space="preserve"> Borough a Task and Finish group has been set up to develop a Service User and Carer Framework.</w:t>
      </w:r>
      <w:r w:rsidR="00174521">
        <w:rPr>
          <w:szCs w:val="22"/>
        </w:rPr>
        <w:t xml:space="preserve">   </w:t>
      </w:r>
    </w:p>
    <w:p w14:paraId="01439846" w14:textId="77777777" w:rsidR="00174521" w:rsidRDefault="00174521" w:rsidP="00174521">
      <w:pPr>
        <w:rPr>
          <w:rFonts w:asciiTheme="minorHAnsi" w:hAnsiTheme="minorHAnsi"/>
          <w:szCs w:val="22"/>
        </w:rPr>
      </w:pPr>
    </w:p>
    <w:p w14:paraId="0F0BDFEA" w14:textId="77777777" w:rsidR="00D8540C" w:rsidRPr="00AC1B47" w:rsidRDefault="00D8540C" w:rsidP="00D8540C">
      <w:pPr>
        <w:rPr>
          <w:rFonts w:asciiTheme="minorHAnsi" w:hAnsiTheme="minorHAnsi"/>
          <w:szCs w:val="22"/>
        </w:rPr>
      </w:pPr>
      <w:r w:rsidRPr="00AC1B47">
        <w:rPr>
          <w:rFonts w:asciiTheme="minorHAnsi" w:hAnsiTheme="minorHAnsi"/>
          <w:szCs w:val="22"/>
        </w:rPr>
        <w:t xml:space="preserve">The </w:t>
      </w:r>
      <w:r>
        <w:rPr>
          <w:rFonts w:asciiTheme="minorHAnsi" w:hAnsiTheme="minorHAnsi"/>
          <w:szCs w:val="22"/>
        </w:rPr>
        <w:t xml:space="preserve">revised </w:t>
      </w:r>
      <w:r w:rsidRPr="00AC1B47">
        <w:rPr>
          <w:rFonts w:asciiTheme="minorHAnsi" w:hAnsiTheme="minorHAnsi"/>
          <w:szCs w:val="22"/>
        </w:rPr>
        <w:t>All-Wales Toget</w:t>
      </w:r>
      <w:r>
        <w:rPr>
          <w:rFonts w:asciiTheme="minorHAnsi" w:hAnsiTheme="minorHAnsi"/>
          <w:szCs w:val="22"/>
        </w:rPr>
        <w:t>her for Mental Health Delivery P</w:t>
      </w:r>
      <w:r w:rsidRPr="00AC1B47">
        <w:rPr>
          <w:rFonts w:asciiTheme="minorHAnsi" w:hAnsiTheme="minorHAnsi"/>
          <w:szCs w:val="22"/>
        </w:rPr>
        <w:t xml:space="preserve">lan for 2019-2022 is due to be </w:t>
      </w:r>
      <w:r>
        <w:rPr>
          <w:rFonts w:asciiTheme="minorHAnsi" w:hAnsiTheme="minorHAnsi"/>
          <w:szCs w:val="22"/>
        </w:rPr>
        <w:t>published in late 2019</w:t>
      </w:r>
      <w:r w:rsidRPr="00AC1B47">
        <w:rPr>
          <w:rFonts w:asciiTheme="minorHAnsi" w:hAnsiTheme="minorHAnsi"/>
          <w:szCs w:val="22"/>
        </w:rPr>
        <w:t xml:space="preserve"> following </w:t>
      </w:r>
      <w:r>
        <w:rPr>
          <w:rFonts w:asciiTheme="minorHAnsi" w:hAnsiTheme="minorHAnsi"/>
          <w:szCs w:val="22"/>
        </w:rPr>
        <w:t xml:space="preserve">the formal </w:t>
      </w:r>
      <w:r w:rsidRPr="00AC1B47">
        <w:rPr>
          <w:rFonts w:asciiTheme="minorHAnsi" w:hAnsiTheme="minorHAnsi"/>
          <w:szCs w:val="22"/>
        </w:rPr>
        <w:t>consultation process</w:t>
      </w:r>
      <w:r>
        <w:rPr>
          <w:rFonts w:asciiTheme="minorHAnsi" w:hAnsiTheme="minorHAnsi"/>
          <w:szCs w:val="22"/>
        </w:rPr>
        <w:t xml:space="preserve"> that took place over the summer</w:t>
      </w:r>
      <w:r w:rsidRPr="00AC1B47">
        <w:rPr>
          <w:rFonts w:asciiTheme="minorHAnsi" w:hAnsiTheme="minorHAnsi"/>
          <w:szCs w:val="22"/>
        </w:rPr>
        <w:t xml:space="preserve">. Once </w:t>
      </w:r>
      <w:r>
        <w:rPr>
          <w:rFonts w:asciiTheme="minorHAnsi" w:hAnsiTheme="minorHAnsi"/>
          <w:szCs w:val="22"/>
        </w:rPr>
        <w:t>published</w:t>
      </w:r>
      <w:r w:rsidRPr="00AC1B47">
        <w:rPr>
          <w:rFonts w:asciiTheme="minorHAnsi" w:hAnsiTheme="minorHAnsi"/>
          <w:szCs w:val="22"/>
        </w:rPr>
        <w:t xml:space="preserve"> the Board will arrange stakeholder workshop sessions to review and align priorities for the coming period, to inform future direction. In the meantime partners within the Cwm Taf Morgannwg Together for Mental Health Partnership Board continue making progress addressing the local agreed priorities through multi-agency streams. </w:t>
      </w:r>
    </w:p>
    <w:p w14:paraId="5599D199" w14:textId="77777777" w:rsidR="00D8540C" w:rsidRDefault="00D8540C" w:rsidP="00D8540C">
      <w:pPr>
        <w:pStyle w:val="NormaBullet"/>
        <w:numPr>
          <w:ilvl w:val="0"/>
          <w:numId w:val="0"/>
        </w:numPr>
        <w:rPr>
          <w:szCs w:val="22"/>
        </w:rPr>
      </w:pPr>
    </w:p>
    <w:p w14:paraId="090AC043" w14:textId="77777777" w:rsidR="00D8540C" w:rsidRPr="003D0778" w:rsidRDefault="00D8540C" w:rsidP="00D8540C">
      <w:pPr>
        <w:rPr>
          <w:rFonts w:asciiTheme="minorHAnsi" w:hAnsiTheme="minorHAnsi"/>
          <w:szCs w:val="22"/>
        </w:rPr>
      </w:pPr>
      <w:r>
        <w:rPr>
          <w:rFonts w:asciiTheme="minorHAnsi" w:hAnsiTheme="minorHAnsi"/>
          <w:szCs w:val="22"/>
        </w:rPr>
        <w:t>O</w:t>
      </w:r>
      <w:r w:rsidRPr="003D0778">
        <w:rPr>
          <w:rFonts w:asciiTheme="minorHAnsi" w:hAnsiTheme="minorHAnsi"/>
          <w:szCs w:val="22"/>
        </w:rPr>
        <w:t xml:space="preserve">ur Adult Mental Health priorities for </w:t>
      </w:r>
      <w:r>
        <w:rPr>
          <w:rFonts w:asciiTheme="minorHAnsi" w:hAnsiTheme="minorHAnsi"/>
          <w:szCs w:val="22"/>
        </w:rPr>
        <w:t>2020/21</w:t>
      </w:r>
      <w:r w:rsidRPr="003D0778">
        <w:rPr>
          <w:rFonts w:asciiTheme="minorHAnsi" w:hAnsiTheme="minorHAnsi"/>
          <w:szCs w:val="22"/>
        </w:rPr>
        <w:t xml:space="preserve"> and beyond include:</w:t>
      </w:r>
    </w:p>
    <w:p w14:paraId="7C7E9078" w14:textId="77777777" w:rsidR="00D8540C" w:rsidRDefault="00D8540C" w:rsidP="003B1653">
      <w:pPr>
        <w:pStyle w:val="NormaBullet"/>
        <w:numPr>
          <w:ilvl w:val="0"/>
          <w:numId w:val="37"/>
        </w:numPr>
        <w:rPr>
          <w:rFonts w:asciiTheme="minorHAnsi" w:hAnsiTheme="minorHAnsi"/>
          <w:szCs w:val="22"/>
        </w:rPr>
      </w:pPr>
      <w:r>
        <w:rPr>
          <w:rFonts w:asciiTheme="minorHAnsi" w:hAnsiTheme="minorHAnsi"/>
          <w:szCs w:val="22"/>
        </w:rPr>
        <w:t xml:space="preserve">Developing a cohesive mental health and learning disability framework and team for training, learning, assurance and quality improvement.  </w:t>
      </w:r>
    </w:p>
    <w:p w14:paraId="1E794C66" w14:textId="77777777" w:rsidR="00D8540C" w:rsidRDefault="00D8540C" w:rsidP="003B1653">
      <w:pPr>
        <w:pStyle w:val="NormaBullet"/>
        <w:numPr>
          <w:ilvl w:val="0"/>
          <w:numId w:val="37"/>
        </w:numPr>
        <w:rPr>
          <w:rFonts w:asciiTheme="minorHAnsi" w:hAnsiTheme="minorHAnsi"/>
          <w:szCs w:val="22"/>
        </w:rPr>
      </w:pPr>
      <w:r>
        <w:rPr>
          <w:rFonts w:asciiTheme="minorHAnsi" w:hAnsiTheme="minorHAnsi"/>
          <w:szCs w:val="22"/>
        </w:rPr>
        <w:t xml:space="preserve">Development of an integrated crisis presentation and accessible early response model in and for our communities.  </w:t>
      </w:r>
    </w:p>
    <w:p w14:paraId="2E74A1D3" w14:textId="77777777" w:rsidR="00D8540C" w:rsidRDefault="00D8540C" w:rsidP="003B1653">
      <w:pPr>
        <w:pStyle w:val="NormaBullet"/>
        <w:numPr>
          <w:ilvl w:val="0"/>
          <w:numId w:val="37"/>
        </w:numPr>
        <w:rPr>
          <w:rFonts w:asciiTheme="minorHAnsi" w:hAnsiTheme="minorHAnsi"/>
          <w:szCs w:val="22"/>
        </w:rPr>
      </w:pPr>
      <w:r>
        <w:rPr>
          <w:rFonts w:asciiTheme="minorHAnsi" w:hAnsiTheme="minorHAnsi"/>
          <w:szCs w:val="22"/>
        </w:rPr>
        <w:t xml:space="preserve">Continued implementation of our community mental health services redesign, including </w:t>
      </w:r>
      <w:r w:rsidRPr="00C02D4C">
        <w:rPr>
          <w:rFonts w:asciiTheme="minorHAnsi" w:hAnsiTheme="minorHAnsi"/>
          <w:szCs w:val="22"/>
        </w:rPr>
        <w:t>new models of service at universal and primary care level to meet increasing demand for mental health services in a timely, helpful and effective way</w:t>
      </w:r>
    </w:p>
    <w:p w14:paraId="4B70DB0B" w14:textId="77777777" w:rsidR="00D8540C" w:rsidRDefault="00D8540C" w:rsidP="003B1653">
      <w:pPr>
        <w:pStyle w:val="NormaBullet"/>
        <w:numPr>
          <w:ilvl w:val="0"/>
          <w:numId w:val="37"/>
        </w:numPr>
        <w:rPr>
          <w:rFonts w:asciiTheme="minorHAnsi" w:hAnsiTheme="minorHAnsi"/>
          <w:szCs w:val="22"/>
        </w:rPr>
      </w:pPr>
      <w:r>
        <w:rPr>
          <w:rFonts w:asciiTheme="minorHAnsi" w:hAnsiTheme="minorHAnsi"/>
          <w:szCs w:val="22"/>
        </w:rPr>
        <w:t>Introduction of c</w:t>
      </w:r>
      <w:r w:rsidRPr="00C02D4C">
        <w:rPr>
          <w:rFonts w:asciiTheme="minorHAnsi" w:hAnsiTheme="minorHAnsi"/>
          <w:szCs w:val="22"/>
        </w:rPr>
        <w:t>lear pathways / service response for a population with early psychos</w:t>
      </w:r>
      <w:r>
        <w:rPr>
          <w:rFonts w:asciiTheme="minorHAnsi" w:hAnsiTheme="minorHAnsi"/>
          <w:szCs w:val="22"/>
        </w:rPr>
        <w:t>i</w:t>
      </w:r>
      <w:r w:rsidRPr="00C02D4C">
        <w:rPr>
          <w:rFonts w:asciiTheme="minorHAnsi" w:hAnsiTheme="minorHAnsi"/>
          <w:szCs w:val="22"/>
        </w:rPr>
        <w:t>s presentation or at risk of developing this</w:t>
      </w:r>
    </w:p>
    <w:p w14:paraId="43900219" w14:textId="77777777" w:rsidR="00D8540C" w:rsidRPr="00E63BCF" w:rsidRDefault="00D8540C" w:rsidP="003B1653">
      <w:pPr>
        <w:pStyle w:val="NormaBullet"/>
        <w:numPr>
          <w:ilvl w:val="0"/>
          <w:numId w:val="37"/>
        </w:numPr>
        <w:rPr>
          <w:rFonts w:asciiTheme="minorHAnsi" w:hAnsiTheme="minorHAnsi"/>
          <w:szCs w:val="22"/>
        </w:rPr>
      </w:pPr>
      <w:r w:rsidRPr="00E63BCF">
        <w:rPr>
          <w:rFonts w:asciiTheme="minorHAnsi" w:hAnsiTheme="minorHAnsi"/>
          <w:szCs w:val="22"/>
        </w:rPr>
        <w:t>Progress planning for a Cwm Taf Morgannwg mental health bed model that will see fit for purpose estate to meet the needs of the population.</w:t>
      </w:r>
      <w:r>
        <w:rPr>
          <w:rFonts w:asciiTheme="minorHAnsi" w:hAnsiTheme="minorHAnsi"/>
          <w:szCs w:val="22"/>
        </w:rPr>
        <w:t xml:space="preserve"> This includes </w:t>
      </w:r>
      <w:r w:rsidRPr="00E63BCF">
        <w:rPr>
          <w:rFonts w:asciiTheme="minorHAnsi" w:hAnsiTheme="minorHAnsi"/>
          <w:szCs w:val="22"/>
        </w:rPr>
        <w:t>options for the reprovision of services currently based at YGT</w:t>
      </w:r>
      <w:r>
        <w:rPr>
          <w:rFonts w:asciiTheme="minorHAnsi" w:hAnsiTheme="minorHAnsi"/>
          <w:szCs w:val="22"/>
        </w:rPr>
        <w:t xml:space="preserve"> as part of the integrated health and social care model for Rhondda</w:t>
      </w:r>
      <w:r w:rsidRPr="00E63BCF">
        <w:rPr>
          <w:rFonts w:asciiTheme="minorHAnsi" w:hAnsiTheme="minorHAnsi"/>
          <w:szCs w:val="22"/>
        </w:rPr>
        <w:t xml:space="preserve">. </w:t>
      </w:r>
    </w:p>
    <w:p w14:paraId="06AD4F67" w14:textId="77777777" w:rsidR="00D8540C" w:rsidRDefault="00D8540C" w:rsidP="003B1653">
      <w:pPr>
        <w:pStyle w:val="NormaBullet"/>
        <w:numPr>
          <w:ilvl w:val="0"/>
          <w:numId w:val="37"/>
        </w:numPr>
        <w:rPr>
          <w:rFonts w:asciiTheme="minorHAnsi" w:hAnsiTheme="minorHAnsi"/>
          <w:szCs w:val="22"/>
        </w:rPr>
      </w:pPr>
      <w:r>
        <w:rPr>
          <w:rFonts w:asciiTheme="minorHAnsi" w:hAnsiTheme="minorHAnsi"/>
          <w:szCs w:val="22"/>
        </w:rPr>
        <w:t>Production of a clear, co-produced plan for the future of rehabilitation and recovery services, with a view to enabling individuals’ greater integration in the local community.</w:t>
      </w:r>
    </w:p>
    <w:p w14:paraId="41CBDF7C" w14:textId="77777777" w:rsidR="00D8540C" w:rsidRPr="00BB1A29" w:rsidRDefault="00D8540C" w:rsidP="003B1653">
      <w:pPr>
        <w:pStyle w:val="NormaBullet"/>
        <w:numPr>
          <w:ilvl w:val="0"/>
          <w:numId w:val="37"/>
        </w:numPr>
        <w:rPr>
          <w:rFonts w:asciiTheme="minorHAnsi" w:hAnsiTheme="minorHAnsi"/>
          <w:szCs w:val="22"/>
        </w:rPr>
      </w:pPr>
      <w:r>
        <w:rPr>
          <w:rFonts w:asciiTheme="minorHAnsi" w:hAnsiTheme="minorHAnsi"/>
          <w:szCs w:val="22"/>
        </w:rPr>
        <w:t xml:space="preserve">Seeking to re-provide placements closer to home for people supported in out of area independent hospitals and residential facilities. </w:t>
      </w:r>
    </w:p>
    <w:p w14:paraId="4549734F" w14:textId="77777777" w:rsidR="00D8540C" w:rsidRDefault="00D8540C" w:rsidP="003B1653">
      <w:pPr>
        <w:pStyle w:val="NormaBullet"/>
        <w:numPr>
          <w:ilvl w:val="0"/>
          <w:numId w:val="37"/>
        </w:numPr>
        <w:rPr>
          <w:rFonts w:asciiTheme="minorHAnsi" w:hAnsiTheme="minorHAnsi"/>
          <w:szCs w:val="22"/>
        </w:rPr>
      </w:pPr>
      <w:r>
        <w:rPr>
          <w:rFonts w:asciiTheme="minorHAnsi" w:hAnsiTheme="minorHAnsi"/>
          <w:szCs w:val="22"/>
        </w:rPr>
        <w:t>Development of a more MDT approach to forensic services in conjunction with partners in the criminal justice system to meet population needs.</w:t>
      </w:r>
    </w:p>
    <w:p w14:paraId="2DD980AE" w14:textId="77777777" w:rsidR="00D8540C" w:rsidRDefault="00D8540C" w:rsidP="003B1653">
      <w:pPr>
        <w:pStyle w:val="NormaBullet"/>
        <w:numPr>
          <w:ilvl w:val="0"/>
          <w:numId w:val="37"/>
        </w:numPr>
        <w:rPr>
          <w:rFonts w:asciiTheme="minorHAnsi" w:hAnsiTheme="minorHAnsi"/>
          <w:szCs w:val="22"/>
        </w:rPr>
      </w:pPr>
      <w:r>
        <w:rPr>
          <w:rFonts w:asciiTheme="minorHAnsi" w:hAnsiTheme="minorHAnsi"/>
          <w:szCs w:val="22"/>
        </w:rPr>
        <w:t xml:space="preserve">Further rollout of shared care models of care for people with dementia. </w:t>
      </w:r>
    </w:p>
    <w:p w14:paraId="47AFA82E" w14:textId="0C2A6B08" w:rsidR="00174521" w:rsidRDefault="00D8540C" w:rsidP="003B1653">
      <w:pPr>
        <w:pStyle w:val="NormaBullet"/>
        <w:numPr>
          <w:ilvl w:val="0"/>
          <w:numId w:val="37"/>
        </w:numPr>
        <w:rPr>
          <w:rFonts w:asciiTheme="minorHAnsi" w:hAnsiTheme="minorHAnsi"/>
          <w:szCs w:val="22"/>
        </w:rPr>
      </w:pPr>
      <w:r>
        <w:rPr>
          <w:rFonts w:asciiTheme="minorHAnsi" w:hAnsiTheme="minorHAnsi"/>
          <w:szCs w:val="22"/>
        </w:rPr>
        <w:t>Development of the memory assessment pathway and service to meet the needs of our ageing population.</w:t>
      </w:r>
    </w:p>
    <w:p w14:paraId="2BA260FE" w14:textId="66CBE62E" w:rsidR="00D8540C" w:rsidRDefault="00D8540C" w:rsidP="009A1D3B">
      <w:pPr>
        <w:pStyle w:val="NormaBullet"/>
        <w:numPr>
          <w:ilvl w:val="0"/>
          <w:numId w:val="0"/>
        </w:numPr>
        <w:rPr>
          <w:rFonts w:asciiTheme="minorHAnsi" w:hAnsiTheme="minorHAnsi"/>
          <w:szCs w:val="22"/>
        </w:rPr>
      </w:pPr>
    </w:p>
    <w:p w14:paraId="0F6FCA44" w14:textId="374A4E6D" w:rsidR="00D8540C" w:rsidRPr="00AD2BF0" w:rsidRDefault="0098336B" w:rsidP="009A1D3B">
      <w:pPr>
        <w:pStyle w:val="NormaBullet"/>
        <w:numPr>
          <w:ilvl w:val="0"/>
          <w:numId w:val="0"/>
        </w:numPr>
        <w:rPr>
          <w:rFonts w:asciiTheme="minorHAnsi" w:hAnsiTheme="minorHAnsi"/>
          <w:b/>
          <w:szCs w:val="22"/>
        </w:rPr>
      </w:pPr>
      <w:r>
        <w:rPr>
          <w:rFonts w:asciiTheme="minorHAnsi" w:hAnsiTheme="minorHAnsi"/>
          <w:bCs/>
          <w:noProof/>
        </w:rPr>
        <mc:AlternateContent>
          <mc:Choice Requires="wps">
            <w:drawing>
              <wp:anchor distT="0" distB="0" distL="114300" distR="114300" simplePos="0" relativeHeight="252810240" behindDoc="1" locked="0" layoutInCell="1" allowOverlap="1" wp14:anchorId="47F94AF9" wp14:editId="5DB116ED">
                <wp:simplePos x="0" y="0"/>
                <wp:positionH relativeFrom="margin">
                  <wp:posOffset>-111397</wp:posOffset>
                </wp:positionH>
                <wp:positionV relativeFrom="paragraph">
                  <wp:posOffset>93708</wp:posOffset>
                </wp:positionV>
                <wp:extent cx="6770551" cy="696595"/>
                <wp:effectExtent l="0" t="38100" r="30480" b="65405"/>
                <wp:wrapNone/>
                <wp:docPr id="44" name="Right Arrow 44"/>
                <wp:cNvGraphicFramePr/>
                <a:graphic xmlns:a="http://schemas.openxmlformats.org/drawingml/2006/main">
                  <a:graphicData uri="http://schemas.microsoft.com/office/word/2010/wordprocessingShape">
                    <wps:wsp>
                      <wps:cNvSpPr/>
                      <wps:spPr>
                        <a:xfrm>
                          <a:off x="0" y="0"/>
                          <a:ext cx="6770551" cy="696595"/>
                        </a:xfrm>
                        <a:prstGeom prst="rightArrow">
                          <a:avLst>
                            <a:gd name="adj1" fmla="val 50000"/>
                            <a:gd name="adj2" fmla="val 29881"/>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AF079F" id="Right Arrow 44" o:spid="_x0000_s1026" type="#_x0000_t13" style="position:absolute;margin-left:-8.75pt;margin-top:7.4pt;width:533.1pt;height:54.85pt;z-index:-250506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" adj="20936" fillcolor="#eaf1dd [662]" strokecolor="#76923c [2406]" strokeweight="2pt">
                <w10:wrap anchorx="margin"/>
              </v:shape>
            </w:pict>
          </mc:Fallback>
        </mc:AlternateContent>
      </w:r>
      <w:r w:rsidR="00D8540C">
        <w:rPr>
          <w:rFonts w:asciiTheme="minorHAnsi" w:hAnsiTheme="minorHAnsi"/>
          <w:b/>
          <w:szCs w:val="22"/>
        </w:rPr>
        <w:t>Milestones</w:t>
      </w:r>
    </w:p>
    <w:p w14:paraId="4EAF4BF3" w14:textId="21D70570" w:rsidR="00D8540C" w:rsidRDefault="00D8540C" w:rsidP="00D8540C">
      <w:pPr>
        <w:pStyle w:val="NormaBullet"/>
        <w:numPr>
          <w:ilvl w:val="0"/>
          <w:numId w:val="0"/>
        </w:numPr>
        <w:ind w:left="720"/>
        <w:rPr>
          <w:rFonts w:asciiTheme="minorHAnsi" w:hAnsiTheme="minorHAnsi"/>
          <w:szCs w:val="22"/>
        </w:rPr>
      </w:pPr>
    </w:p>
    <w:tbl>
      <w:tblPr>
        <w:tblStyle w:val="TableGrid"/>
        <w:tblW w:w="10065" w:type="dxa"/>
        <w:tblInd w:w="-5" w:type="dxa"/>
        <w:tblLook w:val="04A0" w:firstRow="1" w:lastRow="0" w:firstColumn="1" w:lastColumn="0" w:noHBand="0" w:noVBand="1"/>
      </w:tblPr>
      <w:tblGrid>
        <w:gridCol w:w="426"/>
        <w:gridCol w:w="4677"/>
        <w:gridCol w:w="3261"/>
        <w:gridCol w:w="1701"/>
      </w:tblGrid>
      <w:tr w:rsidR="00D8540C" w14:paraId="215BACBA" w14:textId="77777777" w:rsidTr="0098336B">
        <w:tc>
          <w:tcPr>
            <w:tcW w:w="426" w:type="dxa"/>
          </w:tcPr>
          <w:p w14:paraId="36017A6D" w14:textId="00477566" w:rsidR="00D8540C" w:rsidRDefault="00D8540C" w:rsidP="00E02C36">
            <w:pPr>
              <w:jc w:val="center"/>
              <w:rPr>
                <w:rFonts w:asciiTheme="minorHAnsi" w:hAnsiTheme="minorHAnsi"/>
                <w:bCs/>
              </w:rPr>
            </w:pPr>
          </w:p>
        </w:tc>
        <w:tc>
          <w:tcPr>
            <w:tcW w:w="4677" w:type="dxa"/>
          </w:tcPr>
          <w:p w14:paraId="0DC9E3BE" w14:textId="1727FA31" w:rsidR="00D8540C" w:rsidRDefault="00D8540C" w:rsidP="009A1D3B">
            <w:pPr>
              <w:jc w:val="center"/>
              <w:rPr>
                <w:rFonts w:asciiTheme="minorHAnsi" w:hAnsiTheme="minorHAnsi"/>
                <w:bCs/>
              </w:rPr>
            </w:pPr>
            <w:r>
              <w:rPr>
                <w:rFonts w:asciiTheme="minorHAnsi" w:hAnsiTheme="minorHAnsi"/>
                <w:bCs/>
              </w:rPr>
              <w:t>Year 1</w:t>
            </w:r>
          </w:p>
        </w:tc>
        <w:tc>
          <w:tcPr>
            <w:tcW w:w="3261" w:type="dxa"/>
          </w:tcPr>
          <w:p w14:paraId="55607885" w14:textId="16A0C640" w:rsidR="00D8540C" w:rsidRDefault="00D8540C" w:rsidP="009A1D3B">
            <w:pPr>
              <w:jc w:val="center"/>
              <w:rPr>
                <w:rFonts w:asciiTheme="minorHAnsi" w:hAnsiTheme="minorHAnsi"/>
                <w:bCs/>
              </w:rPr>
            </w:pPr>
            <w:r>
              <w:rPr>
                <w:rFonts w:asciiTheme="minorHAnsi" w:hAnsiTheme="minorHAnsi"/>
                <w:bCs/>
              </w:rPr>
              <w:t>Year 2</w:t>
            </w:r>
          </w:p>
        </w:tc>
        <w:tc>
          <w:tcPr>
            <w:tcW w:w="1701" w:type="dxa"/>
          </w:tcPr>
          <w:p w14:paraId="7A4A953E" w14:textId="77777777" w:rsidR="00D8540C" w:rsidRDefault="00D8540C" w:rsidP="00E02C36">
            <w:pPr>
              <w:jc w:val="center"/>
              <w:rPr>
                <w:rFonts w:asciiTheme="minorHAnsi" w:hAnsiTheme="minorHAnsi"/>
                <w:bCs/>
              </w:rPr>
            </w:pPr>
            <w:r>
              <w:rPr>
                <w:rFonts w:asciiTheme="minorHAnsi" w:hAnsiTheme="minorHAnsi"/>
                <w:bCs/>
              </w:rPr>
              <w:t>Year 3</w:t>
            </w:r>
          </w:p>
          <w:p w14:paraId="200CAD28" w14:textId="77777777" w:rsidR="009A1D3B" w:rsidRDefault="009A1D3B" w:rsidP="00E02C36">
            <w:pPr>
              <w:jc w:val="center"/>
              <w:rPr>
                <w:rFonts w:asciiTheme="minorHAnsi" w:hAnsiTheme="minorHAnsi"/>
                <w:bCs/>
              </w:rPr>
            </w:pPr>
          </w:p>
        </w:tc>
      </w:tr>
      <w:tr w:rsidR="00D8540C" w14:paraId="06415639" w14:textId="77777777" w:rsidTr="0098336B">
        <w:tc>
          <w:tcPr>
            <w:tcW w:w="426" w:type="dxa"/>
          </w:tcPr>
          <w:p w14:paraId="54FE2333" w14:textId="77777777" w:rsidR="00D8540C" w:rsidRDefault="00D8540C" w:rsidP="003B1653">
            <w:pPr>
              <w:pStyle w:val="NormaBullet"/>
              <w:numPr>
                <w:ilvl w:val="0"/>
                <w:numId w:val="69"/>
              </w:numPr>
              <w:ind w:left="313"/>
              <w:rPr>
                <w:rFonts w:asciiTheme="minorHAnsi" w:hAnsiTheme="minorHAnsi"/>
                <w:bCs/>
              </w:rPr>
            </w:pPr>
          </w:p>
        </w:tc>
        <w:tc>
          <w:tcPr>
            <w:tcW w:w="4677" w:type="dxa"/>
          </w:tcPr>
          <w:p w14:paraId="785B7DE2" w14:textId="4C3227F2" w:rsidR="00D8540C" w:rsidRPr="00D8540C" w:rsidRDefault="00D8540C" w:rsidP="00D8540C">
            <w:pPr>
              <w:pStyle w:val="NormaBullet"/>
              <w:numPr>
                <w:ilvl w:val="0"/>
                <w:numId w:val="0"/>
              </w:numPr>
              <w:ind w:left="-47"/>
              <w:rPr>
                <w:rFonts w:asciiTheme="minorHAnsi" w:hAnsiTheme="minorHAnsi"/>
                <w:szCs w:val="22"/>
              </w:rPr>
            </w:pPr>
            <w:r>
              <w:rPr>
                <w:rFonts w:asciiTheme="minorHAnsi" w:hAnsiTheme="minorHAnsi"/>
                <w:bCs/>
              </w:rPr>
              <w:t xml:space="preserve">By Q4 - </w:t>
            </w:r>
            <w:r>
              <w:rPr>
                <w:rFonts w:asciiTheme="minorHAnsi" w:hAnsiTheme="minorHAnsi"/>
                <w:szCs w:val="22"/>
              </w:rPr>
              <w:t xml:space="preserve">mental health and learning disability framework developed for training, learning, assurance and quality improvement; team in place and work plan agreed </w:t>
            </w:r>
          </w:p>
        </w:tc>
        <w:tc>
          <w:tcPr>
            <w:tcW w:w="3261" w:type="dxa"/>
          </w:tcPr>
          <w:p w14:paraId="68F92D60" w14:textId="77777777" w:rsidR="00D8540C" w:rsidRPr="00AD2BF0" w:rsidRDefault="00D8540C" w:rsidP="00E02C36">
            <w:pPr>
              <w:rPr>
                <w:rFonts w:asciiTheme="minorHAnsi" w:hAnsiTheme="minorHAnsi"/>
                <w:bCs/>
              </w:rPr>
            </w:pPr>
            <w:r w:rsidRPr="00AD2BF0">
              <w:rPr>
                <w:rFonts w:asciiTheme="minorHAnsi" w:hAnsiTheme="minorHAnsi"/>
                <w:bCs/>
              </w:rPr>
              <w:t>Year 1 impact and outcomes report  &amp; recruit further clinician</w:t>
            </w:r>
          </w:p>
          <w:p w14:paraId="092C93DC" w14:textId="77777777" w:rsidR="00D8540C" w:rsidRPr="00A16AB9" w:rsidRDefault="00D8540C" w:rsidP="00D8540C">
            <w:pPr>
              <w:rPr>
                <w:rFonts w:asciiTheme="minorHAnsi" w:hAnsiTheme="minorHAnsi"/>
                <w:bCs/>
              </w:rPr>
            </w:pPr>
          </w:p>
        </w:tc>
        <w:tc>
          <w:tcPr>
            <w:tcW w:w="1701" w:type="dxa"/>
          </w:tcPr>
          <w:p w14:paraId="0DF189D5" w14:textId="6E83554A" w:rsidR="00D8540C" w:rsidRPr="00A16AB9" w:rsidRDefault="00D8540C" w:rsidP="00E02C36">
            <w:pPr>
              <w:rPr>
                <w:rFonts w:asciiTheme="minorHAnsi" w:hAnsiTheme="minorHAnsi"/>
                <w:bCs/>
              </w:rPr>
            </w:pPr>
            <w:r w:rsidRPr="00AD2BF0">
              <w:rPr>
                <w:rFonts w:asciiTheme="minorHAnsi" w:hAnsiTheme="minorHAnsi"/>
                <w:bCs/>
              </w:rPr>
              <w:t xml:space="preserve">Year </w:t>
            </w:r>
            <w:r>
              <w:rPr>
                <w:rFonts w:asciiTheme="minorHAnsi" w:hAnsiTheme="minorHAnsi"/>
                <w:bCs/>
              </w:rPr>
              <w:t>2</w:t>
            </w:r>
            <w:r w:rsidRPr="00AD2BF0">
              <w:rPr>
                <w:rFonts w:asciiTheme="minorHAnsi" w:hAnsiTheme="minorHAnsi"/>
                <w:bCs/>
              </w:rPr>
              <w:t xml:space="preserve"> impact and outcomes report  &amp; recruit further clinician</w:t>
            </w:r>
          </w:p>
        </w:tc>
      </w:tr>
      <w:tr w:rsidR="00D8540C" w14:paraId="4D5E1C85" w14:textId="77777777" w:rsidTr="0098336B">
        <w:tc>
          <w:tcPr>
            <w:tcW w:w="426" w:type="dxa"/>
          </w:tcPr>
          <w:p w14:paraId="139571C5" w14:textId="77777777" w:rsidR="00D8540C" w:rsidRDefault="00D8540C" w:rsidP="003B1653">
            <w:pPr>
              <w:pStyle w:val="NormaBullet"/>
              <w:numPr>
                <w:ilvl w:val="0"/>
                <w:numId w:val="69"/>
              </w:numPr>
              <w:ind w:left="313"/>
              <w:rPr>
                <w:rFonts w:asciiTheme="minorHAnsi" w:hAnsiTheme="minorHAnsi"/>
                <w:bCs/>
              </w:rPr>
            </w:pPr>
          </w:p>
        </w:tc>
        <w:tc>
          <w:tcPr>
            <w:tcW w:w="4677" w:type="dxa"/>
          </w:tcPr>
          <w:p w14:paraId="673A5AB8" w14:textId="77777777" w:rsidR="00D8540C" w:rsidRPr="00A16AB9" w:rsidRDefault="00D8540C" w:rsidP="00E02C36">
            <w:pPr>
              <w:rPr>
                <w:rFonts w:asciiTheme="minorHAnsi" w:hAnsiTheme="minorHAnsi"/>
                <w:bCs/>
              </w:rPr>
            </w:pPr>
            <w:r w:rsidRPr="00A16AB9">
              <w:rPr>
                <w:rFonts w:asciiTheme="minorHAnsi" w:hAnsiTheme="minorHAnsi"/>
                <w:szCs w:val="22"/>
              </w:rPr>
              <w:t>Q4 - Delivery of an integrated crisis presentation and accessible early response model in and for our communities.</w:t>
            </w:r>
          </w:p>
          <w:p w14:paraId="44B741F9" w14:textId="77777777" w:rsidR="00D8540C" w:rsidRDefault="00D8540C" w:rsidP="00E02C36">
            <w:pPr>
              <w:pStyle w:val="NormaBullet"/>
              <w:numPr>
                <w:ilvl w:val="0"/>
                <w:numId w:val="0"/>
              </w:numPr>
              <w:ind w:left="-47"/>
              <w:rPr>
                <w:rFonts w:asciiTheme="minorHAnsi" w:hAnsiTheme="minorHAnsi"/>
                <w:bCs/>
              </w:rPr>
            </w:pPr>
          </w:p>
        </w:tc>
        <w:tc>
          <w:tcPr>
            <w:tcW w:w="3261" w:type="dxa"/>
          </w:tcPr>
          <w:p w14:paraId="456AD455" w14:textId="77777777" w:rsidR="00D8540C" w:rsidRDefault="00D8540C" w:rsidP="00E02C36">
            <w:pPr>
              <w:rPr>
                <w:rFonts w:asciiTheme="minorHAnsi" w:hAnsiTheme="minorHAnsi"/>
                <w:bCs/>
              </w:rPr>
            </w:pPr>
            <w:r w:rsidRPr="00A16AB9">
              <w:rPr>
                <w:rFonts w:asciiTheme="minorHAnsi" w:hAnsiTheme="minorHAnsi"/>
                <w:bCs/>
              </w:rPr>
              <w:t>First annual report with full evaluation and quarterly KPI's; further £300k investment secured from new WG ringfenced funding if available</w:t>
            </w:r>
          </w:p>
        </w:tc>
        <w:tc>
          <w:tcPr>
            <w:tcW w:w="1701" w:type="dxa"/>
          </w:tcPr>
          <w:p w14:paraId="2E60A9C8" w14:textId="77777777" w:rsidR="00D8540C" w:rsidRPr="00A16AB9" w:rsidRDefault="00D8540C" w:rsidP="00E02C36">
            <w:pPr>
              <w:rPr>
                <w:rFonts w:asciiTheme="minorHAnsi" w:hAnsiTheme="minorHAnsi"/>
                <w:bCs/>
              </w:rPr>
            </w:pPr>
            <w:r>
              <w:rPr>
                <w:rFonts w:asciiTheme="minorHAnsi" w:hAnsiTheme="minorHAnsi"/>
                <w:bCs/>
              </w:rPr>
              <w:t>2</w:t>
            </w:r>
            <w:r w:rsidRPr="003C584A">
              <w:rPr>
                <w:rFonts w:asciiTheme="minorHAnsi" w:hAnsiTheme="minorHAnsi"/>
                <w:bCs/>
                <w:vertAlign w:val="superscript"/>
              </w:rPr>
              <w:t>nd</w:t>
            </w:r>
            <w:r>
              <w:rPr>
                <w:rFonts w:asciiTheme="minorHAnsi" w:hAnsiTheme="minorHAnsi"/>
                <w:bCs/>
              </w:rPr>
              <w:t xml:space="preserve"> annual report</w:t>
            </w:r>
          </w:p>
        </w:tc>
      </w:tr>
      <w:tr w:rsidR="00D8540C" w14:paraId="51B517AC" w14:textId="77777777" w:rsidTr="0098336B">
        <w:tc>
          <w:tcPr>
            <w:tcW w:w="426" w:type="dxa"/>
          </w:tcPr>
          <w:p w14:paraId="2E79035E" w14:textId="77777777" w:rsidR="00D8540C" w:rsidRDefault="00D8540C" w:rsidP="003B1653">
            <w:pPr>
              <w:pStyle w:val="NormaBullet"/>
              <w:numPr>
                <w:ilvl w:val="0"/>
                <w:numId w:val="69"/>
              </w:numPr>
              <w:ind w:left="313"/>
              <w:rPr>
                <w:rFonts w:asciiTheme="minorHAnsi" w:hAnsiTheme="minorHAnsi"/>
                <w:bCs/>
              </w:rPr>
            </w:pPr>
          </w:p>
        </w:tc>
        <w:tc>
          <w:tcPr>
            <w:tcW w:w="4677" w:type="dxa"/>
          </w:tcPr>
          <w:p w14:paraId="7382F9F2" w14:textId="77777777" w:rsidR="00D8540C" w:rsidRDefault="00D8540C" w:rsidP="00E02C36">
            <w:pPr>
              <w:pStyle w:val="NormaBullet"/>
              <w:numPr>
                <w:ilvl w:val="0"/>
                <w:numId w:val="0"/>
              </w:numPr>
              <w:rPr>
                <w:rFonts w:asciiTheme="minorHAnsi" w:hAnsiTheme="minorHAnsi"/>
                <w:szCs w:val="22"/>
              </w:rPr>
            </w:pPr>
            <w:r>
              <w:rPr>
                <w:rFonts w:asciiTheme="minorHAnsi" w:hAnsiTheme="minorHAnsi"/>
                <w:szCs w:val="22"/>
              </w:rPr>
              <w:t>Q1 – Cluster based Mental Health Practitioners fully operational</w:t>
            </w:r>
          </w:p>
          <w:p w14:paraId="77C4D98A" w14:textId="4196D3E1" w:rsidR="00D8540C" w:rsidRPr="009A1D3B" w:rsidRDefault="00D8540C" w:rsidP="009A1D3B">
            <w:pPr>
              <w:pStyle w:val="NormaBullet"/>
              <w:numPr>
                <w:ilvl w:val="0"/>
                <w:numId w:val="0"/>
              </w:numPr>
              <w:rPr>
                <w:rFonts w:asciiTheme="minorHAnsi" w:hAnsiTheme="minorHAnsi"/>
                <w:szCs w:val="22"/>
              </w:rPr>
            </w:pPr>
            <w:r>
              <w:rPr>
                <w:rFonts w:asciiTheme="minorHAnsi" w:hAnsiTheme="minorHAnsi"/>
                <w:szCs w:val="22"/>
              </w:rPr>
              <w:t>Q4 – Evaluate the impact of the service and develop sustainability plan</w:t>
            </w:r>
          </w:p>
        </w:tc>
        <w:tc>
          <w:tcPr>
            <w:tcW w:w="3261" w:type="dxa"/>
          </w:tcPr>
          <w:p w14:paraId="55DA8343" w14:textId="77777777" w:rsidR="00D8540C" w:rsidRDefault="00D8540C" w:rsidP="00E02C36">
            <w:pPr>
              <w:rPr>
                <w:rFonts w:asciiTheme="minorHAnsi" w:hAnsiTheme="minorHAnsi"/>
                <w:bCs/>
              </w:rPr>
            </w:pPr>
            <w:r>
              <w:rPr>
                <w:rFonts w:asciiTheme="minorHAnsi" w:hAnsiTheme="minorHAnsi"/>
                <w:bCs/>
              </w:rPr>
              <w:t>Sustain delivery of the service and ongoing evaluation of impact on primary and secondary mental health service model</w:t>
            </w:r>
          </w:p>
        </w:tc>
        <w:tc>
          <w:tcPr>
            <w:tcW w:w="1701" w:type="dxa"/>
          </w:tcPr>
          <w:p w14:paraId="3AEA831F" w14:textId="77777777" w:rsidR="00D8540C" w:rsidRPr="00A16AB9" w:rsidRDefault="00D8540C" w:rsidP="00E02C36">
            <w:pPr>
              <w:rPr>
                <w:rFonts w:asciiTheme="minorHAnsi" w:hAnsiTheme="minorHAnsi"/>
                <w:bCs/>
              </w:rPr>
            </w:pPr>
          </w:p>
        </w:tc>
      </w:tr>
      <w:tr w:rsidR="00D8540C" w14:paraId="0E4C001D" w14:textId="77777777" w:rsidTr="0098336B">
        <w:tc>
          <w:tcPr>
            <w:tcW w:w="426" w:type="dxa"/>
          </w:tcPr>
          <w:p w14:paraId="2B5A1267" w14:textId="77777777" w:rsidR="00D8540C" w:rsidRDefault="00D8540C" w:rsidP="003B1653">
            <w:pPr>
              <w:pStyle w:val="NormaBullet"/>
              <w:numPr>
                <w:ilvl w:val="0"/>
                <w:numId w:val="69"/>
              </w:numPr>
              <w:ind w:left="313"/>
              <w:rPr>
                <w:rFonts w:asciiTheme="minorHAnsi" w:hAnsiTheme="minorHAnsi"/>
                <w:bCs/>
              </w:rPr>
            </w:pPr>
          </w:p>
        </w:tc>
        <w:tc>
          <w:tcPr>
            <w:tcW w:w="4677" w:type="dxa"/>
          </w:tcPr>
          <w:p w14:paraId="3980C8FE" w14:textId="77777777" w:rsidR="00D8540C" w:rsidRPr="00A16AB9" w:rsidRDefault="00D8540C" w:rsidP="00E02C36">
            <w:pPr>
              <w:pStyle w:val="NormaBullet"/>
              <w:numPr>
                <w:ilvl w:val="0"/>
                <w:numId w:val="0"/>
              </w:numPr>
              <w:ind w:left="-47"/>
              <w:rPr>
                <w:rFonts w:asciiTheme="minorHAnsi" w:hAnsiTheme="minorHAnsi"/>
                <w:bCs/>
              </w:rPr>
            </w:pPr>
            <w:r>
              <w:rPr>
                <w:rFonts w:asciiTheme="minorHAnsi" w:hAnsiTheme="minorHAnsi"/>
                <w:bCs/>
              </w:rPr>
              <w:t>Q4 - New service model agreed for Early Intervention in Psychosis service and new service to commence</w:t>
            </w:r>
          </w:p>
        </w:tc>
        <w:tc>
          <w:tcPr>
            <w:tcW w:w="3261" w:type="dxa"/>
          </w:tcPr>
          <w:p w14:paraId="1CAB8E5E" w14:textId="77777777" w:rsidR="00D8540C" w:rsidRPr="00A16AB9" w:rsidRDefault="00D8540C" w:rsidP="00E02C36">
            <w:pPr>
              <w:rPr>
                <w:rFonts w:asciiTheme="minorHAnsi" w:hAnsiTheme="minorHAnsi"/>
                <w:bCs/>
              </w:rPr>
            </w:pPr>
            <w:r>
              <w:rPr>
                <w:rFonts w:asciiTheme="minorHAnsi" w:hAnsiTheme="minorHAnsi"/>
                <w:bCs/>
              </w:rPr>
              <w:t>Evaluation of impact of new EIP service and pathways</w:t>
            </w:r>
          </w:p>
        </w:tc>
        <w:tc>
          <w:tcPr>
            <w:tcW w:w="1701" w:type="dxa"/>
          </w:tcPr>
          <w:p w14:paraId="7C817AAB" w14:textId="77777777" w:rsidR="00D8540C" w:rsidRPr="00A16AB9" w:rsidRDefault="00D8540C" w:rsidP="00E02C36">
            <w:pPr>
              <w:rPr>
                <w:rFonts w:asciiTheme="minorHAnsi" w:hAnsiTheme="minorHAnsi"/>
                <w:bCs/>
              </w:rPr>
            </w:pPr>
          </w:p>
        </w:tc>
      </w:tr>
      <w:tr w:rsidR="00D8540C" w14:paraId="0E9081AE" w14:textId="77777777" w:rsidTr="0098336B">
        <w:tc>
          <w:tcPr>
            <w:tcW w:w="426" w:type="dxa"/>
          </w:tcPr>
          <w:p w14:paraId="14AD141B" w14:textId="77777777" w:rsidR="00D8540C" w:rsidRDefault="00D8540C" w:rsidP="003B1653">
            <w:pPr>
              <w:pStyle w:val="NormaBullet"/>
              <w:numPr>
                <w:ilvl w:val="0"/>
                <w:numId w:val="69"/>
              </w:numPr>
              <w:ind w:left="313"/>
              <w:rPr>
                <w:rFonts w:asciiTheme="minorHAnsi" w:hAnsiTheme="minorHAnsi"/>
                <w:bCs/>
              </w:rPr>
            </w:pPr>
          </w:p>
        </w:tc>
        <w:tc>
          <w:tcPr>
            <w:tcW w:w="4677" w:type="dxa"/>
          </w:tcPr>
          <w:p w14:paraId="4EE912CB" w14:textId="77777777" w:rsidR="00D8540C" w:rsidRDefault="00D8540C" w:rsidP="00E02C36">
            <w:pPr>
              <w:pStyle w:val="NormaBullet"/>
              <w:numPr>
                <w:ilvl w:val="0"/>
                <w:numId w:val="0"/>
              </w:numPr>
              <w:ind w:left="-47"/>
              <w:rPr>
                <w:rFonts w:asciiTheme="minorHAnsi" w:hAnsiTheme="minorHAnsi"/>
                <w:bCs/>
              </w:rPr>
            </w:pPr>
            <w:r w:rsidRPr="00A16AB9">
              <w:rPr>
                <w:rFonts w:asciiTheme="minorHAnsi" w:hAnsiTheme="minorHAnsi"/>
                <w:bCs/>
              </w:rPr>
              <w:t>Q4 -  proposal for a CTM mental health bed model that will see fit for purpose estate to meet the needs of the population</w:t>
            </w:r>
          </w:p>
        </w:tc>
        <w:tc>
          <w:tcPr>
            <w:tcW w:w="3261" w:type="dxa"/>
          </w:tcPr>
          <w:p w14:paraId="5E82DE6B" w14:textId="77777777" w:rsidR="00D8540C" w:rsidRPr="00A16AB9" w:rsidRDefault="00D8540C" w:rsidP="00E02C36">
            <w:pPr>
              <w:rPr>
                <w:rFonts w:asciiTheme="minorHAnsi" w:hAnsiTheme="minorHAnsi"/>
                <w:bCs/>
              </w:rPr>
            </w:pPr>
            <w:r w:rsidRPr="00A16AB9">
              <w:rPr>
                <w:rFonts w:asciiTheme="minorHAnsi" w:hAnsiTheme="minorHAnsi"/>
                <w:bCs/>
              </w:rPr>
              <w:t>Business Case submitted to WG for approval</w:t>
            </w:r>
          </w:p>
          <w:p w14:paraId="5D9BA58E" w14:textId="77777777" w:rsidR="00D8540C" w:rsidRPr="00AD2BF0" w:rsidRDefault="00D8540C" w:rsidP="00E02C36">
            <w:pPr>
              <w:rPr>
                <w:rFonts w:asciiTheme="minorHAnsi" w:hAnsiTheme="minorHAnsi"/>
                <w:bCs/>
              </w:rPr>
            </w:pPr>
          </w:p>
        </w:tc>
        <w:tc>
          <w:tcPr>
            <w:tcW w:w="1701" w:type="dxa"/>
          </w:tcPr>
          <w:p w14:paraId="372B2E00" w14:textId="77777777" w:rsidR="00D8540C" w:rsidRPr="00AD2BF0" w:rsidRDefault="00D8540C" w:rsidP="00E02C36">
            <w:pPr>
              <w:rPr>
                <w:rFonts w:asciiTheme="minorHAnsi" w:hAnsiTheme="minorHAnsi"/>
                <w:bCs/>
              </w:rPr>
            </w:pPr>
            <w:r w:rsidRPr="00A16AB9">
              <w:rPr>
                <w:rFonts w:asciiTheme="minorHAnsi" w:hAnsiTheme="minorHAnsi"/>
                <w:bCs/>
              </w:rPr>
              <w:t>Commencement of capital build</w:t>
            </w:r>
          </w:p>
        </w:tc>
      </w:tr>
      <w:tr w:rsidR="00D8540C" w14:paraId="6A759DBA" w14:textId="77777777" w:rsidTr="0098336B">
        <w:tc>
          <w:tcPr>
            <w:tcW w:w="426" w:type="dxa"/>
          </w:tcPr>
          <w:p w14:paraId="58CBB538" w14:textId="77777777" w:rsidR="00D8540C" w:rsidRDefault="00D8540C" w:rsidP="003B1653">
            <w:pPr>
              <w:pStyle w:val="NormaBullet"/>
              <w:numPr>
                <w:ilvl w:val="0"/>
                <w:numId w:val="69"/>
              </w:numPr>
              <w:ind w:left="313"/>
              <w:rPr>
                <w:rFonts w:asciiTheme="minorHAnsi" w:hAnsiTheme="minorHAnsi"/>
                <w:bCs/>
              </w:rPr>
            </w:pPr>
          </w:p>
        </w:tc>
        <w:tc>
          <w:tcPr>
            <w:tcW w:w="4677" w:type="dxa"/>
          </w:tcPr>
          <w:p w14:paraId="19F40A5A" w14:textId="77777777" w:rsidR="00D8540C" w:rsidRDefault="00D8540C" w:rsidP="00E02C36">
            <w:pPr>
              <w:pStyle w:val="NormaBullet"/>
              <w:numPr>
                <w:ilvl w:val="0"/>
                <w:numId w:val="0"/>
              </w:numPr>
              <w:ind w:left="-47"/>
              <w:rPr>
                <w:rFonts w:asciiTheme="minorHAnsi" w:hAnsiTheme="minorHAnsi"/>
                <w:bCs/>
              </w:rPr>
            </w:pPr>
            <w:r>
              <w:rPr>
                <w:rFonts w:asciiTheme="minorHAnsi" w:hAnsiTheme="minorHAnsi"/>
                <w:bCs/>
              </w:rPr>
              <w:t xml:space="preserve">Q4 - </w:t>
            </w:r>
            <w:r w:rsidRPr="00E63BCF">
              <w:rPr>
                <w:rFonts w:asciiTheme="minorHAnsi" w:hAnsiTheme="minorHAnsi"/>
                <w:bCs/>
              </w:rPr>
              <w:t xml:space="preserve">Final coproduced proposal for the future direction of rehabilitation </w:t>
            </w:r>
            <w:r>
              <w:rPr>
                <w:rFonts w:asciiTheme="minorHAnsi" w:hAnsiTheme="minorHAnsi"/>
                <w:bCs/>
              </w:rPr>
              <w:t xml:space="preserve">and recovery </w:t>
            </w:r>
            <w:r w:rsidRPr="00E63BCF">
              <w:rPr>
                <w:rFonts w:asciiTheme="minorHAnsi" w:hAnsiTheme="minorHAnsi"/>
                <w:bCs/>
              </w:rPr>
              <w:t>services</w:t>
            </w:r>
          </w:p>
        </w:tc>
        <w:tc>
          <w:tcPr>
            <w:tcW w:w="3261" w:type="dxa"/>
          </w:tcPr>
          <w:p w14:paraId="423DCC7A" w14:textId="77777777" w:rsidR="00D8540C" w:rsidRPr="00AD2BF0" w:rsidRDefault="00D8540C" w:rsidP="00E02C36">
            <w:pPr>
              <w:rPr>
                <w:rFonts w:asciiTheme="minorHAnsi" w:hAnsiTheme="minorHAnsi"/>
                <w:bCs/>
              </w:rPr>
            </w:pPr>
            <w:r>
              <w:rPr>
                <w:rFonts w:asciiTheme="minorHAnsi" w:hAnsiTheme="minorHAnsi"/>
                <w:bCs/>
              </w:rPr>
              <w:t>Implementation of the proposal</w:t>
            </w:r>
          </w:p>
        </w:tc>
        <w:tc>
          <w:tcPr>
            <w:tcW w:w="1701" w:type="dxa"/>
          </w:tcPr>
          <w:p w14:paraId="57DA3D7C" w14:textId="77777777" w:rsidR="00D8540C" w:rsidRPr="00AD2BF0" w:rsidRDefault="00D8540C" w:rsidP="00E02C36">
            <w:pPr>
              <w:rPr>
                <w:rFonts w:asciiTheme="minorHAnsi" w:hAnsiTheme="minorHAnsi"/>
                <w:bCs/>
              </w:rPr>
            </w:pPr>
            <w:r>
              <w:rPr>
                <w:rFonts w:asciiTheme="minorHAnsi" w:hAnsiTheme="minorHAnsi"/>
                <w:bCs/>
              </w:rPr>
              <w:t xml:space="preserve">Ongoing implementation and evaluation </w:t>
            </w:r>
          </w:p>
        </w:tc>
      </w:tr>
      <w:tr w:rsidR="00D8540C" w14:paraId="3636A8DC" w14:textId="77777777" w:rsidTr="0098336B">
        <w:tc>
          <w:tcPr>
            <w:tcW w:w="426" w:type="dxa"/>
          </w:tcPr>
          <w:p w14:paraId="3D30E70D" w14:textId="77777777" w:rsidR="00D8540C" w:rsidRDefault="00D8540C" w:rsidP="003B1653">
            <w:pPr>
              <w:pStyle w:val="NormaBullet"/>
              <w:numPr>
                <w:ilvl w:val="0"/>
                <w:numId w:val="69"/>
              </w:numPr>
              <w:ind w:left="313"/>
              <w:rPr>
                <w:rFonts w:asciiTheme="minorHAnsi" w:hAnsiTheme="minorHAnsi"/>
                <w:bCs/>
              </w:rPr>
            </w:pPr>
          </w:p>
        </w:tc>
        <w:tc>
          <w:tcPr>
            <w:tcW w:w="4677" w:type="dxa"/>
          </w:tcPr>
          <w:p w14:paraId="181CA894" w14:textId="77777777" w:rsidR="00D8540C" w:rsidRDefault="00D8540C" w:rsidP="00E02C36">
            <w:pPr>
              <w:pStyle w:val="NormaBullet"/>
              <w:numPr>
                <w:ilvl w:val="0"/>
                <w:numId w:val="0"/>
              </w:numPr>
              <w:ind w:left="-47"/>
              <w:rPr>
                <w:rFonts w:asciiTheme="minorHAnsi" w:hAnsiTheme="minorHAnsi"/>
                <w:bCs/>
              </w:rPr>
            </w:pPr>
            <w:r>
              <w:rPr>
                <w:rFonts w:asciiTheme="minorHAnsi" w:hAnsiTheme="minorHAnsi"/>
                <w:bCs/>
              </w:rPr>
              <w:t>Q4 – develop business case for local re-provision of mental health placements</w:t>
            </w:r>
          </w:p>
        </w:tc>
        <w:tc>
          <w:tcPr>
            <w:tcW w:w="3261" w:type="dxa"/>
          </w:tcPr>
          <w:p w14:paraId="1E7BFADA" w14:textId="77777777" w:rsidR="00D8540C" w:rsidRPr="00AD2BF0" w:rsidRDefault="00D8540C" w:rsidP="00E02C36">
            <w:pPr>
              <w:rPr>
                <w:rFonts w:asciiTheme="minorHAnsi" w:hAnsiTheme="minorHAnsi"/>
                <w:bCs/>
              </w:rPr>
            </w:pPr>
            <w:r>
              <w:rPr>
                <w:rFonts w:asciiTheme="minorHAnsi" w:hAnsiTheme="minorHAnsi"/>
                <w:bCs/>
              </w:rPr>
              <w:t>Implement the business case</w:t>
            </w:r>
          </w:p>
        </w:tc>
        <w:tc>
          <w:tcPr>
            <w:tcW w:w="1701" w:type="dxa"/>
          </w:tcPr>
          <w:p w14:paraId="155342CE" w14:textId="77777777" w:rsidR="00D8540C" w:rsidRPr="00AD2BF0" w:rsidRDefault="00D8540C" w:rsidP="00E02C36">
            <w:pPr>
              <w:rPr>
                <w:rFonts w:asciiTheme="minorHAnsi" w:hAnsiTheme="minorHAnsi"/>
                <w:bCs/>
              </w:rPr>
            </w:pPr>
            <w:r>
              <w:rPr>
                <w:rFonts w:asciiTheme="minorHAnsi" w:hAnsiTheme="minorHAnsi"/>
                <w:bCs/>
              </w:rPr>
              <w:t>Evaluation</w:t>
            </w:r>
          </w:p>
        </w:tc>
      </w:tr>
      <w:tr w:rsidR="00D8540C" w14:paraId="0B782E6D" w14:textId="77777777" w:rsidTr="0098336B">
        <w:tc>
          <w:tcPr>
            <w:tcW w:w="426" w:type="dxa"/>
          </w:tcPr>
          <w:p w14:paraId="69F8D975" w14:textId="77777777" w:rsidR="00D8540C" w:rsidRDefault="00D8540C" w:rsidP="003B1653">
            <w:pPr>
              <w:pStyle w:val="NormaBullet"/>
              <w:numPr>
                <w:ilvl w:val="0"/>
                <w:numId w:val="69"/>
              </w:numPr>
              <w:ind w:left="313"/>
              <w:rPr>
                <w:rFonts w:asciiTheme="minorHAnsi" w:hAnsiTheme="minorHAnsi"/>
                <w:bCs/>
              </w:rPr>
            </w:pPr>
          </w:p>
        </w:tc>
        <w:tc>
          <w:tcPr>
            <w:tcW w:w="4677" w:type="dxa"/>
          </w:tcPr>
          <w:p w14:paraId="0ABB6008" w14:textId="77777777" w:rsidR="00D8540C" w:rsidRDefault="00D8540C" w:rsidP="00E02C36">
            <w:pPr>
              <w:pStyle w:val="NormaBullet"/>
              <w:numPr>
                <w:ilvl w:val="0"/>
                <w:numId w:val="0"/>
              </w:numPr>
              <w:ind w:left="-47"/>
              <w:rPr>
                <w:rFonts w:asciiTheme="minorHAnsi" w:hAnsiTheme="minorHAnsi"/>
                <w:bCs/>
              </w:rPr>
            </w:pPr>
            <w:r>
              <w:rPr>
                <w:rFonts w:asciiTheme="minorHAnsi" w:hAnsiTheme="minorHAnsi"/>
                <w:bCs/>
              </w:rPr>
              <w:t>Q4 – implementation of MDT Forensic service</w:t>
            </w:r>
          </w:p>
        </w:tc>
        <w:tc>
          <w:tcPr>
            <w:tcW w:w="3261" w:type="dxa"/>
          </w:tcPr>
          <w:p w14:paraId="515FD66A" w14:textId="77777777" w:rsidR="00D8540C" w:rsidRPr="00AD2BF0" w:rsidRDefault="00D8540C" w:rsidP="00E02C36">
            <w:pPr>
              <w:rPr>
                <w:rFonts w:asciiTheme="minorHAnsi" w:hAnsiTheme="minorHAnsi"/>
                <w:bCs/>
              </w:rPr>
            </w:pPr>
            <w:r>
              <w:rPr>
                <w:rFonts w:asciiTheme="minorHAnsi" w:hAnsiTheme="minorHAnsi"/>
                <w:bCs/>
              </w:rPr>
              <w:t>First annual  report and quarterly KPIs</w:t>
            </w:r>
          </w:p>
        </w:tc>
        <w:tc>
          <w:tcPr>
            <w:tcW w:w="1701" w:type="dxa"/>
          </w:tcPr>
          <w:p w14:paraId="64B19399" w14:textId="77777777" w:rsidR="00D8540C" w:rsidRPr="00AD2BF0" w:rsidRDefault="00D8540C" w:rsidP="00E02C36">
            <w:pPr>
              <w:rPr>
                <w:rFonts w:asciiTheme="minorHAnsi" w:hAnsiTheme="minorHAnsi"/>
                <w:bCs/>
              </w:rPr>
            </w:pPr>
            <w:r>
              <w:rPr>
                <w:rFonts w:asciiTheme="minorHAnsi" w:hAnsiTheme="minorHAnsi"/>
                <w:bCs/>
              </w:rPr>
              <w:t>Second annual  report and quarterly KPIs</w:t>
            </w:r>
          </w:p>
        </w:tc>
      </w:tr>
      <w:tr w:rsidR="00D8540C" w14:paraId="371E3EFD" w14:textId="77777777" w:rsidTr="0098336B">
        <w:tc>
          <w:tcPr>
            <w:tcW w:w="426" w:type="dxa"/>
          </w:tcPr>
          <w:p w14:paraId="1C99B6E9" w14:textId="77777777" w:rsidR="00D8540C" w:rsidRDefault="00D8540C" w:rsidP="003B1653">
            <w:pPr>
              <w:pStyle w:val="NormaBullet"/>
              <w:numPr>
                <w:ilvl w:val="0"/>
                <w:numId w:val="69"/>
              </w:numPr>
              <w:ind w:left="313"/>
              <w:rPr>
                <w:rFonts w:asciiTheme="minorHAnsi" w:hAnsiTheme="minorHAnsi"/>
                <w:bCs/>
              </w:rPr>
            </w:pPr>
          </w:p>
        </w:tc>
        <w:tc>
          <w:tcPr>
            <w:tcW w:w="4677" w:type="dxa"/>
          </w:tcPr>
          <w:p w14:paraId="500ABBAC" w14:textId="77777777" w:rsidR="00D8540C" w:rsidRDefault="00D8540C" w:rsidP="00E02C36">
            <w:pPr>
              <w:pStyle w:val="NormaBullet"/>
              <w:numPr>
                <w:ilvl w:val="0"/>
                <w:numId w:val="0"/>
              </w:numPr>
              <w:ind w:left="-47"/>
              <w:rPr>
                <w:rFonts w:asciiTheme="minorHAnsi" w:hAnsiTheme="minorHAnsi"/>
                <w:bCs/>
              </w:rPr>
            </w:pPr>
            <w:r>
              <w:rPr>
                <w:rFonts w:asciiTheme="minorHAnsi" w:hAnsiTheme="minorHAnsi"/>
                <w:bCs/>
              </w:rPr>
              <w:t xml:space="preserve">Q4 - </w:t>
            </w:r>
            <w:r w:rsidRPr="00652734">
              <w:rPr>
                <w:rFonts w:asciiTheme="minorHAnsi" w:hAnsiTheme="minorHAnsi"/>
                <w:bCs/>
              </w:rPr>
              <w:t>Clear model</w:t>
            </w:r>
            <w:r>
              <w:rPr>
                <w:rFonts w:asciiTheme="minorHAnsi" w:hAnsiTheme="minorHAnsi"/>
                <w:bCs/>
              </w:rPr>
              <w:t xml:space="preserve"> agreed for dementia shared care</w:t>
            </w:r>
            <w:r w:rsidRPr="00652734">
              <w:rPr>
                <w:rFonts w:asciiTheme="minorHAnsi" w:hAnsiTheme="minorHAnsi"/>
                <w:bCs/>
              </w:rPr>
              <w:t>, outcomes and finance plan with milestones presented through key</w:t>
            </w:r>
            <w:r>
              <w:rPr>
                <w:rFonts w:asciiTheme="minorHAnsi" w:hAnsiTheme="minorHAnsi"/>
                <w:bCs/>
              </w:rPr>
              <w:t xml:space="preserve"> directorate </w:t>
            </w:r>
            <w:r w:rsidRPr="00652734">
              <w:rPr>
                <w:rFonts w:asciiTheme="minorHAnsi" w:hAnsiTheme="minorHAnsi"/>
                <w:bCs/>
              </w:rPr>
              <w:t xml:space="preserve"> IMTP's</w:t>
            </w:r>
          </w:p>
        </w:tc>
        <w:tc>
          <w:tcPr>
            <w:tcW w:w="3261" w:type="dxa"/>
          </w:tcPr>
          <w:p w14:paraId="46CE83B6" w14:textId="77777777" w:rsidR="00D8540C" w:rsidRPr="00AD2BF0" w:rsidRDefault="00D8540C" w:rsidP="00E02C36">
            <w:pPr>
              <w:rPr>
                <w:rFonts w:asciiTheme="minorHAnsi" w:hAnsiTheme="minorHAnsi"/>
                <w:bCs/>
              </w:rPr>
            </w:pPr>
            <w:r>
              <w:rPr>
                <w:rFonts w:asciiTheme="minorHAnsi" w:hAnsiTheme="minorHAnsi"/>
                <w:bCs/>
              </w:rPr>
              <w:t>Implementation of new model including any capital work required</w:t>
            </w:r>
          </w:p>
        </w:tc>
        <w:tc>
          <w:tcPr>
            <w:tcW w:w="1701" w:type="dxa"/>
          </w:tcPr>
          <w:p w14:paraId="7B9FA8DE" w14:textId="77777777" w:rsidR="00D8540C" w:rsidRPr="00AD2BF0" w:rsidRDefault="00D8540C" w:rsidP="00E02C36">
            <w:pPr>
              <w:rPr>
                <w:rFonts w:asciiTheme="minorHAnsi" w:hAnsiTheme="minorHAnsi"/>
                <w:bCs/>
              </w:rPr>
            </w:pPr>
            <w:r>
              <w:rPr>
                <w:rFonts w:asciiTheme="minorHAnsi" w:hAnsiTheme="minorHAnsi"/>
                <w:bCs/>
              </w:rPr>
              <w:t>Evaluation of the model</w:t>
            </w:r>
          </w:p>
        </w:tc>
      </w:tr>
      <w:tr w:rsidR="00D8540C" w14:paraId="766087DE" w14:textId="77777777" w:rsidTr="0098336B">
        <w:tc>
          <w:tcPr>
            <w:tcW w:w="426" w:type="dxa"/>
          </w:tcPr>
          <w:p w14:paraId="1E6350F2" w14:textId="77777777" w:rsidR="00D8540C" w:rsidRDefault="00D8540C" w:rsidP="003B1653">
            <w:pPr>
              <w:pStyle w:val="NormaBullet"/>
              <w:numPr>
                <w:ilvl w:val="0"/>
                <w:numId w:val="69"/>
              </w:numPr>
              <w:ind w:left="313"/>
              <w:rPr>
                <w:rFonts w:asciiTheme="minorHAnsi" w:hAnsiTheme="minorHAnsi"/>
                <w:bCs/>
              </w:rPr>
            </w:pPr>
          </w:p>
        </w:tc>
        <w:tc>
          <w:tcPr>
            <w:tcW w:w="4677" w:type="dxa"/>
          </w:tcPr>
          <w:p w14:paraId="63251001" w14:textId="77777777" w:rsidR="00D8540C" w:rsidRDefault="00D8540C" w:rsidP="00E02C36">
            <w:pPr>
              <w:pStyle w:val="NormaBullet"/>
              <w:numPr>
                <w:ilvl w:val="0"/>
                <w:numId w:val="0"/>
              </w:numPr>
              <w:ind w:left="-47"/>
              <w:rPr>
                <w:rFonts w:asciiTheme="minorHAnsi" w:hAnsiTheme="minorHAnsi"/>
                <w:bCs/>
              </w:rPr>
            </w:pPr>
            <w:r>
              <w:rPr>
                <w:rFonts w:asciiTheme="minorHAnsi" w:hAnsiTheme="minorHAnsi"/>
                <w:bCs/>
              </w:rPr>
              <w:t>Q4 – integrated memory assessment pathway agreed and enhanced team in place</w:t>
            </w:r>
          </w:p>
        </w:tc>
        <w:tc>
          <w:tcPr>
            <w:tcW w:w="3261" w:type="dxa"/>
          </w:tcPr>
          <w:p w14:paraId="1FE3EA21" w14:textId="77777777" w:rsidR="00D8540C" w:rsidRDefault="00D8540C" w:rsidP="00E02C36">
            <w:pPr>
              <w:rPr>
                <w:rFonts w:asciiTheme="minorHAnsi" w:hAnsiTheme="minorHAnsi"/>
                <w:bCs/>
              </w:rPr>
            </w:pPr>
            <w:r>
              <w:rPr>
                <w:rFonts w:asciiTheme="minorHAnsi" w:hAnsiTheme="minorHAnsi"/>
                <w:bCs/>
              </w:rPr>
              <w:t>First annual  report and quarterly KPIs</w:t>
            </w:r>
          </w:p>
        </w:tc>
        <w:tc>
          <w:tcPr>
            <w:tcW w:w="1701" w:type="dxa"/>
          </w:tcPr>
          <w:p w14:paraId="0599BFD2" w14:textId="77777777" w:rsidR="00D8540C" w:rsidRDefault="00D8540C" w:rsidP="00E02C36">
            <w:pPr>
              <w:rPr>
                <w:rFonts w:asciiTheme="minorHAnsi" w:hAnsiTheme="minorHAnsi"/>
                <w:bCs/>
              </w:rPr>
            </w:pPr>
            <w:r>
              <w:rPr>
                <w:rFonts w:asciiTheme="minorHAnsi" w:hAnsiTheme="minorHAnsi"/>
                <w:bCs/>
              </w:rPr>
              <w:t>Second annual  report and quarterly KPIs</w:t>
            </w:r>
          </w:p>
        </w:tc>
      </w:tr>
    </w:tbl>
    <w:p w14:paraId="374FC7F2" w14:textId="77777777" w:rsidR="00F34D2E" w:rsidRPr="003D0778" w:rsidRDefault="00382C58" w:rsidP="00C11306">
      <w:pPr>
        <w:pStyle w:val="Heading3"/>
        <w:ind w:left="0" w:firstLine="0"/>
        <w:rPr>
          <w:iCs/>
          <w:color w:val="000000" w:themeColor="text1"/>
          <w:szCs w:val="22"/>
        </w:rPr>
      </w:pPr>
      <w:r w:rsidRPr="003D0778">
        <w:rPr>
          <w:iCs/>
          <w:color w:val="000000" w:themeColor="text1"/>
          <w:szCs w:val="22"/>
        </w:rPr>
        <w:t xml:space="preserve">Primary </w:t>
      </w:r>
      <w:r w:rsidR="00F34D2E" w:rsidRPr="003D0778">
        <w:rPr>
          <w:iCs/>
          <w:color w:val="000000" w:themeColor="text1"/>
          <w:szCs w:val="22"/>
        </w:rPr>
        <w:t>and</w:t>
      </w:r>
      <w:r w:rsidR="00B25DBB" w:rsidRPr="003D0778">
        <w:rPr>
          <w:iCs/>
          <w:color w:val="000000" w:themeColor="text1"/>
          <w:szCs w:val="22"/>
        </w:rPr>
        <w:t xml:space="preserve"> </w:t>
      </w:r>
      <w:r w:rsidR="00F34D2E" w:rsidRPr="003D0778">
        <w:rPr>
          <w:iCs/>
          <w:color w:val="000000" w:themeColor="text1"/>
          <w:szCs w:val="22"/>
        </w:rPr>
        <w:t xml:space="preserve">Community </w:t>
      </w:r>
      <w:r w:rsidRPr="003D0778">
        <w:rPr>
          <w:iCs/>
          <w:color w:val="000000" w:themeColor="text1"/>
          <w:szCs w:val="22"/>
        </w:rPr>
        <w:t>Care</w:t>
      </w:r>
      <w:bookmarkEnd w:id="100"/>
      <w:r w:rsidRPr="003D0778">
        <w:rPr>
          <w:iCs/>
          <w:color w:val="000000" w:themeColor="text1"/>
          <w:szCs w:val="22"/>
        </w:rPr>
        <w:t xml:space="preserve"> </w:t>
      </w:r>
    </w:p>
    <w:p w14:paraId="58914285" w14:textId="77777777" w:rsidR="009A1D3B" w:rsidRPr="002B5397" w:rsidRDefault="009A1D3B" w:rsidP="009A1D3B">
      <w:r w:rsidRPr="002B5397">
        <w:t xml:space="preserve">Primary care, as the first point of contact for the majority of people accessing health services day or night, plays a key role in realising the ambition of ‘A Healthier Wales’ offering a whole system approach to health and social care though integrated working with community care services. Shifting from an illness to a ‘wellness’ system, the sector aims to support and anticipate health needs, to prevent illness, and to reduce the impact of poor health and inequality.  At the heart of the </w:t>
      </w:r>
      <w:hyperlink r:id="rId60" w:history="1">
        <w:r w:rsidRPr="002B5397">
          <w:rPr>
            <w:u w:val="single"/>
          </w:rPr>
          <w:t>Strategic Programme for Primary Care</w:t>
        </w:r>
      </w:hyperlink>
      <w:r w:rsidRPr="002B5397">
        <w:t xml:space="preserve"> (November 2018),   is working closely with partners, shifting the focus to a social model of care, ensuring timely access to primary care services when required and working seamlessly across the whole health and social care system.</w:t>
      </w:r>
    </w:p>
    <w:p w14:paraId="57B1D1E4" w14:textId="77777777" w:rsidR="009A1D3B" w:rsidRPr="002B5397" w:rsidRDefault="009A1D3B" w:rsidP="009A1D3B">
      <w:pPr>
        <w:autoSpaceDE w:val="0"/>
        <w:autoSpaceDN w:val="0"/>
        <w:adjustRightInd w:val="0"/>
        <w:rPr>
          <w:rFonts w:cstheme="minorHAnsi"/>
        </w:rPr>
      </w:pPr>
    </w:p>
    <w:p w14:paraId="5BCDEF0B" w14:textId="77777777" w:rsidR="009A1D3B" w:rsidRPr="002B5397" w:rsidRDefault="009A1D3B" w:rsidP="009A1D3B">
      <w:pPr>
        <w:rPr>
          <w:rFonts w:eastAsia="Cambria" w:cstheme="minorHAnsi"/>
        </w:rPr>
      </w:pPr>
      <w:r w:rsidRPr="002B5397">
        <w:rPr>
          <w:rFonts w:eastAsia="Cambria" w:cstheme="minorHAnsi"/>
        </w:rPr>
        <w:t>The Director of Primary Care, Community and Mental Health Services and other members of the Primary Care team are taking an active role in participating in the national workstreams to shape these components of the model.  The outputs from these workstreams are subsequently informing the local implementation plan for the Health Board.</w:t>
      </w:r>
    </w:p>
    <w:p w14:paraId="06586353" w14:textId="77777777" w:rsidR="009A1D3B" w:rsidRPr="002B5397" w:rsidRDefault="009A1D3B" w:rsidP="009A1D3B">
      <w:pPr>
        <w:autoSpaceDE w:val="0"/>
        <w:autoSpaceDN w:val="0"/>
        <w:adjustRightInd w:val="0"/>
        <w:rPr>
          <w:rFonts w:cstheme="minorHAnsi"/>
        </w:rPr>
      </w:pPr>
    </w:p>
    <w:p w14:paraId="07E710F7" w14:textId="77777777" w:rsidR="009A1D3B" w:rsidRPr="002B5397" w:rsidRDefault="009A1D3B" w:rsidP="009A1D3B">
      <w:pPr>
        <w:autoSpaceDE w:val="0"/>
        <w:autoSpaceDN w:val="0"/>
        <w:adjustRightInd w:val="0"/>
        <w:rPr>
          <w:rFonts w:cstheme="minorHAnsi"/>
        </w:rPr>
      </w:pPr>
      <w:r w:rsidRPr="002B5397">
        <w:rPr>
          <w:rFonts w:cstheme="minorHAnsi"/>
        </w:rPr>
        <w:t xml:space="preserve">In Cwm Taf Morgannwg we share the ambition of Welsh Government to deliver a high quality, sustainable and integrated primary and community care service for current and future generations.  The additional Welsh Government investment already received in primary care developments, cluster projects and pacesetters, which we will have already mainstreamed, has proved a welcome catalyst for this transformation.  </w:t>
      </w:r>
    </w:p>
    <w:p w14:paraId="468294D8" w14:textId="77777777" w:rsidR="009A1D3B" w:rsidRPr="002B5397" w:rsidRDefault="009A1D3B" w:rsidP="009A1D3B">
      <w:pPr>
        <w:autoSpaceDE w:val="0"/>
        <w:autoSpaceDN w:val="0"/>
        <w:adjustRightInd w:val="0"/>
        <w:rPr>
          <w:rFonts w:cstheme="minorHAnsi"/>
        </w:rPr>
      </w:pPr>
    </w:p>
    <w:p w14:paraId="1A94F664" w14:textId="21960CB4" w:rsidR="009A1D3B" w:rsidRPr="002B5397" w:rsidRDefault="009A1D3B" w:rsidP="009A1D3B">
      <w:pPr>
        <w:autoSpaceDE w:val="0"/>
        <w:autoSpaceDN w:val="0"/>
        <w:adjustRightInd w:val="0"/>
        <w:rPr>
          <w:rFonts w:cstheme="minorHAnsi"/>
        </w:rPr>
      </w:pPr>
      <w:r w:rsidRPr="002B5397">
        <w:rPr>
          <w:rFonts w:cs="Verdana"/>
          <w:color w:val="1F1F1F"/>
        </w:rPr>
        <w:t xml:space="preserve">In June 2019, it was announced that Cwm Taf Morgannwg Regional Partnership Board (RPB), would receive £22.7 million from the Welsh Government Transformation Fund to </w:t>
      </w:r>
      <w:r w:rsidRPr="002B5397">
        <w:rPr>
          <w:rFonts w:cs="Verdana"/>
          <w:color w:val="000000"/>
        </w:rPr>
        <w:t>transform the way health and social care is delivered.</w:t>
      </w:r>
      <w:r w:rsidRPr="002B5397">
        <w:rPr>
          <w:rFonts w:cstheme="minorHAnsi"/>
        </w:rPr>
        <w:t xml:space="preserve"> The RPB’s Transformation Programme, incorporating Stay Well in Your Community (RCT and Merthyr Tydfil) and Accelerating the Pace of Change (Bridgend),</w:t>
      </w:r>
      <w:r w:rsidRPr="002B5397">
        <w:rPr>
          <w:iCs/>
          <w:color w:val="00B050"/>
          <w:sz w:val="40"/>
          <w:szCs w:val="40"/>
        </w:rPr>
        <w:t xml:space="preserve"> </w:t>
      </w:r>
      <w:r w:rsidRPr="00E334A5">
        <w:rPr>
          <w:rFonts w:cstheme="minorHAnsi"/>
          <w:color w:val="943634" w:themeColor="accent2" w:themeShade="BF"/>
        </w:rPr>
        <w:t xml:space="preserve">see </w:t>
      </w:r>
      <w:r w:rsidRPr="00E334A5">
        <w:rPr>
          <w:rFonts w:cstheme="minorHAnsi"/>
          <w:b/>
          <w:color w:val="943634" w:themeColor="accent2" w:themeShade="BF"/>
        </w:rPr>
        <w:t>section 5.2.2 and Annexes B4 and B5</w:t>
      </w:r>
      <w:r w:rsidRPr="002B5397">
        <w:rPr>
          <w:rFonts w:cstheme="minorHAnsi"/>
        </w:rPr>
        <w:t xml:space="preserve">, represent key elements of the transformational model for primary and community care, offering a local response to ‘A Healthier </w:t>
      </w:r>
      <w:proofErr w:type="gramStart"/>
      <w:r w:rsidRPr="002B5397">
        <w:rPr>
          <w:rFonts w:cstheme="minorHAnsi"/>
        </w:rPr>
        <w:t>Wales’  through</w:t>
      </w:r>
      <w:proofErr w:type="gramEnd"/>
      <w:r w:rsidRPr="002B5397">
        <w:rPr>
          <w:rFonts w:cstheme="minorHAnsi"/>
        </w:rPr>
        <w:t xml:space="preserve"> a whole system approach to sustainable and accessible local health and wellbeing.</w:t>
      </w:r>
      <w:r w:rsidRPr="002B5397">
        <w:rPr>
          <w:rFonts w:eastAsia="Cambria" w:cstheme="minorHAnsi"/>
        </w:rPr>
        <w:t xml:space="preserve">  Reflecting th</w:t>
      </w:r>
      <w:r w:rsidRPr="002B5397">
        <w:rPr>
          <w:rFonts w:cstheme="minorHAnsi"/>
        </w:rPr>
        <w:t>e all Wales strategic programme for primary care, t</w:t>
      </w:r>
      <w:r w:rsidRPr="002B5397">
        <w:rPr>
          <w:rFonts w:eastAsia="Cambria" w:cstheme="minorHAnsi"/>
        </w:rPr>
        <w:t>he key components of this model are:</w:t>
      </w:r>
    </w:p>
    <w:p w14:paraId="5FBD1E96" w14:textId="77777777" w:rsidR="009A1D3B" w:rsidRPr="002B5397" w:rsidRDefault="009A1D3B" w:rsidP="003B1653">
      <w:pPr>
        <w:numPr>
          <w:ilvl w:val="0"/>
          <w:numId w:val="10"/>
        </w:numPr>
        <w:ind w:left="357" w:hanging="357"/>
        <w:contextualSpacing/>
        <w:rPr>
          <w:rFonts w:eastAsia="Cambria" w:cstheme="minorHAnsi"/>
        </w:rPr>
      </w:pPr>
      <w:r w:rsidRPr="002B5397">
        <w:rPr>
          <w:rFonts w:eastAsia="Cambria" w:cstheme="minorHAnsi"/>
        </w:rPr>
        <w:t>Informed public.</w:t>
      </w:r>
    </w:p>
    <w:p w14:paraId="754B4C89" w14:textId="77777777" w:rsidR="009A1D3B" w:rsidRPr="002B5397" w:rsidRDefault="009A1D3B" w:rsidP="003B1653">
      <w:pPr>
        <w:numPr>
          <w:ilvl w:val="0"/>
          <w:numId w:val="11"/>
        </w:numPr>
        <w:ind w:left="357" w:hanging="357"/>
        <w:contextualSpacing/>
        <w:rPr>
          <w:rFonts w:eastAsia="Cambria" w:cstheme="minorHAnsi"/>
        </w:rPr>
      </w:pPr>
      <w:r w:rsidRPr="002B5397">
        <w:rPr>
          <w:rFonts w:eastAsia="Cambria" w:cstheme="minorHAnsi"/>
        </w:rPr>
        <w:t>Empowered citizens.</w:t>
      </w:r>
    </w:p>
    <w:p w14:paraId="64C4211F" w14:textId="77777777" w:rsidR="009A1D3B" w:rsidRPr="002B5397" w:rsidRDefault="009A1D3B" w:rsidP="003B1653">
      <w:pPr>
        <w:numPr>
          <w:ilvl w:val="0"/>
          <w:numId w:val="11"/>
        </w:numPr>
        <w:ind w:left="357" w:hanging="357"/>
        <w:contextualSpacing/>
        <w:rPr>
          <w:rFonts w:eastAsia="Cambria" w:cstheme="minorHAnsi"/>
        </w:rPr>
      </w:pPr>
      <w:r w:rsidRPr="002B5397">
        <w:rPr>
          <w:rFonts w:eastAsia="Cambria" w:cstheme="minorHAnsi"/>
        </w:rPr>
        <w:t>Support for well-being, disease prevention and self-care.</w:t>
      </w:r>
    </w:p>
    <w:p w14:paraId="53379E1E" w14:textId="77777777" w:rsidR="009A1D3B" w:rsidRPr="002B5397" w:rsidRDefault="009A1D3B" w:rsidP="003B1653">
      <w:pPr>
        <w:numPr>
          <w:ilvl w:val="0"/>
          <w:numId w:val="11"/>
        </w:numPr>
        <w:ind w:left="357" w:hanging="357"/>
        <w:contextualSpacing/>
        <w:rPr>
          <w:rFonts w:eastAsia="Cambria" w:cstheme="minorHAnsi"/>
        </w:rPr>
      </w:pPr>
      <w:r w:rsidRPr="002B5397">
        <w:rPr>
          <w:rFonts w:eastAsia="Cambria" w:cstheme="minorHAnsi"/>
        </w:rPr>
        <w:t>Cluster Working.</w:t>
      </w:r>
    </w:p>
    <w:p w14:paraId="17B9C868" w14:textId="77777777" w:rsidR="009A1D3B" w:rsidRPr="002B5397" w:rsidRDefault="009A1D3B" w:rsidP="003B1653">
      <w:pPr>
        <w:numPr>
          <w:ilvl w:val="0"/>
          <w:numId w:val="11"/>
        </w:numPr>
        <w:ind w:left="357" w:hanging="357"/>
        <w:contextualSpacing/>
        <w:rPr>
          <w:rFonts w:eastAsia="Cambria" w:cstheme="minorHAnsi"/>
        </w:rPr>
      </w:pPr>
      <w:r w:rsidRPr="002B5397">
        <w:rPr>
          <w:rFonts w:eastAsia="Cambria" w:cstheme="minorHAnsi"/>
        </w:rPr>
        <w:t>First point of contact (including clinical triage and phone first systems).</w:t>
      </w:r>
    </w:p>
    <w:p w14:paraId="4D49F9A6" w14:textId="77777777" w:rsidR="009A1D3B" w:rsidRPr="002B5397" w:rsidRDefault="009A1D3B" w:rsidP="003B1653">
      <w:pPr>
        <w:numPr>
          <w:ilvl w:val="0"/>
          <w:numId w:val="11"/>
        </w:numPr>
        <w:ind w:left="357" w:hanging="357"/>
        <w:contextualSpacing/>
        <w:rPr>
          <w:rFonts w:eastAsia="Cambria" w:cstheme="minorHAnsi"/>
        </w:rPr>
      </w:pPr>
      <w:r w:rsidRPr="002B5397">
        <w:rPr>
          <w:rFonts w:eastAsia="Cambria" w:cstheme="minorHAnsi"/>
        </w:rPr>
        <w:t>Urgent care (111, Out of Hours and In Hours).</w:t>
      </w:r>
    </w:p>
    <w:p w14:paraId="29FB342A" w14:textId="77777777" w:rsidR="009A1D3B" w:rsidRPr="002B5397" w:rsidRDefault="009A1D3B" w:rsidP="003B1653">
      <w:pPr>
        <w:numPr>
          <w:ilvl w:val="0"/>
          <w:numId w:val="11"/>
        </w:numPr>
        <w:ind w:left="357" w:hanging="357"/>
        <w:contextualSpacing/>
        <w:rPr>
          <w:rFonts w:eastAsia="Cambria" w:cstheme="minorHAnsi"/>
        </w:rPr>
      </w:pPr>
      <w:r w:rsidRPr="002B5397">
        <w:rPr>
          <w:rFonts w:eastAsia="Cambria" w:cstheme="minorHAnsi"/>
        </w:rPr>
        <w:t>Focussing on people with complex care needs.</w:t>
      </w:r>
    </w:p>
    <w:p w14:paraId="250D0773" w14:textId="77777777" w:rsidR="009A1D3B" w:rsidRPr="002B5397" w:rsidRDefault="009A1D3B" w:rsidP="003B1653">
      <w:pPr>
        <w:numPr>
          <w:ilvl w:val="0"/>
          <w:numId w:val="11"/>
        </w:numPr>
        <w:ind w:left="357" w:hanging="357"/>
        <w:contextualSpacing/>
        <w:rPr>
          <w:rFonts w:eastAsia="Cambria" w:cstheme="minorHAnsi"/>
        </w:rPr>
      </w:pPr>
      <w:r w:rsidRPr="002B5397">
        <w:rPr>
          <w:rFonts w:eastAsia="Cambria" w:cstheme="minorHAnsi"/>
        </w:rPr>
        <w:t>Infrastructure to support transformation (MDT working).</w:t>
      </w:r>
    </w:p>
    <w:p w14:paraId="7FE39898" w14:textId="77777777" w:rsidR="009A1D3B" w:rsidRPr="002B5397" w:rsidRDefault="009A1D3B" w:rsidP="003B1653">
      <w:pPr>
        <w:numPr>
          <w:ilvl w:val="0"/>
          <w:numId w:val="11"/>
        </w:numPr>
        <w:ind w:left="357" w:hanging="357"/>
        <w:contextualSpacing/>
        <w:rPr>
          <w:rFonts w:eastAsia="Cambria" w:cstheme="minorHAnsi"/>
        </w:rPr>
      </w:pPr>
      <w:r w:rsidRPr="002B5397">
        <w:rPr>
          <w:rFonts w:eastAsia="Cambria" w:cstheme="minorHAnsi"/>
        </w:rPr>
        <w:t>Integrated and responsive Community services.</w:t>
      </w:r>
    </w:p>
    <w:p w14:paraId="59620CE8" w14:textId="77777777" w:rsidR="009A1D3B" w:rsidRPr="002B5397" w:rsidRDefault="009A1D3B" w:rsidP="003B1653">
      <w:pPr>
        <w:numPr>
          <w:ilvl w:val="0"/>
          <w:numId w:val="11"/>
        </w:numPr>
        <w:ind w:left="357" w:hanging="357"/>
        <w:contextualSpacing/>
        <w:rPr>
          <w:rFonts w:eastAsia="Cambria" w:cstheme="minorHAnsi"/>
        </w:rPr>
      </w:pPr>
      <w:r w:rsidRPr="002B5397">
        <w:rPr>
          <w:rFonts w:eastAsia="Cambria" w:cstheme="minorHAnsi"/>
        </w:rPr>
        <w:t>Shifting resources.</w:t>
      </w:r>
    </w:p>
    <w:p w14:paraId="1537A654" w14:textId="77777777" w:rsidR="00A1335B" w:rsidRDefault="00A1335B" w:rsidP="00A1335B">
      <w:pPr>
        <w:rPr>
          <w:rFonts w:asciiTheme="minorHAnsi" w:eastAsia="Cambria" w:hAnsiTheme="minorHAnsi" w:cstheme="minorHAnsi"/>
          <w:color w:val="943634" w:themeColor="accent2" w:themeShade="BF"/>
          <w:szCs w:val="22"/>
        </w:rPr>
      </w:pPr>
    </w:p>
    <w:p w14:paraId="0F6331C6" w14:textId="77777777" w:rsidR="009A1D3B" w:rsidRPr="002B5397" w:rsidRDefault="009A1D3B" w:rsidP="009A1D3B">
      <w:pPr>
        <w:rPr>
          <w:rFonts w:cstheme="minorHAnsi"/>
        </w:rPr>
      </w:pPr>
      <w:r w:rsidRPr="002B5397">
        <w:rPr>
          <w:rFonts w:cstheme="minorHAnsi"/>
        </w:rPr>
        <w:t>Our Primary Care Clusters remain at the heart of the transformation of primary care services and the Health Board has worked in earnest with clusters and the key clinical leaders to embed and develop the new model.  In September 2019 each cluster was required to submit to Welsh Government an IMTP setting out their priorities and objectives over the next 3 years to address the health needs of their local cluster population and inform and align to the Health Board’s IMTP. These are the first Cluster IMTPs which will be refined and developed through the year in light of internal audit findings and external feedback, ensuring a more inclusive development process, smarter objectives, and robust implementation monitoring processes.</w:t>
      </w:r>
    </w:p>
    <w:p w14:paraId="6B7927FB" w14:textId="77777777" w:rsidR="009A1D3B" w:rsidRDefault="009A1D3B" w:rsidP="009A1D3B">
      <w:pPr>
        <w:rPr>
          <w:rFonts w:cstheme="minorHAnsi"/>
        </w:rPr>
      </w:pPr>
    </w:p>
    <w:p w14:paraId="5134F085" w14:textId="77777777" w:rsidR="009A1D3B" w:rsidRDefault="009A1D3B" w:rsidP="009A1D3B">
      <w:pPr>
        <w:rPr>
          <w:rFonts w:cstheme="minorHAnsi"/>
        </w:rPr>
      </w:pPr>
      <w:r w:rsidRPr="002B5397">
        <w:rPr>
          <w:rFonts w:cstheme="minorHAnsi"/>
        </w:rPr>
        <w:t xml:space="preserve">The key themes emerging from the first Cluster IMTPs are as follows, demonstrating a clear alignment to the Health Board’s IMTP and </w:t>
      </w:r>
      <w:r>
        <w:rPr>
          <w:rFonts w:cstheme="minorHAnsi"/>
        </w:rPr>
        <w:t>strategic priorities overleaf.</w:t>
      </w:r>
    </w:p>
    <w:p w14:paraId="3E3A87DF" w14:textId="77777777" w:rsidR="009A1D3B" w:rsidRDefault="009A1D3B" w:rsidP="009A1D3B">
      <w:pPr>
        <w:rPr>
          <w:rFonts w:cstheme="minorHAnsi"/>
        </w:rPr>
      </w:pPr>
    </w:p>
    <w:p w14:paraId="76F4519A" w14:textId="77777777" w:rsidR="009A1D3B" w:rsidRDefault="009A1D3B" w:rsidP="009A1D3B">
      <w:pPr>
        <w:rPr>
          <w:rFonts w:cstheme="minorHAnsi"/>
        </w:rPr>
      </w:pPr>
      <w:r w:rsidRPr="002B5397">
        <w:rPr>
          <w:rFonts w:cstheme="minorHAnsi"/>
        </w:rPr>
        <w:t>The transition of services from Bridgend into the new Cwm Taf Morgannwg footprint has been the major contextual issue for primary and community services over the past year, bringing with it both challenges and opportunities.  We are aiming to maximise the learning from good practice across the patch, including: capturing the  impact on partnership working, decision making and patient outcomes of the integrated community resource team approach in Bridgend; and replicating in Bridgend the successful Health Park model develop</w:t>
      </w:r>
      <w:r>
        <w:rPr>
          <w:rFonts w:cstheme="minorHAnsi"/>
        </w:rPr>
        <w:t>ed in the former Cwm Taf area.</w:t>
      </w:r>
    </w:p>
    <w:p w14:paraId="031A6AC5" w14:textId="77777777" w:rsidR="009A1D3B" w:rsidRDefault="009A1D3B" w:rsidP="009A1D3B">
      <w:pPr>
        <w:rPr>
          <w:rFonts w:cstheme="minorHAnsi"/>
        </w:rPr>
      </w:pPr>
    </w:p>
    <w:p w14:paraId="3A9B0516" w14:textId="08D6D29D" w:rsidR="009A1D3B" w:rsidRDefault="009A1D3B" w:rsidP="009A1D3B">
      <w:pPr>
        <w:rPr>
          <w:rFonts w:cs="Verdana"/>
        </w:rPr>
      </w:pPr>
      <w:r w:rsidRPr="009A1D3B">
        <w:rPr>
          <w:rFonts w:cstheme="minorHAnsi"/>
        </w:rPr>
        <w:t>A key achievement in 2019 was the opening of the new ‘Y Bwthyn’ NGS Macmillan Specialist Palliative</w:t>
      </w:r>
      <w:r w:rsidRPr="009A1D3B">
        <w:rPr>
          <w:rFonts w:cs="Verdana"/>
        </w:rPr>
        <w:t xml:space="preserve"> Care Unit, enabling the transfer of the current service from Pontypridd Cottage Hospital. This purpose designed facility provides a light, spacious and fitting environment for palliative care patients and their families, and has already proved clinically beneficial in terms of facilitating on-site access to acute specialists for treatments and symptom management.</w:t>
      </w:r>
      <w:r w:rsidR="0098336B">
        <w:rPr>
          <w:rFonts w:cs="Verdana"/>
        </w:rPr>
        <w:t xml:space="preserve"> </w:t>
      </w:r>
    </w:p>
    <w:p w14:paraId="658A61CD" w14:textId="77777777" w:rsidR="0098336B" w:rsidRDefault="0098336B" w:rsidP="009A1D3B">
      <w:pPr>
        <w:rPr>
          <w:rFonts w:cs="Verdana"/>
        </w:rPr>
      </w:pPr>
    </w:p>
    <w:p w14:paraId="0050EB0C" w14:textId="77777777" w:rsidR="0098336B" w:rsidRPr="009A1D3B" w:rsidRDefault="0098336B" w:rsidP="0098336B">
      <w:pPr>
        <w:rPr>
          <w:rFonts w:cstheme="minorHAnsi"/>
          <w:color w:val="000000" w:themeColor="text1"/>
        </w:rPr>
      </w:pPr>
      <w:r w:rsidRPr="009A1D3B">
        <w:rPr>
          <w:rFonts w:cstheme="minorHAnsi"/>
          <w:color w:val="000000" w:themeColor="text1"/>
        </w:rPr>
        <w:t>The key priorities for primary and community care services are as follows:</w:t>
      </w:r>
    </w:p>
    <w:p w14:paraId="3B55D52C" w14:textId="77777777" w:rsidR="0098336B" w:rsidRPr="009A1D3B" w:rsidRDefault="0098336B" w:rsidP="0098336B">
      <w:pPr>
        <w:rPr>
          <w:rFonts w:asciiTheme="minorHAnsi" w:hAnsiTheme="minorHAnsi" w:cstheme="minorHAnsi"/>
          <w:b/>
          <w:color w:val="000000" w:themeColor="text1"/>
          <w:szCs w:val="22"/>
        </w:rPr>
      </w:pPr>
    </w:p>
    <w:p w14:paraId="66DFBA19" w14:textId="77777777" w:rsidR="0098336B" w:rsidRPr="009A1D3B" w:rsidRDefault="0098336B" w:rsidP="0098336B">
      <w:pPr>
        <w:rPr>
          <w:rFonts w:asciiTheme="minorHAnsi" w:hAnsiTheme="minorHAnsi" w:cstheme="minorHAnsi"/>
          <w:b/>
          <w:color w:val="000000" w:themeColor="text1"/>
          <w:szCs w:val="22"/>
        </w:rPr>
      </w:pPr>
      <w:r w:rsidRPr="009A1D3B">
        <w:rPr>
          <w:rFonts w:asciiTheme="minorHAnsi" w:hAnsiTheme="minorHAnsi" w:cstheme="minorHAnsi"/>
          <w:b/>
          <w:color w:val="000000" w:themeColor="text1"/>
          <w:szCs w:val="22"/>
        </w:rPr>
        <w:t>Primary and Community Care Priorities</w:t>
      </w:r>
    </w:p>
    <w:p w14:paraId="2FF33364" w14:textId="77777777" w:rsidR="0098336B" w:rsidRPr="009A1D3B" w:rsidRDefault="0098336B" w:rsidP="003B1653">
      <w:pPr>
        <w:numPr>
          <w:ilvl w:val="0"/>
          <w:numId w:val="72"/>
        </w:numPr>
        <w:contextualSpacing/>
        <w:rPr>
          <w:rFonts w:cstheme="minorHAnsi"/>
          <w:color w:val="000000" w:themeColor="text1"/>
        </w:rPr>
      </w:pPr>
      <w:r w:rsidRPr="009A1D3B">
        <w:rPr>
          <w:rFonts w:cstheme="minorHAnsi"/>
          <w:color w:val="000000" w:themeColor="text1"/>
        </w:rPr>
        <w:t>Implementation and evaluation of the Transformation Model including the deployment of the wider MDT to support primary care, and securing financial sustainability following the end of WG funding.</w:t>
      </w:r>
    </w:p>
    <w:p w14:paraId="200742CB" w14:textId="77777777" w:rsidR="0098336B" w:rsidRPr="002B5397" w:rsidRDefault="0098336B" w:rsidP="003B1653">
      <w:pPr>
        <w:numPr>
          <w:ilvl w:val="0"/>
          <w:numId w:val="72"/>
        </w:numPr>
        <w:contextualSpacing/>
        <w:rPr>
          <w:rFonts w:cstheme="minorHAnsi"/>
        </w:rPr>
      </w:pPr>
      <w:r>
        <w:rPr>
          <w:rFonts w:cstheme="minorHAnsi"/>
        </w:rPr>
        <w:t xml:space="preserve">Maximising the use of </w:t>
      </w:r>
      <w:r w:rsidRPr="002B5397">
        <w:rPr>
          <w:rFonts w:cstheme="minorHAnsi"/>
        </w:rPr>
        <w:t xml:space="preserve">segmentation and risk stratification and value based health care to inform service redesign. </w:t>
      </w:r>
    </w:p>
    <w:p w14:paraId="519A39D1" w14:textId="77777777" w:rsidR="0098336B" w:rsidRPr="002B5397" w:rsidRDefault="0098336B" w:rsidP="003B1653">
      <w:pPr>
        <w:numPr>
          <w:ilvl w:val="0"/>
          <w:numId w:val="14"/>
        </w:numPr>
        <w:ind w:left="426" w:hanging="426"/>
        <w:contextualSpacing/>
        <w:rPr>
          <w:rFonts w:cstheme="minorHAnsi"/>
        </w:rPr>
      </w:pPr>
      <w:r w:rsidRPr="002B5397">
        <w:rPr>
          <w:rFonts w:cstheme="minorHAnsi"/>
        </w:rPr>
        <w:t>Developing and improving Primary/Community Estate to deliver good quality and robust core provision,</w:t>
      </w:r>
      <w:r>
        <w:rPr>
          <w:rFonts w:cstheme="minorHAnsi"/>
        </w:rPr>
        <w:t xml:space="preserve"> good quality services, robust </w:t>
      </w:r>
      <w:r w:rsidRPr="002B5397">
        <w:rPr>
          <w:rFonts w:cstheme="minorHAnsi"/>
        </w:rPr>
        <w:t xml:space="preserve">as well as supporting the Transformation model. </w:t>
      </w:r>
    </w:p>
    <w:p w14:paraId="24A8D920" w14:textId="77777777" w:rsidR="0098336B" w:rsidRPr="002B5397" w:rsidRDefault="0098336B" w:rsidP="003B1653">
      <w:pPr>
        <w:numPr>
          <w:ilvl w:val="0"/>
          <w:numId w:val="13"/>
        </w:numPr>
        <w:ind w:left="426" w:hanging="426"/>
        <w:contextualSpacing/>
        <w:rPr>
          <w:rFonts w:cstheme="minorHAnsi"/>
        </w:rPr>
      </w:pPr>
      <w:r w:rsidRPr="002B5397">
        <w:rPr>
          <w:rFonts w:cstheme="minorHAnsi"/>
        </w:rPr>
        <w:t>Maximisation of digitalisation/IT infrastructure/agile mobile working across Primary Care and Localities</w:t>
      </w:r>
    </w:p>
    <w:p w14:paraId="7C9E5E10" w14:textId="77777777" w:rsidR="0098336B" w:rsidRPr="002B5397" w:rsidRDefault="0098336B" w:rsidP="003B1653">
      <w:pPr>
        <w:numPr>
          <w:ilvl w:val="0"/>
          <w:numId w:val="13"/>
        </w:numPr>
        <w:ind w:left="426"/>
        <w:contextualSpacing/>
        <w:rPr>
          <w:rFonts w:cstheme="minorHAnsi"/>
        </w:rPr>
      </w:pPr>
      <w:r w:rsidRPr="002B5397">
        <w:rPr>
          <w:rFonts w:cstheme="minorHAnsi"/>
        </w:rPr>
        <w:t>Improve Information Management through dedicated resource to support data analysis, performance management and reporting and use of information systems</w:t>
      </w:r>
    </w:p>
    <w:p w14:paraId="628B89EA" w14:textId="77777777" w:rsidR="0098336B" w:rsidRPr="002B5397" w:rsidRDefault="0098336B" w:rsidP="003B1653">
      <w:pPr>
        <w:numPr>
          <w:ilvl w:val="0"/>
          <w:numId w:val="13"/>
        </w:numPr>
        <w:ind w:left="426" w:hanging="426"/>
        <w:contextualSpacing/>
        <w:rPr>
          <w:rFonts w:cstheme="minorHAnsi"/>
        </w:rPr>
      </w:pPr>
      <w:r w:rsidRPr="002B5397">
        <w:rPr>
          <w:rFonts w:cstheme="minorHAnsi"/>
        </w:rPr>
        <w:t>Focussed effort on patient engagement and the empowerment of citizens at the planning stage of service change as well as implementation.</w:t>
      </w:r>
    </w:p>
    <w:p w14:paraId="1E36CAD3" w14:textId="77777777" w:rsidR="0098336B" w:rsidRPr="002B5397" w:rsidRDefault="0098336B" w:rsidP="003B1653">
      <w:pPr>
        <w:numPr>
          <w:ilvl w:val="0"/>
          <w:numId w:val="13"/>
        </w:numPr>
        <w:ind w:left="426" w:hanging="426"/>
        <w:contextualSpacing/>
        <w:rPr>
          <w:rFonts w:cstheme="minorHAnsi"/>
        </w:rPr>
      </w:pPr>
      <w:r w:rsidRPr="002B5397">
        <w:rPr>
          <w:rFonts w:cstheme="minorHAnsi"/>
        </w:rPr>
        <w:t>Continue to strengthen and develop systematic workforce planning and training and education frameworks to support wider workforce developments/recruitment/retention including the Training and Development Hub through Pacesetter resource.</w:t>
      </w:r>
    </w:p>
    <w:p w14:paraId="370FBAF3" w14:textId="77777777" w:rsidR="0098336B" w:rsidRPr="002B5397" w:rsidRDefault="0098336B" w:rsidP="003B1653">
      <w:pPr>
        <w:numPr>
          <w:ilvl w:val="0"/>
          <w:numId w:val="13"/>
        </w:numPr>
        <w:ind w:left="426" w:hanging="426"/>
        <w:contextualSpacing/>
        <w:rPr>
          <w:rFonts w:cstheme="minorHAnsi"/>
        </w:rPr>
      </w:pPr>
      <w:r w:rsidRPr="002B5397">
        <w:rPr>
          <w:rFonts w:cstheme="minorHAnsi"/>
        </w:rPr>
        <w:t xml:space="preserve">Utilise more fully the Research and Development Resources to evaluate progress and effectiveness </w:t>
      </w:r>
    </w:p>
    <w:p w14:paraId="7183BBE4" w14:textId="77777777" w:rsidR="0098336B" w:rsidRDefault="0098336B" w:rsidP="003B1653">
      <w:pPr>
        <w:numPr>
          <w:ilvl w:val="0"/>
          <w:numId w:val="13"/>
        </w:numPr>
        <w:ind w:left="426" w:hanging="426"/>
        <w:contextualSpacing/>
        <w:rPr>
          <w:rFonts w:cstheme="minorHAnsi"/>
        </w:rPr>
      </w:pPr>
      <w:r w:rsidRPr="002B5397">
        <w:rPr>
          <w:rFonts w:cstheme="minorHAnsi"/>
        </w:rPr>
        <w:t>Development of Health Parks which bring together primary care, community services and where possible local authority services, in all localities. This includes the development of the Health Park model in the new facility in Porthcawl, the Bridgend Health &amp; Wellness Centre (Sunnyside) and at Maesteg Hospital</w:t>
      </w:r>
      <w:proofErr w:type="gramStart"/>
      <w:r w:rsidRPr="002B5397">
        <w:rPr>
          <w:rFonts w:cstheme="minorHAnsi"/>
        </w:rPr>
        <w:t>;  the</w:t>
      </w:r>
      <w:proofErr w:type="gramEnd"/>
      <w:r w:rsidRPr="002B5397">
        <w:rPr>
          <w:rFonts w:cstheme="minorHAnsi"/>
        </w:rPr>
        <w:t xml:space="preserve"> public opposition to the ABMU proposal to permanently close Maesteg Day Hospital has been listened to, and it is now CTMUHB’s intention to develop the site to its full potential to ensure we provide care closer to</w:t>
      </w:r>
      <w:r>
        <w:rPr>
          <w:rFonts w:cstheme="minorHAnsi"/>
        </w:rPr>
        <w:t xml:space="preserve"> home for the local population.</w:t>
      </w:r>
    </w:p>
    <w:p w14:paraId="12939B39" w14:textId="77777777" w:rsidR="009A1D3B" w:rsidRDefault="009A1D3B" w:rsidP="009A1D3B">
      <w:pPr>
        <w:rPr>
          <w:rFonts w:ascii="Arial" w:hAnsi="Arial" w:cs="Arial"/>
          <w:i/>
        </w:rPr>
      </w:pPr>
      <w:r>
        <w:rPr>
          <w:rFonts w:ascii="Arial" w:hAnsi="Arial" w:cs="Arial"/>
          <w:i/>
        </w:rPr>
        <w:br w:type="page"/>
      </w:r>
    </w:p>
    <w:p w14:paraId="43B68B4F" w14:textId="77777777" w:rsidR="009A1D3B" w:rsidRDefault="009A1D3B" w:rsidP="009A1D3B">
      <w:pPr>
        <w:rPr>
          <w:rFonts w:ascii="Arial" w:hAnsi="Arial" w:cs="Arial"/>
          <w:i/>
        </w:rPr>
        <w:sectPr w:rsidR="009A1D3B" w:rsidSect="0098336B">
          <w:pgSz w:w="11906" w:h="16838"/>
          <w:pgMar w:top="964" w:right="964" w:bottom="964" w:left="964" w:header="709" w:footer="709" w:gutter="0"/>
          <w:cols w:space="708"/>
          <w:docGrid w:linePitch="360"/>
        </w:sectPr>
      </w:pPr>
    </w:p>
    <w:p w14:paraId="4D0B38FB" w14:textId="77777777" w:rsidR="009A1D3B" w:rsidRDefault="009A1D3B" w:rsidP="009A1D3B">
      <w:pPr>
        <w:rPr>
          <w:rFonts w:ascii="Arial" w:hAnsi="Arial" w:cs="Arial"/>
          <w:i/>
        </w:rPr>
      </w:pPr>
      <w:r w:rsidRPr="00F10333">
        <w:rPr>
          <w:rFonts w:ascii="Arial" w:hAnsi="Arial" w:cs="Arial"/>
          <w:i/>
          <w:noProof/>
        </w:rPr>
        <w:lastRenderedPageBreak/>
        <mc:AlternateContent>
          <mc:Choice Requires="wps">
            <w:drawing>
              <wp:anchor distT="0" distB="0" distL="114300" distR="114300" simplePos="0" relativeHeight="252815360" behindDoc="0" locked="0" layoutInCell="1" allowOverlap="1" wp14:anchorId="54437CEF" wp14:editId="3C1CAF19">
                <wp:simplePos x="0" y="0"/>
                <wp:positionH relativeFrom="margin">
                  <wp:posOffset>2190750</wp:posOffset>
                </wp:positionH>
                <wp:positionV relativeFrom="paragraph">
                  <wp:posOffset>1270</wp:posOffset>
                </wp:positionV>
                <wp:extent cx="6257925" cy="409575"/>
                <wp:effectExtent l="0" t="0" r="28575" b="28575"/>
                <wp:wrapSquare wrapText="bothSides"/>
                <wp:docPr id="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57925" cy="409575"/>
                        </a:xfrm>
                        <a:prstGeom prst="rect">
                          <a:avLst/>
                        </a:prstGeom>
                        <a:solidFill>
                          <a:srgbClr val="FFFFFF"/>
                        </a:solidFill>
                        <a:ln w="9525">
                          <a:solidFill>
                            <a:srgbClr val="000000"/>
                          </a:solidFill>
                          <a:miter lim="800000"/>
                          <a:headEnd/>
                          <a:tailEnd/>
                        </a:ln>
                      </wps:spPr>
                      <wps:txbx>
                        <w:txbxContent>
                          <w:p w14:paraId="33A3E2D2" w14:textId="77777777" w:rsidR="006F090B" w:rsidRPr="00D87798" w:rsidRDefault="006F090B" w:rsidP="009A1D3B">
                            <w:pPr>
                              <w:jc w:val="center"/>
                              <w:rPr>
                                <w:b/>
                                <w:sz w:val="32"/>
                                <w:szCs w:val="32"/>
                              </w:rPr>
                            </w:pPr>
                            <w:r>
                              <w:rPr>
                                <w:b/>
                                <w:sz w:val="32"/>
                                <w:szCs w:val="32"/>
                              </w:rPr>
                              <w:t xml:space="preserve">Cwm Taf Morgannwg </w:t>
                            </w:r>
                            <w:r w:rsidRPr="00D87798">
                              <w:rPr>
                                <w:b/>
                                <w:sz w:val="32"/>
                                <w:szCs w:val="32"/>
                              </w:rPr>
                              <w:t>Cluster IMTP</w:t>
                            </w:r>
                            <w:r>
                              <w:rPr>
                                <w:b/>
                                <w:sz w:val="32"/>
                                <w:szCs w:val="32"/>
                              </w:rPr>
                              <w:t>s</w:t>
                            </w:r>
                            <w:r w:rsidRPr="00D87798">
                              <w:rPr>
                                <w:b/>
                                <w:sz w:val="32"/>
                                <w:szCs w:val="32"/>
                              </w:rPr>
                              <w:t xml:space="preserve"> 2020 </w:t>
                            </w:r>
                            <w:r>
                              <w:rPr>
                                <w:b/>
                                <w:sz w:val="32"/>
                                <w:szCs w:val="32"/>
                              </w:rPr>
                              <w:t>–</w:t>
                            </w:r>
                            <w:r w:rsidRPr="00D87798">
                              <w:rPr>
                                <w:b/>
                                <w:sz w:val="32"/>
                                <w:szCs w:val="32"/>
                              </w:rPr>
                              <w:t xml:space="preserve"> 2023</w:t>
                            </w:r>
                            <w:r>
                              <w:rPr>
                                <w:b/>
                                <w:sz w:val="32"/>
                                <w:szCs w:val="32"/>
                              </w:rPr>
                              <w:t xml:space="preserve"> – Common Themes</w:t>
                            </w:r>
                          </w:p>
                          <w:p w14:paraId="31416B88" w14:textId="77777777" w:rsidR="006F090B" w:rsidRPr="00D87798" w:rsidRDefault="006F090B" w:rsidP="009A1D3B">
                            <w:pPr>
                              <w:rPr>
                                <w:rFonts w:cstheme="minorHAnsi"/>
                                <w: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4437CEF" id="_x0000_t202" coordsize="21600,21600" o:spt="202" path="m,l,21600r21600,l21600,xe">
                <v:stroke joinstyle="miter"/>
                <v:path gradientshapeok="t" o:connecttype="rect"/>
              </v:shapetype>
              <v:shape id="Text Box 2" o:spid="_x0000_s1026" type="#_x0000_t202" style="position:absolute;left:0;text-align:left;margin-left:172.5pt;margin-top:.1pt;width:492.75pt;height:32.25pt;z-index:252815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">
                <v:textbox>
                  <w:txbxContent>
                    <w:p w14:paraId="33A3E2D2" w14:textId="77777777" w:rsidR="006F090B" w:rsidRPr="00D87798" w:rsidRDefault="006F090B" w:rsidP="009A1D3B">
                      <w:pPr>
                        <w:jc w:val="center"/>
                        <w:rPr>
                          <w:b/>
                          <w:sz w:val="32"/>
                          <w:szCs w:val="32"/>
                        </w:rPr>
                      </w:pPr>
                      <w:r>
                        <w:rPr>
                          <w:b/>
                          <w:sz w:val="32"/>
                          <w:szCs w:val="32"/>
                        </w:rPr>
                        <w:t xml:space="preserve">Cwm Taf Morgannwg </w:t>
                      </w:r>
                      <w:r w:rsidRPr="00D87798">
                        <w:rPr>
                          <w:b/>
                          <w:sz w:val="32"/>
                          <w:szCs w:val="32"/>
                        </w:rPr>
                        <w:t>Cluster IMTP</w:t>
                      </w:r>
                      <w:r>
                        <w:rPr>
                          <w:b/>
                          <w:sz w:val="32"/>
                          <w:szCs w:val="32"/>
                        </w:rPr>
                        <w:t>s</w:t>
                      </w:r>
                      <w:r w:rsidRPr="00D87798">
                        <w:rPr>
                          <w:b/>
                          <w:sz w:val="32"/>
                          <w:szCs w:val="32"/>
                        </w:rPr>
                        <w:t xml:space="preserve"> 2020 </w:t>
                      </w:r>
                      <w:r>
                        <w:rPr>
                          <w:b/>
                          <w:sz w:val="32"/>
                          <w:szCs w:val="32"/>
                        </w:rPr>
                        <w:t>–</w:t>
                      </w:r>
                      <w:r w:rsidRPr="00D87798">
                        <w:rPr>
                          <w:b/>
                          <w:sz w:val="32"/>
                          <w:szCs w:val="32"/>
                        </w:rPr>
                        <w:t xml:space="preserve"> 2023</w:t>
                      </w:r>
                      <w:r>
                        <w:rPr>
                          <w:b/>
                          <w:sz w:val="32"/>
                          <w:szCs w:val="32"/>
                        </w:rPr>
                        <w:t xml:space="preserve"> – Common Themes</w:t>
                      </w:r>
                    </w:p>
                    <w:p w14:paraId="31416B88" w14:textId="77777777" w:rsidR="006F090B" w:rsidRPr="00D87798" w:rsidRDefault="006F090B" w:rsidP="009A1D3B">
                      <w:pPr>
                        <w:rPr>
                          <w:rFonts w:cstheme="minorHAnsi"/>
                          <w:b/>
                        </w:rPr>
                      </w:pPr>
                    </w:p>
                  </w:txbxContent>
                </v:textbox>
                <w10:wrap type="square" anchorx="margin"/>
              </v:shape>
            </w:pict>
          </mc:Fallback>
        </mc:AlternateContent>
      </w:r>
    </w:p>
    <w:p w14:paraId="4295C282" w14:textId="77777777" w:rsidR="009A1D3B" w:rsidRDefault="009A1D3B" w:rsidP="009A1D3B">
      <w:pPr>
        <w:rPr>
          <w:b/>
          <w:sz w:val="32"/>
          <w:szCs w:val="32"/>
        </w:rPr>
      </w:pPr>
      <w:r w:rsidRPr="00AC47A0">
        <w:rPr>
          <w:b/>
          <w:noProof/>
          <w:sz w:val="32"/>
          <w:szCs w:val="32"/>
        </w:rPr>
        <mc:AlternateContent>
          <mc:Choice Requires="wps">
            <w:drawing>
              <wp:anchor distT="45720" distB="45720" distL="114300" distR="114300" simplePos="0" relativeHeight="252816384" behindDoc="0" locked="0" layoutInCell="1" allowOverlap="1" wp14:anchorId="3376167E" wp14:editId="5449B364">
                <wp:simplePos x="0" y="0"/>
                <wp:positionH relativeFrom="column">
                  <wp:posOffset>-200025</wp:posOffset>
                </wp:positionH>
                <wp:positionV relativeFrom="paragraph">
                  <wp:posOffset>259715</wp:posOffset>
                </wp:positionV>
                <wp:extent cx="4000500" cy="2057400"/>
                <wp:effectExtent l="0" t="0" r="1905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0500" cy="2057400"/>
                        </a:xfrm>
                        <a:prstGeom prst="snip2SameRect">
                          <a:avLst/>
                        </a:prstGeom>
                        <a:solidFill>
                          <a:srgbClr val="C8EBA9"/>
                        </a:solidFill>
                        <a:ln w="9525">
                          <a:solidFill>
                            <a:srgbClr val="000000"/>
                          </a:solidFill>
                          <a:miter lim="800000"/>
                          <a:headEnd/>
                          <a:tailEnd/>
                        </a:ln>
                      </wps:spPr>
                      <wps:txbx>
                        <w:txbxContent>
                          <w:p w14:paraId="2E7280A9" w14:textId="77777777" w:rsidR="006F090B" w:rsidRPr="00905831" w:rsidRDefault="006F090B" w:rsidP="009A1D3B">
                            <w:pPr>
                              <w:shd w:val="clear" w:color="auto" w:fill="C8EBA9"/>
                              <w:jc w:val="center"/>
                              <w:rPr>
                                <w:b/>
                                <w:color w:val="984806" w:themeColor="accent6" w:themeShade="80"/>
                                <w:sz w:val="24"/>
                              </w:rPr>
                            </w:pPr>
                            <w:r w:rsidRPr="00905831">
                              <w:rPr>
                                <w:b/>
                                <w:color w:val="984806" w:themeColor="accent6" w:themeShade="80"/>
                                <w:sz w:val="24"/>
                              </w:rPr>
                              <w:t>Key Drivers</w:t>
                            </w:r>
                          </w:p>
                          <w:p w14:paraId="79BE9E9F" w14:textId="77777777" w:rsidR="006F090B" w:rsidRPr="00905831" w:rsidRDefault="006F090B" w:rsidP="003B1653">
                            <w:pPr>
                              <w:pStyle w:val="ListParagraph"/>
                              <w:numPr>
                                <w:ilvl w:val="0"/>
                                <w:numId w:val="70"/>
                              </w:numPr>
                              <w:spacing w:line="259" w:lineRule="auto"/>
                              <w:jc w:val="left"/>
                              <w:rPr>
                                <w:b/>
                                <w:color w:val="984806" w:themeColor="accent6" w:themeShade="80"/>
                              </w:rPr>
                            </w:pPr>
                            <w:r w:rsidRPr="00905831">
                              <w:rPr>
                                <w:b/>
                                <w:color w:val="984806" w:themeColor="accent6" w:themeShade="80"/>
                              </w:rPr>
                              <w:t>Improving population health and reducing health inequalities on a cluster level</w:t>
                            </w:r>
                          </w:p>
                          <w:p w14:paraId="20D821B1" w14:textId="77777777" w:rsidR="006F090B" w:rsidRPr="00905831" w:rsidRDefault="006F090B" w:rsidP="003B1653">
                            <w:pPr>
                              <w:pStyle w:val="ListParagraph"/>
                              <w:numPr>
                                <w:ilvl w:val="0"/>
                                <w:numId w:val="70"/>
                              </w:numPr>
                              <w:spacing w:after="160" w:line="259" w:lineRule="auto"/>
                              <w:jc w:val="left"/>
                              <w:rPr>
                                <w:b/>
                                <w:color w:val="984806" w:themeColor="accent6" w:themeShade="80"/>
                              </w:rPr>
                            </w:pPr>
                            <w:r w:rsidRPr="00905831">
                              <w:rPr>
                                <w:b/>
                                <w:color w:val="984806" w:themeColor="accent6" w:themeShade="80"/>
                              </w:rPr>
                              <w:t>Integrating pathways to provide a holistic, person-centred approach to meet people’s needs</w:t>
                            </w:r>
                          </w:p>
                          <w:p w14:paraId="1E913462" w14:textId="77777777" w:rsidR="006F090B" w:rsidRPr="00905831" w:rsidRDefault="006F090B" w:rsidP="003B1653">
                            <w:pPr>
                              <w:pStyle w:val="ListParagraph"/>
                              <w:numPr>
                                <w:ilvl w:val="0"/>
                                <w:numId w:val="70"/>
                              </w:numPr>
                              <w:spacing w:after="160" w:line="259" w:lineRule="auto"/>
                              <w:jc w:val="left"/>
                              <w:rPr>
                                <w:b/>
                                <w:color w:val="984806" w:themeColor="accent6" w:themeShade="80"/>
                              </w:rPr>
                            </w:pPr>
                            <w:r w:rsidRPr="00905831">
                              <w:rPr>
                                <w:b/>
                                <w:color w:val="984806" w:themeColor="accent6" w:themeShade="80"/>
                              </w:rPr>
                              <w:t>Enabling timely access to the most appropriate service</w:t>
                            </w:r>
                          </w:p>
                          <w:p w14:paraId="4393461A" w14:textId="77777777" w:rsidR="006F090B" w:rsidRPr="00905831" w:rsidRDefault="006F090B" w:rsidP="003B1653">
                            <w:pPr>
                              <w:pStyle w:val="ListParagraph"/>
                              <w:numPr>
                                <w:ilvl w:val="0"/>
                                <w:numId w:val="70"/>
                              </w:numPr>
                              <w:spacing w:after="160" w:line="259" w:lineRule="auto"/>
                              <w:jc w:val="left"/>
                              <w:rPr>
                                <w:b/>
                                <w:color w:val="984806" w:themeColor="accent6" w:themeShade="80"/>
                              </w:rPr>
                            </w:pPr>
                            <w:r w:rsidRPr="00905831">
                              <w:rPr>
                                <w:b/>
                                <w:color w:val="984806" w:themeColor="accent6" w:themeShade="80"/>
                              </w:rPr>
                              <w:t>Patient safety, quality and clinical effectiveness</w:t>
                            </w:r>
                          </w:p>
                          <w:p w14:paraId="03F53D9F" w14:textId="77777777" w:rsidR="006F090B" w:rsidRPr="00905831" w:rsidRDefault="006F090B" w:rsidP="003B1653">
                            <w:pPr>
                              <w:pStyle w:val="ListParagraph"/>
                              <w:numPr>
                                <w:ilvl w:val="0"/>
                                <w:numId w:val="70"/>
                              </w:numPr>
                              <w:spacing w:after="160" w:line="259" w:lineRule="auto"/>
                              <w:jc w:val="left"/>
                              <w:rPr>
                                <w:b/>
                                <w:color w:val="984806" w:themeColor="accent6" w:themeShade="80"/>
                              </w:rPr>
                            </w:pPr>
                            <w:r w:rsidRPr="00905831">
                              <w:rPr>
                                <w:b/>
                                <w:color w:val="984806" w:themeColor="accent6" w:themeShade="80"/>
                              </w:rPr>
                              <w:t>Ensuring service sustainability in the face of increasing demand and GP recruitment/retention challenges</w:t>
                            </w:r>
                          </w:p>
                          <w:p w14:paraId="7249BEFF" w14:textId="77777777" w:rsidR="006F090B" w:rsidRPr="00AC47A0" w:rsidRDefault="006F090B" w:rsidP="009A1D3B">
                            <w:pPr>
                              <w:pStyle w:val="ListParagraph"/>
                              <w:ind w:left="360"/>
                              <w:rPr>
                                <w: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376167E" id="_x0000_s1027" style="position:absolute;left:0;text-align:left;margin-left:-15.75pt;margin-top:20.45pt;width:315pt;height:162pt;z-index:252816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coordsize="4000500,20574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" adj="-11796480,,5400" path="m342907,l3657593,r342907,342907l4000500,2057400r,l,2057400r,l,342907,342907,xe" fillcolor="#c8eba9">
                <v:stroke joinstyle="miter"/>
                <v:formulas/>
                <v:path o:connecttype="custom" o:connectlocs="342907,0;3657593,0;4000500,342907;4000500,2057400;4000500,2057400;0,2057400;0,2057400;0,342907;342907,0" o:connectangles="0,0,0,0,0,0,0,0,0" textboxrect="0,0,4000500,2057400"/>
                <v:textbox>
                  <w:txbxContent>
                    <w:p w14:paraId="2E7280A9" w14:textId="77777777" w:rsidR="006F090B" w:rsidRPr="00905831" w:rsidRDefault="006F090B" w:rsidP="009A1D3B">
                      <w:pPr>
                        <w:shd w:val="clear" w:color="auto" w:fill="C8EBA9"/>
                        <w:jc w:val="center"/>
                        <w:rPr>
                          <w:b/>
                          <w:color w:val="984806" w:themeColor="accent6" w:themeShade="80"/>
                          <w:sz w:val="24"/>
                        </w:rPr>
                      </w:pPr>
                      <w:r w:rsidRPr="00905831">
                        <w:rPr>
                          <w:b/>
                          <w:color w:val="984806" w:themeColor="accent6" w:themeShade="80"/>
                          <w:sz w:val="24"/>
                        </w:rPr>
                        <w:t>Key Drivers</w:t>
                      </w:r>
                    </w:p>
                    <w:p w14:paraId="79BE9E9F" w14:textId="77777777" w:rsidR="006F090B" w:rsidRPr="00905831" w:rsidRDefault="006F090B" w:rsidP="003B1653">
                      <w:pPr>
                        <w:pStyle w:val="ListParagraph"/>
                        <w:numPr>
                          <w:ilvl w:val="0"/>
                          <w:numId w:val="70"/>
                        </w:numPr>
                        <w:spacing w:line="259" w:lineRule="auto"/>
                        <w:jc w:val="left"/>
                        <w:rPr>
                          <w:b/>
                          <w:color w:val="984806" w:themeColor="accent6" w:themeShade="80"/>
                        </w:rPr>
                      </w:pPr>
                      <w:r w:rsidRPr="00905831">
                        <w:rPr>
                          <w:b/>
                          <w:color w:val="984806" w:themeColor="accent6" w:themeShade="80"/>
                        </w:rPr>
                        <w:t>Improving population health and reducing health inequalities on a cluster level</w:t>
                      </w:r>
                    </w:p>
                    <w:p w14:paraId="20D821B1" w14:textId="77777777" w:rsidR="006F090B" w:rsidRPr="00905831" w:rsidRDefault="006F090B" w:rsidP="003B1653">
                      <w:pPr>
                        <w:pStyle w:val="ListParagraph"/>
                        <w:numPr>
                          <w:ilvl w:val="0"/>
                          <w:numId w:val="70"/>
                        </w:numPr>
                        <w:spacing w:after="160" w:line="259" w:lineRule="auto"/>
                        <w:jc w:val="left"/>
                        <w:rPr>
                          <w:b/>
                          <w:color w:val="984806" w:themeColor="accent6" w:themeShade="80"/>
                        </w:rPr>
                      </w:pPr>
                      <w:r w:rsidRPr="00905831">
                        <w:rPr>
                          <w:b/>
                          <w:color w:val="984806" w:themeColor="accent6" w:themeShade="80"/>
                        </w:rPr>
                        <w:t>Integrating pathways to provide a holistic, person-centred approach to meet people’s needs</w:t>
                      </w:r>
                    </w:p>
                    <w:p w14:paraId="1E913462" w14:textId="77777777" w:rsidR="006F090B" w:rsidRPr="00905831" w:rsidRDefault="006F090B" w:rsidP="003B1653">
                      <w:pPr>
                        <w:pStyle w:val="ListParagraph"/>
                        <w:numPr>
                          <w:ilvl w:val="0"/>
                          <w:numId w:val="70"/>
                        </w:numPr>
                        <w:spacing w:after="160" w:line="259" w:lineRule="auto"/>
                        <w:jc w:val="left"/>
                        <w:rPr>
                          <w:b/>
                          <w:color w:val="984806" w:themeColor="accent6" w:themeShade="80"/>
                        </w:rPr>
                      </w:pPr>
                      <w:r w:rsidRPr="00905831">
                        <w:rPr>
                          <w:b/>
                          <w:color w:val="984806" w:themeColor="accent6" w:themeShade="80"/>
                        </w:rPr>
                        <w:t>Enabling timely access to the most appropriate service</w:t>
                      </w:r>
                    </w:p>
                    <w:p w14:paraId="4393461A" w14:textId="77777777" w:rsidR="006F090B" w:rsidRPr="00905831" w:rsidRDefault="006F090B" w:rsidP="003B1653">
                      <w:pPr>
                        <w:pStyle w:val="ListParagraph"/>
                        <w:numPr>
                          <w:ilvl w:val="0"/>
                          <w:numId w:val="70"/>
                        </w:numPr>
                        <w:spacing w:after="160" w:line="259" w:lineRule="auto"/>
                        <w:jc w:val="left"/>
                        <w:rPr>
                          <w:b/>
                          <w:color w:val="984806" w:themeColor="accent6" w:themeShade="80"/>
                        </w:rPr>
                      </w:pPr>
                      <w:r w:rsidRPr="00905831">
                        <w:rPr>
                          <w:b/>
                          <w:color w:val="984806" w:themeColor="accent6" w:themeShade="80"/>
                        </w:rPr>
                        <w:t>Patient safety, quality and clinical effectiveness</w:t>
                      </w:r>
                    </w:p>
                    <w:p w14:paraId="03F53D9F" w14:textId="77777777" w:rsidR="006F090B" w:rsidRPr="00905831" w:rsidRDefault="006F090B" w:rsidP="003B1653">
                      <w:pPr>
                        <w:pStyle w:val="ListParagraph"/>
                        <w:numPr>
                          <w:ilvl w:val="0"/>
                          <w:numId w:val="70"/>
                        </w:numPr>
                        <w:spacing w:after="160" w:line="259" w:lineRule="auto"/>
                        <w:jc w:val="left"/>
                        <w:rPr>
                          <w:b/>
                          <w:color w:val="984806" w:themeColor="accent6" w:themeShade="80"/>
                        </w:rPr>
                      </w:pPr>
                      <w:r w:rsidRPr="00905831">
                        <w:rPr>
                          <w:b/>
                          <w:color w:val="984806" w:themeColor="accent6" w:themeShade="80"/>
                        </w:rPr>
                        <w:t>Ensuring service sustainability in the face of increasing demand and GP recruitment/retention challenges</w:t>
                      </w:r>
                    </w:p>
                    <w:p w14:paraId="7249BEFF" w14:textId="77777777" w:rsidR="006F090B" w:rsidRPr="00AC47A0" w:rsidRDefault="006F090B" w:rsidP="009A1D3B">
                      <w:pPr>
                        <w:pStyle w:val="ListParagraph"/>
                        <w:ind w:left="360"/>
                        <w:rPr>
                          <w:b/>
                        </w:rPr>
                      </w:pPr>
                    </w:p>
                  </w:txbxContent>
                </v:textbox>
                <w10:wrap type="square"/>
              </v:shape>
            </w:pict>
          </mc:Fallback>
        </mc:AlternateContent>
      </w:r>
      <w:r w:rsidRPr="00F10333">
        <w:rPr>
          <w:rFonts w:ascii="Arial" w:hAnsi="Arial" w:cs="Arial"/>
          <w:i/>
          <w:noProof/>
        </w:rPr>
        <mc:AlternateContent>
          <mc:Choice Requires="wps">
            <w:drawing>
              <wp:anchor distT="0" distB="0" distL="114300" distR="114300" simplePos="0" relativeHeight="252813312" behindDoc="0" locked="0" layoutInCell="1" allowOverlap="1" wp14:anchorId="2A73F871" wp14:editId="3E0EDD38">
                <wp:simplePos x="0" y="0"/>
                <wp:positionH relativeFrom="margin">
                  <wp:posOffset>5972175</wp:posOffset>
                </wp:positionH>
                <wp:positionV relativeFrom="paragraph">
                  <wp:posOffset>269240</wp:posOffset>
                </wp:positionV>
                <wp:extent cx="3886200" cy="4448175"/>
                <wp:effectExtent l="0" t="0" r="19050" b="28575"/>
                <wp:wrapSquare wrapText="bothSides"/>
                <wp:docPr id="46"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4448175"/>
                        </a:xfrm>
                        <a:prstGeom prst="rect">
                          <a:avLst/>
                        </a:prstGeom>
                        <a:solidFill>
                          <a:srgbClr val="FFFF66"/>
                        </a:solidFill>
                        <a:ln w="9525">
                          <a:solidFill>
                            <a:srgbClr val="000000"/>
                          </a:solidFill>
                          <a:miter lim="800000"/>
                          <a:headEnd/>
                          <a:tailEnd/>
                        </a:ln>
                      </wps:spPr>
                      <wps:txbx>
                        <w:txbxContent>
                          <w:p w14:paraId="037F724F" w14:textId="77777777" w:rsidR="006F090B" w:rsidRPr="00905831" w:rsidRDefault="006F090B" w:rsidP="009A1D3B">
                            <w:pPr>
                              <w:jc w:val="center"/>
                              <w:rPr>
                                <w:rFonts w:cs="Arial"/>
                                <w:b/>
                                <w:color w:val="632423" w:themeColor="accent2" w:themeShade="80"/>
                                <w:sz w:val="24"/>
                              </w:rPr>
                            </w:pPr>
                            <w:r w:rsidRPr="00905831">
                              <w:rPr>
                                <w:rFonts w:cs="Arial"/>
                                <w:b/>
                                <w:color w:val="632423" w:themeColor="accent2" w:themeShade="80"/>
                                <w:sz w:val="24"/>
                              </w:rPr>
                              <w:t>Primary Care Cluster Priorities</w:t>
                            </w:r>
                          </w:p>
                          <w:p w14:paraId="4B50EC9B" w14:textId="77777777" w:rsidR="006F090B" w:rsidRPr="00905831" w:rsidRDefault="006F090B" w:rsidP="003B1653">
                            <w:pPr>
                              <w:pStyle w:val="ListParagraph"/>
                              <w:numPr>
                                <w:ilvl w:val="0"/>
                                <w:numId w:val="71"/>
                              </w:numPr>
                              <w:rPr>
                                <w:rFonts w:cs="Arial"/>
                                <w:color w:val="632423" w:themeColor="accent2" w:themeShade="80"/>
                              </w:rPr>
                            </w:pPr>
                            <w:r w:rsidRPr="00905831">
                              <w:rPr>
                                <w:rFonts w:cs="Arial"/>
                                <w:b/>
                                <w:color w:val="632423" w:themeColor="accent2" w:themeShade="80"/>
                              </w:rPr>
                              <w:t>Health promotion and prevention –</w:t>
                            </w:r>
                            <w:r w:rsidRPr="00905831">
                              <w:rPr>
                                <w:rFonts w:cs="Arial"/>
                                <w:color w:val="632423" w:themeColor="accent2" w:themeShade="80"/>
                              </w:rPr>
                              <w:t>healthy lifestyle advice and support; encouraging uptake of screening services particularly bowel and cervical cancer screening; encouraging uptake of flu and childhood vaccinations</w:t>
                            </w:r>
                          </w:p>
                          <w:p w14:paraId="7A91E114" w14:textId="77777777" w:rsidR="006F090B" w:rsidRPr="00905831" w:rsidRDefault="006F090B" w:rsidP="003B1653">
                            <w:pPr>
                              <w:pStyle w:val="ListParagraph"/>
                              <w:numPr>
                                <w:ilvl w:val="0"/>
                                <w:numId w:val="71"/>
                              </w:numPr>
                              <w:rPr>
                                <w:rFonts w:cs="Arial"/>
                                <w:b/>
                                <w:color w:val="632423" w:themeColor="accent2" w:themeShade="80"/>
                              </w:rPr>
                            </w:pPr>
                            <w:r w:rsidRPr="00905831">
                              <w:rPr>
                                <w:rFonts w:cs="Arial"/>
                                <w:b/>
                                <w:color w:val="632423" w:themeColor="accent2" w:themeShade="80"/>
                              </w:rPr>
                              <w:t>Placed based planning –</w:t>
                            </w:r>
                            <w:r w:rsidRPr="00905831">
                              <w:rPr>
                                <w:rFonts w:cs="Arial"/>
                                <w:color w:val="632423" w:themeColor="accent2" w:themeShade="80"/>
                              </w:rPr>
                              <w:t xml:space="preserve"> using information from needs assessment, population segmentation, local intelligence, to enable </w:t>
                            </w:r>
                            <w:r w:rsidRPr="00905831">
                              <w:rPr>
                                <w:rFonts w:cs="Arial"/>
                                <w:b/>
                                <w:color w:val="632423" w:themeColor="accent2" w:themeShade="80"/>
                              </w:rPr>
                              <w:t xml:space="preserve"> </w:t>
                            </w:r>
                            <w:r w:rsidRPr="00905831">
                              <w:rPr>
                                <w:rFonts w:cs="Arial"/>
                                <w:color w:val="632423" w:themeColor="accent2" w:themeShade="80"/>
                              </w:rPr>
                              <w:t>targeting of service response to local need</w:t>
                            </w:r>
                          </w:p>
                          <w:p w14:paraId="4974B640" w14:textId="77777777" w:rsidR="006F090B" w:rsidRPr="00905831" w:rsidRDefault="006F090B" w:rsidP="003B1653">
                            <w:pPr>
                              <w:pStyle w:val="ListParagraph"/>
                              <w:numPr>
                                <w:ilvl w:val="0"/>
                                <w:numId w:val="71"/>
                              </w:numPr>
                              <w:rPr>
                                <w:rFonts w:cs="Arial"/>
                                <w:b/>
                                <w:color w:val="632423" w:themeColor="accent2" w:themeShade="80"/>
                              </w:rPr>
                            </w:pPr>
                            <w:r w:rsidRPr="00905831">
                              <w:rPr>
                                <w:rFonts w:cs="Arial"/>
                                <w:b/>
                                <w:color w:val="632423" w:themeColor="accent2" w:themeShade="80"/>
                              </w:rPr>
                              <w:t>Transformation Programme</w:t>
                            </w:r>
                            <w:r>
                              <w:rPr>
                                <w:rFonts w:cs="Arial"/>
                                <w:b/>
                                <w:color w:val="632423" w:themeColor="accent2" w:themeShade="80"/>
                              </w:rPr>
                              <w:t>s</w:t>
                            </w:r>
                            <w:r w:rsidRPr="00905831">
                              <w:rPr>
                                <w:rFonts w:cs="Arial"/>
                                <w:b/>
                                <w:color w:val="632423" w:themeColor="accent2" w:themeShade="80"/>
                              </w:rPr>
                              <w:t xml:space="preserve"> : </w:t>
                            </w:r>
                            <w:r w:rsidRPr="00905831">
                              <w:rPr>
                                <w:rFonts w:cs="Arial"/>
                                <w:color w:val="632423" w:themeColor="accent2" w:themeShade="80"/>
                              </w:rPr>
                              <w:t>offering an integrated,  anticipatory response to help prevent escalation of a health or social care issue and support people to remain in their own home</w:t>
                            </w:r>
                          </w:p>
                          <w:p w14:paraId="1D808401" w14:textId="77777777" w:rsidR="006F090B" w:rsidRPr="00905831" w:rsidRDefault="006F090B" w:rsidP="003B1653">
                            <w:pPr>
                              <w:pStyle w:val="ListParagraph"/>
                              <w:numPr>
                                <w:ilvl w:val="0"/>
                                <w:numId w:val="71"/>
                              </w:numPr>
                              <w:rPr>
                                <w:rFonts w:cs="Arial"/>
                                <w:b/>
                                <w:color w:val="632423" w:themeColor="accent2" w:themeShade="80"/>
                              </w:rPr>
                            </w:pPr>
                            <w:r w:rsidRPr="00905831">
                              <w:rPr>
                                <w:rFonts w:cs="Arial"/>
                                <w:b/>
                                <w:color w:val="632423" w:themeColor="accent2" w:themeShade="80"/>
                              </w:rPr>
                              <w:t xml:space="preserve">Improving access – </w:t>
                            </w:r>
                            <w:r w:rsidRPr="00905831">
                              <w:rPr>
                                <w:rFonts w:cs="Arial"/>
                                <w:color w:val="632423" w:themeColor="accent2" w:themeShade="80"/>
                              </w:rPr>
                              <w:t xml:space="preserve">online information advice and booking systems eg  </w:t>
                            </w:r>
                            <w:hyperlink r:id="rId61" w:history="1">
                              <w:r w:rsidRPr="00905831">
                                <w:rPr>
                                  <w:rStyle w:val="Hyperlink"/>
                                  <w:rFonts w:eastAsiaTheme="majorEastAsia" w:cs="Arial"/>
                                  <w:color w:val="632423" w:themeColor="accent2" w:themeShade="80"/>
                                </w:rPr>
                                <w:t>PYB Health</w:t>
                              </w:r>
                            </w:hyperlink>
                            <w:r w:rsidRPr="00905831">
                              <w:rPr>
                                <w:rFonts w:cs="Arial"/>
                                <w:color w:val="632423" w:themeColor="accent2" w:themeShade="80"/>
                              </w:rPr>
                              <w:t>; care navigators; promotion of Choose Well and pharmacy Common Ailments service;  Out of Hours/111; commissioning of practice based practitioners eg pharmacists, physios, counsellors</w:t>
                            </w:r>
                          </w:p>
                          <w:p w14:paraId="6654CA2A" w14:textId="77777777" w:rsidR="006F090B" w:rsidRPr="00905831" w:rsidRDefault="006F090B" w:rsidP="003B1653">
                            <w:pPr>
                              <w:pStyle w:val="ListParagraph"/>
                              <w:numPr>
                                <w:ilvl w:val="0"/>
                                <w:numId w:val="71"/>
                              </w:numPr>
                              <w:rPr>
                                <w:rFonts w:cs="Arial"/>
                                <w:b/>
                                <w:color w:val="632423" w:themeColor="accent2" w:themeShade="80"/>
                              </w:rPr>
                            </w:pPr>
                            <w:r w:rsidRPr="00905831">
                              <w:rPr>
                                <w:rFonts w:cs="Arial"/>
                                <w:b/>
                                <w:color w:val="632423" w:themeColor="accent2" w:themeShade="80"/>
                              </w:rPr>
                              <w:t xml:space="preserve">Chronic Condition Management – </w:t>
                            </w:r>
                            <w:r w:rsidRPr="00905831">
                              <w:rPr>
                                <w:rFonts w:cs="Arial"/>
                                <w:color w:val="632423" w:themeColor="accent2" w:themeShade="80"/>
                              </w:rPr>
                              <w:t>supporting prevention, early diagnosis, self-management, early intervention and community care, for conditions such as diabetes, MSK, CVD, stroke/AF, COPD, chronic pain, fibromyalgia, frailty</w:t>
                            </w:r>
                          </w:p>
                          <w:p w14:paraId="5DDCA91D" w14:textId="77777777" w:rsidR="006F090B" w:rsidRPr="00905831" w:rsidRDefault="006F090B" w:rsidP="003B1653">
                            <w:pPr>
                              <w:pStyle w:val="ListParagraph"/>
                              <w:numPr>
                                <w:ilvl w:val="0"/>
                                <w:numId w:val="71"/>
                              </w:numPr>
                              <w:rPr>
                                <w:rFonts w:cs="Arial"/>
                                <w:b/>
                                <w:color w:val="632423" w:themeColor="accent2" w:themeShade="80"/>
                              </w:rPr>
                            </w:pPr>
                            <w:r w:rsidRPr="00905831">
                              <w:rPr>
                                <w:rFonts w:cs="Arial"/>
                                <w:b/>
                                <w:color w:val="632423" w:themeColor="accent2" w:themeShade="80"/>
                              </w:rPr>
                              <w:t xml:space="preserve">Determinants of health – </w:t>
                            </w:r>
                            <w:r w:rsidRPr="00905831">
                              <w:rPr>
                                <w:rFonts w:cs="Arial"/>
                                <w:color w:val="632423" w:themeColor="accent2" w:themeShade="80"/>
                              </w:rPr>
                              <w:t xml:space="preserve">linking to information and support to help people address issues relating to their ill health – eg debt, housing, loneliness – via GPSOs, social prescribing, wellbeing co-ordinators etc </w:t>
                            </w:r>
                          </w:p>
                          <w:p w14:paraId="7550A109" w14:textId="77777777" w:rsidR="006F090B" w:rsidRPr="008F17ED" w:rsidRDefault="006F090B" w:rsidP="009A1D3B">
                            <w:pPr>
                              <w:rPr>
                                <w:rFonts w:cstheme="minorHAnsi"/>
                                <w:b/>
                              </w:rPr>
                            </w:pPr>
                          </w:p>
                          <w:p w14:paraId="313EDEDD" w14:textId="77777777" w:rsidR="006F090B" w:rsidRPr="00F10333" w:rsidRDefault="006F090B" w:rsidP="009A1D3B">
                            <w:pPr>
                              <w:rPr>
                                <w:rFonts w:cstheme="minorHAnsi"/>
                                <w:b/>
                                <w:i/>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A73F871" id="Text Box 46" o:spid="_x0000_s1028" type="#_x0000_t202" style="position:absolute;left:0;text-align:left;margin-left:470.25pt;margin-top:21.2pt;width:306pt;height:350.25pt;z-index:252813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" fillcolor="#ff6">
                <v:textbox>
                  <w:txbxContent>
                    <w:p w14:paraId="037F724F" w14:textId="77777777" w:rsidR="006F090B" w:rsidRPr="00905831" w:rsidRDefault="006F090B" w:rsidP="009A1D3B">
                      <w:pPr>
                        <w:jc w:val="center"/>
                        <w:rPr>
                          <w:rFonts w:cs="Arial"/>
                          <w:b/>
                          <w:color w:val="632423" w:themeColor="accent2" w:themeShade="80"/>
                          <w:sz w:val="24"/>
                        </w:rPr>
                      </w:pPr>
                      <w:r w:rsidRPr="00905831">
                        <w:rPr>
                          <w:rFonts w:cs="Arial"/>
                          <w:b/>
                          <w:color w:val="632423" w:themeColor="accent2" w:themeShade="80"/>
                          <w:sz w:val="24"/>
                        </w:rPr>
                        <w:t>Primary Care Cluster Priorities</w:t>
                      </w:r>
                    </w:p>
                    <w:p w14:paraId="4B50EC9B" w14:textId="77777777" w:rsidR="006F090B" w:rsidRPr="00905831" w:rsidRDefault="006F090B" w:rsidP="003B1653">
                      <w:pPr>
                        <w:pStyle w:val="ListParagraph"/>
                        <w:numPr>
                          <w:ilvl w:val="0"/>
                          <w:numId w:val="71"/>
                        </w:numPr>
                        <w:rPr>
                          <w:rFonts w:cs="Arial"/>
                          <w:color w:val="632423" w:themeColor="accent2" w:themeShade="80"/>
                        </w:rPr>
                      </w:pPr>
                      <w:r w:rsidRPr="00905831">
                        <w:rPr>
                          <w:rFonts w:cs="Arial"/>
                          <w:b/>
                          <w:color w:val="632423" w:themeColor="accent2" w:themeShade="80"/>
                        </w:rPr>
                        <w:t>Health promotion and prevention –</w:t>
                      </w:r>
                      <w:r w:rsidRPr="00905831">
                        <w:rPr>
                          <w:rFonts w:cs="Arial"/>
                          <w:color w:val="632423" w:themeColor="accent2" w:themeShade="80"/>
                        </w:rPr>
                        <w:t>healthy lifestyle advice and support; encouraging uptake of screening services particularly bowel and cervical cancer screening; encouraging uptake of flu and childhood vaccinations</w:t>
                      </w:r>
                    </w:p>
                    <w:p w14:paraId="7A91E114" w14:textId="77777777" w:rsidR="006F090B" w:rsidRPr="00905831" w:rsidRDefault="006F090B" w:rsidP="003B1653">
                      <w:pPr>
                        <w:pStyle w:val="ListParagraph"/>
                        <w:numPr>
                          <w:ilvl w:val="0"/>
                          <w:numId w:val="71"/>
                        </w:numPr>
                        <w:rPr>
                          <w:rFonts w:cs="Arial"/>
                          <w:b/>
                          <w:color w:val="632423" w:themeColor="accent2" w:themeShade="80"/>
                        </w:rPr>
                      </w:pPr>
                      <w:r w:rsidRPr="00905831">
                        <w:rPr>
                          <w:rFonts w:cs="Arial"/>
                          <w:b/>
                          <w:color w:val="632423" w:themeColor="accent2" w:themeShade="80"/>
                        </w:rPr>
                        <w:t>Placed based planning –</w:t>
                      </w:r>
                      <w:r w:rsidRPr="00905831">
                        <w:rPr>
                          <w:rFonts w:cs="Arial"/>
                          <w:color w:val="632423" w:themeColor="accent2" w:themeShade="80"/>
                        </w:rPr>
                        <w:t xml:space="preserve"> using information from needs assessment, population segmentation, local intelligence, to enable </w:t>
                      </w:r>
                      <w:r w:rsidRPr="00905831">
                        <w:rPr>
                          <w:rFonts w:cs="Arial"/>
                          <w:b/>
                          <w:color w:val="632423" w:themeColor="accent2" w:themeShade="80"/>
                        </w:rPr>
                        <w:t xml:space="preserve"> </w:t>
                      </w:r>
                      <w:r w:rsidRPr="00905831">
                        <w:rPr>
                          <w:rFonts w:cs="Arial"/>
                          <w:color w:val="632423" w:themeColor="accent2" w:themeShade="80"/>
                        </w:rPr>
                        <w:t>targeting of service response to local need</w:t>
                      </w:r>
                    </w:p>
                    <w:p w14:paraId="4974B640" w14:textId="77777777" w:rsidR="006F090B" w:rsidRPr="00905831" w:rsidRDefault="006F090B" w:rsidP="003B1653">
                      <w:pPr>
                        <w:pStyle w:val="ListParagraph"/>
                        <w:numPr>
                          <w:ilvl w:val="0"/>
                          <w:numId w:val="71"/>
                        </w:numPr>
                        <w:rPr>
                          <w:rFonts w:cs="Arial"/>
                          <w:b/>
                          <w:color w:val="632423" w:themeColor="accent2" w:themeShade="80"/>
                        </w:rPr>
                      </w:pPr>
                      <w:r w:rsidRPr="00905831">
                        <w:rPr>
                          <w:rFonts w:cs="Arial"/>
                          <w:b/>
                          <w:color w:val="632423" w:themeColor="accent2" w:themeShade="80"/>
                        </w:rPr>
                        <w:t>Transformation Programme</w:t>
                      </w:r>
                      <w:r>
                        <w:rPr>
                          <w:rFonts w:cs="Arial"/>
                          <w:b/>
                          <w:color w:val="632423" w:themeColor="accent2" w:themeShade="80"/>
                        </w:rPr>
                        <w:t>s</w:t>
                      </w:r>
                      <w:r w:rsidRPr="00905831">
                        <w:rPr>
                          <w:rFonts w:cs="Arial"/>
                          <w:b/>
                          <w:color w:val="632423" w:themeColor="accent2" w:themeShade="80"/>
                        </w:rPr>
                        <w:t xml:space="preserve"> : </w:t>
                      </w:r>
                      <w:r w:rsidRPr="00905831">
                        <w:rPr>
                          <w:rFonts w:cs="Arial"/>
                          <w:color w:val="632423" w:themeColor="accent2" w:themeShade="80"/>
                        </w:rPr>
                        <w:t>offering an integrated,  anticipatory response to help prevent escalation of a health or social care issue and support people to remain in their own home</w:t>
                      </w:r>
                    </w:p>
                    <w:p w14:paraId="1D808401" w14:textId="77777777" w:rsidR="006F090B" w:rsidRPr="00905831" w:rsidRDefault="006F090B" w:rsidP="003B1653">
                      <w:pPr>
                        <w:pStyle w:val="ListParagraph"/>
                        <w:numPr>
                          <w:ilvl w:val="0"/>
                          <w:numId w:val="71"/>
                        </w:numPr>
                        <w:rPr>
                          <w:rFonts w:cs="Arial"/>
                          <w:b/>
                          <w:color w:val="632423" w:themeColor="accent2" w:themeShade="80"/>
                        </w:rPr>
                      </w:pPr>
                      <w:r w:rsidRPr="00905831">
                        <w:rPr>
                          <w:rFonts w:cs="Arial"/>
                          <w:b/>
                          <w:color w:val="632423" w:themeColor="accent2" w:themeShade="80"/>
                        </w:rPr>
                        <w:t xml:space="preserve">Improving access – </w:t>
                      </w:r>
                      <w:r w:rsidRPr="00905831">
                        <w:rPr>
                          <w:rFonts w:cs="Arial"/>
                          <w:color w:val="632423" w:themeColor="accent2" w:themeShade="80"/>
                        </w:rPr>
                        <w:t xml:space="preserve">online information advice and booking systems eg  </w:t>
                      </w:r>
                      <w:hyperlink r:id="rId62" w:history="1">
                        <w:r w:rsidRPr="00905831">
                          <w:rPr>
                            <w:rStyle w:val="Hyperlink"/>
                            <w:rFonts w:eastAsiaTheme="majorEastAsia" w:cs="Arial"/>
                            <w:color w:val="632423" w:themeColor="accent2" w:themeShade="80"/>
                          </w:rPr>
                          <w:t>PYB Health</w:t>
                        </w:r>
                      </w:hyperlink>
                      <w:r w:rsidRPr="00905831">
                        <w:rPr>
                          <w:rFonts w:cs="Arial"/>
                          <w:color w:val="632423" w:themeColor="accent2" w:themeShade="80"/>
                        </w:rPr>
                        <w:t>; care navigators; promotion of Choose Well and pharmacy Common Ailments service;  Out of Hours/111; commissioning of practice based practitioners eg pharmacists, physios, counsellors</w:t>
                      </w:r>
                    </w:p>
                    <w:p w14:paraId="6654CA2A" w14:textId="77777777" w:rsidR="006F090B" w:rsidRPr="00905831" w:rsidRDefault="006F090B" w:rsidP="003B1653">
                      <w:pPr>
                        <w:pStyle w:val="ListParagraph"/>
                        <w:numPr>
                          <w:ilvl w:val="0"/>
                          <w:numId w:val="71"/>
                        </w:numPr>
                        <w:rPr>
                          <w:rFonts w:cs="Arial"/>
                          <w:b/>
                          <w:color w:val="632423" w:themeColor="accent2" w:themeShade="80"/>
                        </w:rPr>
                      </w:pPr>
                      <w:r w:rsidRPr="00905831">
                        <w:rPr>
                          <w:rFonts w:cs="Arial"/>
                          <w:b/>
                          <w:color w:val="632423" w:themeColor="accent2" w:themeShade="80"/>
                        </w:rPr>
                        <w:t xml:space="preserve">Chronic Condition Management – </w:t>
                      </w:r>
                      <w:r w:rsidRPr="00905831">
                        <w:rPr>
                          <w:rFonts w:cs="Arial"/>
                          <w:color w:val="632423" w:themeColor="accent2" w:themeShade="80"/>
                        </w:rPr>
                        <w:t>supporting prevention, early diagnosis, self-management, early intervention and community care, for conditions such as diabetes, MSK, CVD, stroke/AF, COPD, chronic pain, fibromyalgia, frailty</w:t>
                      </w:r>
                    </w:p>
                    <w:p w14:paraId="5DDCA91D" w14:textId="77777777" w:rsidR="006F090B" w:rsidRPr="00905831" w:rsidRDefault="006F090B" w:rsidP="003B1653">
                      <w:pPr>
                        <w:pStyle w:val="ListParagraph"/>
                        <w:numPr>
                          <w:ilvl w:val="0"/>
                          <w:numId w:val="71"/>
                        </w:numPr>
                        <w:rPr>
                          <w:rFonts w:cs="Arial"/>
                          <w:b/>
                          <w:color w:val="632423" w:themeColor="accent2" w:themeShade="80"/>
                        </w:rPr>
                      </w:pPr>
                      <w:r w:rsidRPr="00905831">
                        <w:rPr>
                          <w:rFonts w:cs="Arial"/>
                          <w:b/>
                          <w:color w:val="632423" w:themeColor="accent2" w:themeShade="80"/>
                        </w:rPr>
                        <w:t xml:space="preserve">Determinants of health – </w:t>
                      </w:r>
                      <w:r w:rsidRPr="00905831">
                        <w:rPr>
                          <w:rFonts w:cs="Arial"/>
                          <w:color w:val="632423" w:themeColor="accent2" w:themeShade="80"/>
                        </w:rPr>
                        <w:t xml:space="preserve">linking to information and support to help people address issues relating to their ill health – eg debt, housing, loneliness – via GPSOs, social prescribing, wellbeing co-ordinators etc </w:t>
                      </w:r>
                    </w:p>
                    <w:p w14:paraId="7550A109" w14:textId="77777777" w:rsidR="006F090B" w:rsidRPr="008F17ED" w:rsidRDefault="006F090B" w:rsidP="009A1D3B">
                      <w:pPr>
                        <w:rPr>
                          <w:rFonts w:cstheme="minorHAnsi"/>
                          <w:b/>
                        </w:rPr>
                      </w:pPr>
                    </w:p>
                    <w:p w14:paraId="313EDEDD" w14:textId="77777777" w:rsidR="006F090B" w:rsidRPr="00F10333" w:rsidRDefault="006F090B" w:rsidP="009A1D3B">
                      <w:pPr>
                        <w:rPr>
                          <w:rFonts w:cstheme="minorHAnsi"/>
                          <w:b/>
                          <w:i/>
                        </w:rPr>
                      </w:pPr>
                    </w:p>
                  </w:txbxContent>
                </v:textbox>
                <w10:wrap type="square" anchorx="margin"/>
              </v:shape>
            </w:pict>
          </mc:Fallback>
        </mc:AlternateContent>
      </w:r>
      <w:r w:rsidRPr="00F10333">
        <w:rPr>
          <w:rFonts w:ascii="Arial" w:hAnsi="Arial" w:cs="Arial"/>
          <w:i/>
          <w:noProof/>
        </w:rPr>
        <mc:AlternateContent>
          <mc:Choice Requires="wps">
            <w:drawing>
              <wp:anchor distT="0" distB="0" distL="114300" distR="114300" simplePos="0" relativeHeight="252812288" behindDoc="0" locked="0" layoutInCell="1" allowOverlap="1" wp14:anchorId="5B4982D6" wp14:editId="2E2D2F40">
                <wp:simplePos x="0" y="0"/>
                <wp:positionH relativeFrom="margin">
                  <wp:posOffset>-286385</wp:posOffset>
                </wp:positionH>
                <wp:positionV relativeFrom="paragraph">
                  <wp:posOffset>2459990</wp:posOffset>
                </wp:positionV>
                <wp:extent cx="4981575" cy="3962400"/>
                <wp:effectExtent l="0" t="0" r="28575" b="19050"/>
                <wp:wrapSquare wrapText="bothSides"/>
                <wp:docPr id="4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81575" cy="3962400"/>
                        </a:xfrm>
                        <a:prstGeom prst="ellipse">
                          <a:avLst/>
                        </a:prstGeom>
                        <a:solidFill>
                          <a:schemeClr val="accent1">
                            <a:lumMod val="60000"/>
                            <a:lumOff val="40000"/>
                          </a:schemeClr>
                        </a:solidFill>
                        <a:ln w="9525">
                          <a:solidFill>
                            <a:srgbClr val="000000"/>
                          </a:solidFill>
                          <a:miter lim="800000"/>
                          <a:headEnd/>
                          <a:tailEnd/>
                        </a:ln>
                      </wps:spPr>
                      <wps:txbx>
                        <w:txbxContent>
                          <w:p w14:paraId="049A7A82" w14:textId="77777777" w:rsidR="006F090B" w:rsidRPr="00905831" w:rsidRDefault="006F090B" w:rsidP="009A1D3B">
                            <w:pPr>
                              <w:jc w:val="center"/>
                              <w:rPr>
                                <w:rFonts w:cs="Arial"/>
                                <w:b/>
                                <w:color w:val="215868" w:themeColor="accent5" w:themeShade="80"/>
                                <w:sz w:val="24"/>
                              </w:rPr>
                            </w:pPr>
                            <w:r w:rsidRPr="00905831">
                              <w:rPr>
                                <w:rFonts w:cs="Arial"/>
                                <w:b/>
                                <w:color w:val="215868" w:themeColor="accent5" w:themeShade="80"/>
                                <w:sz w:val="24"/>
                              </w:rPr>
                              <w:t>Key population health needs and challenges</w:t>
                            </w:r>
                          </w:p>
                          <w:p w14:paraId="355A7491" w14:textId="77777777" w:rsidR="006F090B" w:rsidRPr="00905831" w:rsidRDefault="006F090B" w:rsidP="009A1D3B">
                            <w:pPr>
                              <w:rPr>
                                <w:rFonts w:cs="Arial"/>
                                <w:color w:val="215868" w:themeColor="accent5" w:themeShade="80"/>
                              </w:rPr>
                            </w:pPr>
                            <w:r w:rsidRPr="00905831">
                              <w:rPr>
                                <w:rFonts w:cs="Arial"/>
                                <w:b/>
                                <w:color w:val="215868" w:themeColor="accent5" w:themeShade="80"/>
                              </w:rPr>
                              <w:t xml:space="preserve">Lifestyle – </w:t>
                            </w:r>
                            <w:r w:rsidRPr="00905831">
                              <w:rPr>
                                <w:rFonts w:cs="Arial"/>
                                <w:color w:val="215868" w:themeColor="accent5" w:themeShade="80"/>
                              </w:rPr>
                              <w:t>high rates of smoking, alcohol use, obesity, inactivity, unhealthy diet, in areas of high deprivation</w:t>
                            </w:r>
                          </w:p>
                          <w:p w14:paraId="6A36A003" w14:textId="77777777" w:rsidR="006F090B" w:rsidRPr="00905831" w:rsidRDefault="006F090B" w:rsidP="009A1D3B">
                            <w:pPr>
                              <w:rPr>
                                <w:rFonts w:cs="Arial"/>
                                <w:color w:val="215868" w:themeColor="accent5" w:themeShade="80"/>
                              </w:rPr>
                            </w:pPr>
                            <w:r w:rsidRPr="00905831">
                              <w:rPr>
                                <w:rFonts w:cs="Arial"/>
                                <w:b/>
                                <w:color w:val="215868" w:themeColor="accent5" w:themeShade="80"/>
                              </w:rPr>
                              <w:t>Cancer screening</w:t>
                            </w:r>
                            <w:r w:rsidRPr="00905831">
                              <w:rPr>
                                <w:rFonts w:cs="Arial"/>
                                <w:color w:val="215868" w:themeColor="accent5" w:themeShade="80"/>
                              </w:rPr>
                              <w:t xml:space="preserve"> – low uptake of screening programmes particularly bowel screening, and cervical screening amongst younger women</w:t>
                            </w:r>
                          </w:p>
                          <w:p w14:paraId="4CA57BEA" w14:textId="77777777" w:rsidR="006F090B" w:rsidRPr="00905831" w:rsidRDefault="006F090B" w:rsidP="009A1D3B">
                            <w:pPr>
                              <w:rPr>
                                <w:rFonts w:cs="Arial"/>
                                <w:color w:val="215868" w:themeColor="accent5" w:themeShade="80"/>
                              </w:rPr>
                            </w:pPr>
                            <w:r w:rsidRPr="00905831">
                              <w:rPr>
                                <w:rFonts w:cs="Arial"/>
                                <w:b/>
                                <w:color w:val="215868" w:themeColor="accent5" w:themeShade="80"/>
                              </w:rPr>
                              <w:t xml:space="preserve">Immunisation – </w:t>
                            </w:r>
                            <w:r w:rsidRPr="00905831">
                              <w:rPr>
                                <w:rFonts w:cs="Arial"/>
                                <w:color w:val="215868" w:themeColor="accent5" w:themeShade="80"/>
                              </w:rPr>
                              <w:t>variable uptake of flu and childhood vaccinations</w:t>
                            </w:r>
                          </w:p>
                          <w:p w14:paraId="038F9E46" w14:textId="77777777" w:rsidR="006F090B" w:rsidRPr="00905831" w:rsidRDefault="006F090B" w:rsidP="009A1D3B">
                            <w:pPr>
                              <w:rPr>
                                <w:rFonts w:cs="Arial"/>
                                <w:color w:val="215868" w:themeColor="accent5" w:themeShade="80"/>
                              </w:rPr>
                            </w:pPr>
                            <w:r w:rsidRPr="00905831">
                              <w:rPr>
                                <w:rFonts w:cs="Arial"/>
                                <w:b/>
                                <w:color w:val="215868" w:themeColor="accent5" w:themeShade="80"/>
                              </w:rPr>
                              <w:t xml:space="preserve">Clinical Risk factors – </w:t>
                            </w:r>
                            <w:r w:rsidRPr="00905831">
                              <w:rPr>
                                <w:rFonts w:cs="Arial"/>
                                <w:color w:val="215868" w:themeColor="accent5" w:themeShade="80"/>
                              </w:rPr>
                              <w:t>high prevalence eg hypertension, AF</w:t>
                            </w:r>
                          </w:p>
                          <w:p w14:paraId="37B783E0" w14:textId="77777777" w:rsidR="006F090B" w:rsidRPr="00905831" w:rsidRDefault="006F090B" w:rsidP="009A1D3B">
                            <w:pPr>
                              <w:rPr>
                                <w:rFonts w:cs="Arial"/>
                                <w:color w:val="215868" w:themeColor="accent5" w:themeShade="80"/>
                              </w:rPr>
                            </w:pPr>
                            <w:r w:rsidRPr="00905831">
                              <w:rPr>
                                <w:rFonts w:cs="Arial"/>
                                <w:b/>
                                <w:color w:val="215868" w:themeColor="accent5" w:themeShade="80"/>
                              </w:rPr>
                              <w:t>Multi-morbidity</w:t>
                            </w:r>
                            <w:r w:rsidRPr="00905831">
                              <w:rPr>
                                <w:rFonts w:cs="Arial"/>
                                <w:color w:val="215868" w:themeColor="accent5" w:themeShade="80"/>
                              </w:rPr>
                              <w:t xml:space="preserve"> – high prevalence of COPD, asthma, diabetes, coronary heart disease, stroke/TIA and multi-morbidity</w:t>
                            </w:r>
                          </w:p>
                          <w:p w14:paraId="164AF4CE" w14:textId="77777777" w:rsidR="006F090B" w:rsidRPr="00905831" w:rsidRDefault="006F090B" w:rsidP="009A1D3B">
                            <w:pPr>
                              <w:rPr>
                                <w:rFonts w:cs="Arial"/>
                                <w:color w:val="215868" w:themeColor="accent5" w:themeShade="80"/>
                              </w:rPr>
                            </w:pPr>
                            <w:r w:rsidRPr="00905831">
                              <w:rPr>
                                <w:rFonts w:cs="Arial"/>
                                <w:b/>
                                <w:color w:val="215868" w:themeColor="accent5" w:themeShade="80"/>
                              </w:rPr>
                              <w:t xml:space="preserve">Mental health – </w:t>
                            </w:r>
                            <w:r w:rsidRPr="00905831">
                              <w:rPr>
                                <w:rFonts w:cs="Arial"/>
                                <w:color w:val="215868" w:themeColor="accent5" w:themeShade="80"/>
                              </w:rPr>
                              <w:t>above average rates of people reporting and seeking help for emotional and mental health related issues</w:t>
                            </w:r>
                          </w:p>
                          <w:p w14:paraId="549E40CD" w14:textId="77777777" w:rsidR="006F090B" w:rsidRPr="00905831" w:rsidRDefault="006F090B" w:rsidP="009A1D3B">
                            <w:pPr>
                              <w:rPr>
                                <w:rFonts w:cs="Arial"/>
                                <w:b/>
                                <w:color w:val="215868" w:themeColor="accent5" w:themeShade="80"/>
                              </w:rPr>
                            </w:pPr>
                            <w:r w:rsidRPr="00905831">
                              <w:rPr>
                                <w:rFonts w:cs="Arial"/>
                                <w:b/>
                                <w:color w:val="215868" w:themeColor="accent5" w:themeShade="80"/>
                              </w:rPr>
                              <w:t xml:space="preserve">Anti-microbial Resistance - </w:t>
                            </w:r>
                          </w:p>
                          <w:p w14:paraId="5628DAA1" w14:textId="77777777" w:rsidR="006F090B" w:rsidRDefault="006F090B" w:rsidP="009A1D3B">
                            <w:pPr>
                              <w:rPr>
                                <w:rFonts w:cs="Arial"/>
                              </w:rPr>
                            </w:pPr>
                          </w:p>
                          <w:p w14:paraId="78582A60" w14:textId="77777777" w:rsidR="006F090B" w:rsidRDefault="006F090B" w:rsidP="009A1D3B">
                            <w:pPr>
                              <w:rPr>
                                <w:rFonts w:cs="Arial"/>
                              </w:rPr>
                            </w:pPr>
                          </w:p>
                          <w:p w14:paraId="695EA78C" w14:textId="77777777" w:rsidR="006F090B" w:rsidRDefault="006F090B" w:rsidP="009A1D3B">
                            <w:r>
                              <w:rPr>
                                <w:rFonts w:cs="Arial"/>
                              </w:rPr>
                              <w:t>Ant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oval w14:anchorId="5B4982D6" id="_x0000_s1029" style="position:absolute;left:0;text-align:left;margin-left:-22.55pt;margin-top:193.7pt;width:392.25pt;height:312pt;z-index:252812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" fillcolor="#95b3d7 [1940]">
                <v:stroke joinstyle="miter"/>
                <v:textbox>
                  <w:txbxContent>
                    <w:p w14:paraId="049A7A82" w14:textId="77777777" w:rsidR="006F090B" w:rsidRPr="00905831" w:rsidRDefault="006F090B" w:rsidP="009A1D3B">
                      <w:pPr>
                        <w:jc w:val="center"/>
                        <w:rPr>
                          <w:rFonts w:cs="Arial"/>
                          <w:b/>
                          <w:color w:val="215868" w:themeColor="accent5" w:themeShade="80"/>
                          <w:sz w:val="24"/>
                        </w:rPr>
                      </w:pPr>
                      <w:r w:rsidRPr="00905831">
                        <w:rPr>
                          <w:rFonts w:cs="Arial"/>
                          <w:b/>
                          <w:color w:val="215868" w:themeColor="accent5" w:themeShade="80"/>
                          <w:sz w:val="24"/>
                        </w:rPr>
                        <w:t>Key population health needs and challenges</w:t>
                      </w:r>
                    </w:p>
                    <w:p w14:paraId="355A7491" w14:textId="77777777" w:rsidR="006F090B" w:rsidRPr="00905831" w:rsidRDefault="006F090B" w:rsidP="009A1D3B">
                      <w:pPr>
                        <w:rPr>
                          <w:rFonts w:cs="Arial"/>
                          <w:color w:val="215868" w:themeColor="accent5" w:themeShade="80"/>
                        </w:rPr>
                      </w:pPr>
                      <w:r w:rsidRPr="00905831">
                        <w:rPr>
                          <w:rFonts w:cs="Arial"/>
                          <w:b/>
                          <w:color w:val="215868" w:themeColor="accent5" w:themeShade="80"/>
                        </w:rPr>
                        <w:t xml:space="preserve">Lifestyle – </w:t>
                      </w:r>
                      <w:r w:rsidRPr="00905831">
                        <w:rPr>
                          <w:rFonts w:cs="Arial"/>
                          <w:color w:val="215868" w:themeColor="accent5" w:themeShade="80"/>
                        </w:rPr>
                        <w:t>high rates of smoking, alcohol use, obesity, inactivity, unhealthy diet, in areas of high deprivation</w:t>
                      </w:r>
                    </w:p>
                    <w:p w14:paraId="6A36A003" w14:textId="77777777" w:rsidR="006F090B" w:rsidRPr="00905831" w:rsidRDefault="006F090B" w:rsidP="009A1D3B">
                      <w:pPr>
                        <w:rPr>
                          <w:rFonts w:cs="Arial"/>
                          <w:color w:val="215868" w:themeColor="accent5" w:themeShade="80"/>
                        </w:rPr>
                      </w:pPr>
                      <w:r w:rsidRPr="00905831">
                        <w:rPr>
                          <w:rFonts w:cs="Arial"/>
                          <w:b/>
                          <w:color w:val="215868" w:themeColor="accent5" w:themeShade="80"/>
                        </w:rPr>
                        <w:t>Cancer screening</w:t>
                      </w:r>
                      <w:r w:rsidRPr="00905831">
                        <w:rPr>
                          <w:rFonts w:cs="Arial"/>
                          <w:color w:val="215868" w:themeColor="accent5" w:themeShade="80"/>
                        </w:rPr>
                        <w:t xml:space="preserve"> – low uptake of screening programmes particularly bowel screening, and cervical screening amongst younger women</w:t>
                      </w:r>
                    </w:p>
                    <w:p w14:paraId="4CA57BEA" w14:textId="77777777" w:rsidR="006F090B" w:rsidRPr="00905831" w:rsidRDefault="006F090B" w:rsidP="009A1D3B">
                      <w:pPr>
                        <w:rPr>
                          <w:rFonts w:cs="Arial"/>
                          <w:color w:val="215868" w:themeColor="accent5" w:themeShade="80"/>
                        </w:rPr>
                      </w:pPr>
                      <w:r w:rsidRPr="00905831">
                        <w:rPr>
                          <w:rFonts w:cs="Arial"/>
                          <w:b/>
                          <w:color w:val="215868" w:themeColor="accent5" w:themeShade="80"/>
                        </w:rPr>
                        <w:t xml:space="preserve">Immunisation – </w:t>
                      </w:r>
                      <w:r w:rsidRPr="00905831">
                        <w:rPr>
                          <w:rFonts w:cs="Arial"/>
                          <w:color w:val="215868" w:themeColor="accent5" w:themeShade="80"/>
                        </w:rPr>
                        <w:t>variable uptake of flu and childhood vaccinations</w:t>
                      </w:r>
                    </w:p>
                    <w:p w14:paraId="038F9E46" w14:textId="77777777" w:rsidR="006F090B" w:rsidRPr="00905831" w:rsidRDefault="006F090B" w:rsidP="009A1D3B">
                      <w:pPr>
                        <w:rPr>
                          <w:rFonts w:cs="Arial"/>
                          <w:color w:val="215868" w:themeColor="accent5" w:themeShade="80"/>
                        </w:rPr>
                      </w:pPr>
                      <w:r w:rsidRPr="00905831">
                        <w:rPr>
                          <w:rFonts w:cs="Arial"/>
                          <w:b/>
                          <w:color w:val="215868" w:themeColor="accent5" w:themeShade="80"/>
                        </w:rPr>
                        <w:t xml:space="preserve">Clinical Risk factors – </w:t>
                      </w:r>
                      <w:r w:rsidRPr="00905831">
                        <w:rPr>
                          <w:rFonts w:cs="Arial"/>
                          <w:color w:val="215868" w:themeColor="accent5" w:themeShade="80"/>
                        </w:rPr>
                        <w:t>high prevalence eg hypertension, AF</w:t>
                      </w:r>
                    </w:p>
                    <w:p w14:paraId="37B783E0" w14:textId="77777777" w:rsidR="006F090B" w:rsidRPr="00905831" w:rsidRDefault="006F090B" w:rsidP="009A1D3B">
                      <w:pPr>
                        <w:rPr>
                          <w:rFonts w:cs="Arial"/>
                          <w:color w:val="215868" w:themeColor="accent5" w:themeShade="80"/>
                        </w:rPr>
                      </w:pPr>
                      <w:r w:rsidRPr="00905831">
                        <w:rPr>
                          <w:rFonts w:cs="Arial"/>
                          <w:b/>
                          <w:color w:val="215868" w:themeColor="accent5" w:themeShade="80"/>
                        </w:rPr>
                        <w:t>Multi-morbidity</w:t>
                      </w:r>
                      <w:r w:rsidRPr="00905831">
                        <w:rPr>
                          <w:rFonts w:cs="Arial"/>
                          <w:color w:val="215868" w:themeColor="accent5" w:themeShade="80"/>
                        </w:rPr>
                        <w:t xml:space="preserve"> – high prevalence of COPD, asthma, diabetes, coronary heart disease, stroke/TIA and multi-morbidity</w:t>
                      </w:r>
                    </w:p>
                    <w:p w14:paraId="164AF4CE" w14:textId="77777777" w:rsidR="006F090B" w:rsidRPr="00905831" w:rsidRDefault="006F090B" w:rsidP="009A1D3B">
                      <w:pPr>
                        <w:rPr>
                          <w:rFonts w:cs="Arial"/>
                          <w:color w:val="215868" w:themeColor="accent5" w:themeShade="80"/>
                        </w:rPr>
                      </w:pPr>
                      <w:r w:rsidRPr="00905831">
                        <w:rPr>
                          <w:rFonts w:cs="Arial"/>
                          <w:b/>
                          <w:color w:val="215868" w:themeColor="accent5" w:themeShade="80"/>
                        </w:rPr>
                        <w:t xml:space="preserve">Mental health – </w:t>
                      </w:r>
                      <w:r w:rsidRPr="00905831">
                        <w:rPr>
                          <w:rFonts w:cs="Arial"/>
                          <w:color w:val="215868" w:themeColor="accent5" w:themeShade="80"/>
                        </w:rPr>
                        <w:t>above average rates of people reporting and seeking help for emotional and mental health related issues</w:t>
                      </w:r>
                    </w:p>
                    <w:p w14:paraId="549E40CD" w14:textId="77777777" w:rsidR="006F090B" w:rsidRPr="00905831" w:rsidRDefault="006F090B" w:rsidP="009A1D3B">
                      <w:pPr>
                        <w:rPr>
                          <w:rFonts w:cs="Arial"/>
                          <w:b/>
                          <w:color w:val="215868" w:themeColor="accent5" w:themeShade="80"/>
                        </w:rPr>
                      </w:pPr>
                      <w:r w:rsidRPr="00905831">
                        <w:rPr>
                          <w:rFonts w:cs="Arial"/>
                          <w:b/>
                          <w:color w:val="215868" w:themeColor="accent5" w:themeShade="80"/>
                        </w:rPr>
                        <w:t xml:space="preserve">Anti-microbial Resistance - </w:t>
                      </w:r>
                    </w:p>
                    <w:p w14:paraId="5628DAA1" w14:textId="77777777" w:rsidR="006F090B" w:rsidRDefault="006F090B" w:rsidP="009A1D3B">
                      <w:pPr>
                        <w:rPr>
                          <w:rFonts w:cs="Arial"/>
                        </w:rPr>
                      </w:pPr>
                    </w:p>
                    <w:p w14:paraId="78582A60" w14:textId="77777777" w:rsidR="006F090B" w:rsidRDefault="006F090B" w:rsidP="009A1D3B">
                      <w:pPr>
                        <w:rPr>
                          <w:rFonts w:cs="Arial"/>
                        </w:rPr>
                      </w:pPr>
                    </w:p>
                    <w:p w14:paraId="695EA78C" w14:textId="77777777" w:rsidR="006F090B" w:rsidRDefault="006F090B" w:rsidP="009A1D3B">
                      <w:r>
                        <w:rPr>
                          <w:rFonts w:cs="Arial"/>
                        </w:rPr>
                        <w:t>Ant</w:t>
                      </w:r>
                    </w:p>
                  </w:txbxContent>
                </v:textbox>
                <w10:wrap type="square" anchorx="margin"/>
              </v:oval>
            </w:pict>
          </mc:Fallback>
        </mc:AlternateContent>
      </w:r>
      <w:r w:rsidRPr="008F5916">
        <w:rPr>
          <w:noProof/>
          <w:sz w:val="24"/>
        </w:rPr>
        <w:drawing>
          <wp:anchor distT="0" distB="0" distL="114300" distR="114300" simplePos="0" relativeHeight="252814336" behindDoc="0" locked="0" layoutInCell="1" allowOverlap="1" wp14:anchorId="167A661F" wp14:editId="70AC6BC1">
            <wp:simplePos x="0" y="0"/>
            <wp:positionH relativeFrom="margin">
              <wp:posOffset>3943350</wp:posOffset>
            </wp:positionH>
            <wp:positionV relativeFrom="paragraph">
              <wp:posOffset>295910</wp:posOffset>
            </wp:positionV>
            <wp:extent cx="1781175" cy="2705735"/>
            <wp:effectExtent l="19050" t="19050" r="104775" b="94615"/>
            <wp:wrapSquare wrapText="bothSides"/>
            <wp:docPr id="57" name="Picture 57" descr="X:\Shared\RCT LHB\New System\LHB07 Primary Care\011 GMS Contract (GPs)\004 Contract Manager\2019-2020\Clusters\Primary Care Conference 2019\CwmTaffwithBridgend ma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X:\Shared\RCT LHB\New System\LHB07 Primary Care\011 GMS Contract (GPs)\004 Contract Manager\2019-2020\Clusters\Primary Care Conference 2019\CwmTaffwithBridgend map.pn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781175" cy="2705735"/>
                    </a:xfrm>
                    <a:prstGeom prst="rect">
                      <a:avLst/>
                    </a:prstGeom>
                    <a:noFill/>
                    <a:ln>
                      <a:noFill/>
                    </a:ln>
                    <a:effectLst>
                      <a:outerShdw blurRad="50800" dist="50800" dir="2400000" algn="ctr" rotWithShape="0">
                        <a:schemeClr val="tx1"/>
                      </a:outerShdw>
                    </a:effectLst>
                  </pic:spPr>
                </pic:pic>
              </a:graphicData>
            </a:graphic>
            <wp14:sizeRelH relativeFrom="page">
              <wp14:pctWidth>0</wp14:pctWidth>
            </wp14:sizeRelH>
            <wp14:sizeRelV relativeFrom="page">
              <wp14:pctHeight>0</wp14:pctHeight>
            </wp14:sizeRelV>
          </wp:anchor>
        </w:drawing>
      </w:r>
    </w:p>
    <w:p w14:paraId="0653E074" w14:textId="77777777" w:rsidR="009A1D3B" w:rsidRDefault="009A1D3B" w:rsidP="009A1D3B">
      <w:pPr>
        <w:rPr>
          <w:b/>
          <w:sz w:val="32"/>
          <w:szCs w:val="32"/>
        </w:rPr>
      </w:pPr>
    </w:p>
    <w:p w14:paraId="5AD672D8" w14:textId="77777777" w:rsidR="009A1D3B" w:rsidRDefault="009A1D3B" w:rsidP="009A1D3B">
      <w:pPr>
        <w:rPr>
          <w:b/>
          <w:sz w:val="32"/>
          <w:szCs w:val="32"/>
        </w:rPr>
      </w:pPr>
    </w:p>
    <w:p w14:paraId="7000A4DA" w14:textId="77777777" w:rsidR="009A1D3B" w:rsidRDefault="009A1D3B" w:rsidP="009A1D3B">
      <w:pPr>
        <w:rPr>
          <w:b/>
          <w:sz w:val="32"/>
          <w:szCs w:val="32"/>
        </w:rPr>
      </w:pPr>
    </w:p>
    <w:p w14:paraId="63C13DF9" w14:textId="77777777" w:rsidR="009A1D3B" w:rsidRDefault="009A1D3B" w:rsidP="009A1D3B">
      <w:pPr>
        <w:rPr>
          <w:b/>
          <w:sz w:val="32"/>
          <w:szCs w:val="32"/>
        </w:rPr>
      </w:pPr>
    </w:p>
    <w:p w14:paraId="07736030" w14:textId="77777777" w:rsidR="009A1D3B" w:rsidRDefault="009A1D3B" w:rsidP="009A1D3B">
      <w:pPr>
        <w:rPr>
          <w:b/>
          <w:sz w:val="32"/>
          <w:szCs w:val="32"/>
        </w:rPr>
      </w:pPr>
      <w:r>
        <w:rPr>
          <w:b/>
          <w:noProof/>
          <w:sz w:val="32"/>
          <w:szCs w:val="32"/>
        </w:rPr>
        <mc:AlternateContent>
          <mc:Choice Requires="wps">
            <w:drawing>
              <wp:anchor distT="0" distB="0" distL="114300" distR="114300" simplePos="0" relativeHeight="252817408" behindDoc="0" locked="0" layoutInCell="1" allowOverlap="1" wp14:anchorId="21AEC9AB" wp14:editId="497B7704">
                <wp:simplePos x="0" y="0"/>
                <wp:positionH relativeFrom="column">
                  <wp:posOffset>4886325</wp:posOffset>
                </wp:positionH>
                <wp:positionV relativeFrom="paragraph">
                  <wp:posOffset>239395</wp:posOffset>
                </wp:positionV>
                <wp:extent cx="4419600" cy="1619250"/>
                <wp:effectExtent l="0" t="0" r="19050" b="19050"/>
                <wp:wrapNone/>
                <wp:docPr id="56" name="Flowchart: Process 56"/>
                <wp:cNvGraphicFramePr/>
                <a:graphic xmlns:a="http://schemas.openxmlformats.org/drawingml/2006/main">
                  <a:graphicData uri="http://schemas.microsoft.com/office/word/2010/wordprocessingShape">
                    <wps:wsp>
                      <wps:cNvSpPr/>
                      <wps:spPr>
                        <a:xfrm>
                          <a:off x="0" y="0"/>
                          <a:ext cx="4419600" cy="1619250"/>
                        </a:xfrm>
                        <a:prstGeom prst="flowChartProcess">
                          <a:avLst/>
                        </a:prstGeom>
                        <a:solidFill>
                          <a:srgbClr val="FFCCFF"/>
                        </a:solidFill>
                      </wps:spPr>
                      <wps:style>
                        <a:lnRef idx="2">
                          <a:schemeClr val="accent1">
                            <a:shade val="50000"/>
                          </a:schemeClr>
                        </a:lnRef>
                        <a:fillRef idx="1">
                          <a:schemeClr val="accent1"/>
                        </a:fillRef>
                        <a:effectRef idx="0">
                          <a:schemeClr val="accent1"/>
                        </a:effectRef>
                        <a:fontRef idx="minor">
                          <a:schemeClr val="lt1"/>
                        </a:fontRef>
                      </wps:style>
                      <wps:txbx>
                        <w:txbxContent>
                          <w:p w14:paraId="360393F8" w14:textId="77777777" w:rsidR="006F090B" w:rsidRPr="00905831" w:rsidRDefault="006F090B" w:rsidP="009A1D3B">
                            <w:pPr>
                              <w:jc w:val="center"/>
                              <w:rPr>
                                <w:b/>
                                <w:color w:val="CC0066"/>
                                <w:sz w:val="24"/>
                              </w:rPr>
                            </w:pPr>
                            <w:r w:rsidRPr="00905831">
                              <w:rPr>
                                <w:b/>
                                <w:color w:val="CC0066"/>
                                <w:sz w:val="24"/>
                              </w:rPr>
                              <w:t>Enablers</w:t>
                            </w:r>
                          </w:p>
                          <w:p w14:paraId="42506BD5" w14:textId="77777777" w:rsidR="006F090B" w:rsidRPr="00905831" w:rsidRDefault="006F090B" w:rsidP="003B1653">
                            <w:pPr>
                              <w:pStyle w:val="ListParagraph"/>
                              <w:numPr>
                                <w:ilvl w:val="0"/>
                                <w:numId w:val="71"/>
                              </w:numPr>
                              <w:rPr>
                                <w:rFonts w:cs="Arial"/>
                                <w:b/>
                                <w:color w:val="CC0066"/>
                              </w:rPr>
                            </w:pPr>
                            <w:r w:rsidRPr="00905831">
                              <w:rPr>
                                <w:rFonts w:cs="Arial"/>
                                <w:b/>
                                <w:color w:val="CC0066"/>
                              </w:rPr>
                              <w:t xml:space="preserve">Workforce diversification and training </w:t>
                            </w:r>
                            <w:r w:rsidRPr="00905831">
                              <w:rPr>
                                <w:rFonts w:cs="Arial"/>
                                <w:color w:val="CC0066"/>
                              </w:rPr>
                              <w:t>– development of MDT ensuring patients can see the most appropriate professional in a timely manner and GPs can focus on the most vulnerable</w:t>
                            </w:r>
                          </w:p>
                          <w:p w14:paraId="2245A2F2" w14:textId="77777777" w:rsidR="006F090B" w:rsidRPr="00905831" w:rsidRDefault="006F090B" w:rsidP="003B1653">
                            <w:pPr>
                              <w:pStyle w:val="ListParagraph"/>
                              <w:numPr>
                                <w:ilvl w:val="0"/>
                                <w:numId w:val="71"/>
                              </w:numPr>
                              <w:rPr>
                                <w:rFonts w:cs="Arial"/>
                                <w:b/>
                                <w:color w:val="CC0066"/>
                              </w:rPr>
                            </w:pPr>
                            <w:r w:rsidRPr="00905831">
                              <w:rPr>
                                <w:rFonts w:cs="Arial"/>
                                <w:b/>
                                <w:color w:val="CC0066"/>
                              </w:rPr>
                              <w:t>Digita</w:t>
                            </w:r>
                            <w:r>
                              <w:rPr>
                                <w:rFonts w:cs="Arial"/>
                                <w:b/>
                                <w:color w:val="CC0066"/>
                              </w:rPr>
                              <w:t xml:space="preserve">l / IT systems and Information </w:t>
                            </w:r>
                            <w:r w:rsidRPr="00905831">
                              <w:rPr>
                                <w:rFonts w:cs="Arial"/>
                                <w:b/>
                                <w:color w:val="CC0066"/>
                              </w:rPr>
                              <w:t xml:space="preserve">  </w:t>
                            </w:r>
                          </w:p>
                          <w:p w14:paraId="6488EC36" w14:textId="77777777" w:rsidR="006F090B" w:rsidRPr="00905831" w:rsidRDefault="006F090B" w:rsidP="003B1653">
                            <w:pPr>
                              <w:pStyle w:val="ListParagraph"/>
                              <w:numPr>
                                <w:ilvl w:val="0"/>
                                <w:numId w:val="71"/>
                              </w:numPr>
                              <w:rPr>
                                <w:rFonts w:cs="Arial"/>
                                <w:b/>
                                <w:color w:val="CC0066"/>
                              </w:rPr>
                            </w:pPr>
                            <w:r w:rsidRPr="00905831">
                              <w:rPr>
                                <w:rFonts w:cs="Arial"/>
                                <w:b/>
                                <w:color w:val="CC0066"/>
                              </w:rPr>
                              <w:t xml:space="preserve">Governance </w:t>
                            </w:r>
                            <w:r>
                              <w:rPr>
                                <w:rFonts w:cs="Arial"/>
                                <w:b/>
                                <w:color w:val="CC0066"/>
                              </w:rPr>
                              <w:t xml:space="preserve">arrangements </w:t>
                            </w:r>
                            <w:r w:rsidRPr="00905831">
                              <w:rPr>
                                <w:rFonts w:cs="Arial"/>
                                <w:b/>
                                <w:color w:val="CC0066"/>
                              </w:rPr>
                              <w:t xml:space="preserve"> </w:t>
                            </w:r>
                          </w:p>
                          <w:p w14:paraId="73DACCB3" w14:textId="77777777" w:rsidR="006F090B" w:rsidRPr="00905831" w:rsidRDefault="006F090B" w:rsidP="009A1D3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1AEC9AB" id="_x0000_t109" coordsize="21600,21600" o:spt="109" path="m,l,21600r21600,l21600,xe">
                <v:stroke joinstyle="miter"/>
                <v:path gradientshapeok="t" o:connecttype="rect"/>
              </v:shapetype>
              <v:shape id="Flowchart: Process 56" o:spid="_x0000_s1030" type="#_x0000_t109" style="position:absolute;left:0;text-align:left;margin-left:384.75pt;margin-top:18.85pt;width:348pt;height:127.5pt;z-index:252817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" fillcolor="#fcf" strokecolor="#243f60 [1604]" strokeweight="2pt">
                <v:textbox>
                  <w:txbxContent>
                    <w:p w14:paraId="360393F8" w14:textId="77777777" w:rsidR="006F090B" w:rsidRPr="00905831" w:rsidRDefault="006F090B" w:rsidP="009A1D3B">
                      <w:pPr>
                        <w:jc w:val="center"/>
                        <w:rPr>
                          <w:b/>
                          <w:color w:val="CC0066"/>
                          <w:sz w:val="24"/>
                        </w:rPr>
                      </w:pPr>
                      <w:r w:rsidRPr="00905831">
                        <w:rPr>
                          <w:b/>
                          <w:color w:val="CC0066"/>
                          <w:sz w:val="24"/>
                        </w:rPr>
                        <w:t>Enablers</w:t>
                      </w:r>
                    </w:p>
                    <w:p w14:paraId="42506BD5" w14:textId="77777777" w:rsidR="006F090B" w:rsidRPr="00905831" w:rsidRDefault="006F090B" w:rsidP="003B1653">
                      <w:pPr>
                        <w:pStyle w:val="ListParagraph"/>
                        <w:numPr>
                          <w:ilvl w:val="0"/>
                          <w:numId w:val="71"/>
                        </w:numPr>
                        <w:rPr>
                          <w:rFonts w:cs="Arial"/>
                          <w:b/>
                          <w:color w:val="CC0066"/>
                        </w:rPr>
                      </w:pPr>
                      <w:r w:rsidRPr="00905831">
                        <w:rPr>
                          <w:rFonts w:cs="Arial"/>
                          <w:b/>
                          <w:color w:val="CC0066"/>
                        </w:rPr>
                        <w:t xml:space="preserve">Workforce diversification and training </w:t>
                      </w:r>
                      <w:r w:rsidRPr="00905831">
                        <w:rPr>
                          <w:rFonts w:cs="Arial"/>
                          <w:color w:val="CC0066"/>
                        </w:rPr>
                        <w:t>– development of MDT ensuring patients can see the most appropriate professional in a timely manner and GPs can focus on the most vulnerable</w:t>
                      </w:r>
                    </w:p>
                    <w:p w14:paraId="2245A2F2" w14:textId="77777777" w:rsidR="006F090B" w:rsidRPr="00905831" w:rsidRDefault="006F090B" w:rsidP="003B1653">
                      <w:pPr>
                        <w:pStyle w:val="ListParagraph"/>
                        <w:numPr>
                          <w:ilvl w:val="0"/>
                          <w:numId w:val="71"/>
                        </w:numPr>
                        <w:rPr>
                          <w:rFonts w:cs="Arial"/>
                          <w:b/>
                          <w:color w:val="CC0066"/>
                        </w:rPr>
                      </w:pPr>
                      <w:r w:rsidRPr="00905831">
                        <w:rPr>
                          <w:rFonts w:cs="Arial"/>
                          <w:b/>
                          <w:color w:val="CC0066"/>
                        </w:rPr>
                        <w:t>Digita</w:t>
                      </w:r>
                      <w:r>
                        <w:rPr>
                          <w:rFonts w:cs="Arial"/>
                          <w:b/>
                          <w:color w:val="CC0066"/>
                        </w:rPr>
                        <w:t xml:space="preserve">l / IT systems and Information </w:t>
                      </w:r>
                      <w:r w:rsidRPr="00905831">
                        <w:rPr>
                          <w:rFonts w:cs="Arial"/>
                          <w:b/>
                          <w:color w:val="CC0066"/>
                        </w:rPr>
                        <w:t xml:space="preserve">  </w:t>
                      </w:r>
                    </w:p>
                    <w:p w14:paraId="6488EC36" w14:textId="77777777" w:rsidR="006F090B" w:rsidRPr="00905831" w:rsidRDefault="006F090B" w:rsidP="003B1653">
                      <w:pPr>
                        <w:pStyle w:val="ListParagraph"/>
                        <w:numPr>
                          <w:ilvl w:val="0"/>
                          <w:numId w:val="71"/>
                        </w:numPr>
                        <w:rPr>
                          <w:rFonts w:cs="Arial"/>
                          <w:b/>
                          <w:color w:val="CC0066"/>
                        </w:rPr>
                      </w:pPr>
                      <w:r w:rsidRPr="00905831">
                        <w:rPr>
                          <w:rFonts w:cs="Arial"/>
                          <w:b/>
                          <w:color w:val="CC0066"/>
                        </w:rPr>
                        <w:t xml:space="preserve">Governance </w:t>
                      </w:r>
                      <w:r>
                        <w:rPr>
                          <w:rFonts w:cs="Arial"/>
                          <w:b/>
                          <w:color w:val="CC0066"/>
                        </w:rPr>
                        <w:t xml:space="preserve">arrangements </w:t>
                      </w:r>
                      <w:r w:rsidRPr="00905831">
                        <w:rPr>
                          <w:rFonts w:cs="Arial"/>
                          <w:b/>
                          <w:color w:val="CC0066"/>
                        </w:rPr>
                        <w:t xml:space="preserve"> </w:t>
                      </w:r>
                    </w:p>
                    <w:p w14:paraId="73DACCB3" w14:textId="77777777" w:rsidR="006F090B" w:rsidRPr="00905831" w:rsidRDefault="006F090B" w:rsidP="009A1D3B">
                      <w:pPr>
                        <w:jc w:val="center"/>
                      </w:pPr>
                    </w:p>
                  </w:txbxContent>
                </v:textbox>
              </v:shape>
            </w:pict>
          </mc:Fallback>
        </mc:AlternateContent>
      </w:r>
    </w:p>
    <w:p w14:paraId="703DC609" w14:textId="77777777" w:rsidR="009A1D3B" w:rsidRDefault="009A1D3B" w:rsidP="009A1D3B">
      <w:pPr>
        <w:rPr>
          <w:b/>
          <w:sz w:val="32"/>
          <w:szCs w:val="32"/>
        </w:rPr>
      </w:pPr>
    </w:p>
    <w:p w14:paraId="0CE334BE" w14:textId="77777777" w:rsidR="009A1D3B" w:rsidRDefault="009A1D3B" w:rsidP="009A1D3B">
      <w:pPr>
        <w:rPr>
          <w:b/>
          <w:sz w:val="32"/>
          <w:szCs w:val="32"/>
        </w:rPr>
      </w:pPr>
    </w:p>
    <w:p w14:paraId="036B1F0A" w14:textId="77777777" w:rsidR="009A1D3B" w:rsidRDefault="009A1D3B" w:rsidP="009A1D3B">
      <w:pPr>
        <w:rPr>
          <w:b/>
          <w:sz w:val="32"/>
          <w:szCs w:val="32"/>
        </w:rPr>
      </w:pPr>
    </w:p>
    <w:p w14:paraId="3F927715" w14:textId="77777777" w:rsidR="009A1D3B" w:rsidRDefault="009A1D3B" w:rsidP="009A1D3B">
      <w:pPr>
        <w:rPr>
          <w:b/>
          <w:sz w:val="32"/>
          <w:szCs w:val="32"/>
        </w:rPr>
      </w:pPr>
    </w:p>
    <w:p w14:paraId="70EF4029" w14:textId="77777777" w:rsidR="009A1D3B" w:rsidRDefault="009A1D3B" w:rsidP="009A1D3B">
      <w:pPr>
        <w:rPr>
          <w:b/>
          <w:sz w:val="32"/>
          <w:szCs w:val="32"/>
        </w:rPr>
        <w:sectPr w:rsidR="009A1D3B" w:rsidSect="00E02C36">
          <w:pgSz w:w="16838" w:h="11906" w:orient="landscape"/>
          <w:pgMar w:top="567" w:right="720" w:bottom="720" w:left="720" w:header="709" w:footer="709" w:gutter="0"/>
          <w:cols w:space="708"/>
          <w:docGrid w:linePitch="360"/>
        </w:sectPr>
      </w:pPr>
    </w:p>
    <w:p w14:paraId="76B69496" w14:textId="77777777" w:rsidR="009A1D3B" w:rsidRPr="002B5397" w:rsidRDefault="009A1D3B" w:rsidP="009A1D3B">
      <w:pPr>
        <w:ind w:left="425" w:hanging="425"/>
        <w:contextualSpacing/>
        <w:rPr>
          <w:rFonts w:cstheme="minorHAnsi"/>
        </w:rPr>
      </w:pPr>
      <w:r w:rsidRPr="002B5397">
        <w:rPr>
          <w:rFonts w:cstheme="minorHAnsi"/>
          <w:b/>
        </w:rPr>
        <w:lastRenderedPageBreak/>
        <w:t>Primary Care Priorities</w:t>
      </w:r>
    </w:p>
    <w:p w14:paraId="556F418A" w14:textId="77777777" w:rsidR="009A1D3B" w:rsidRPr="002B5397" w:rsidRDefault="009A1D3B" w:rsidP="003B1653">
      <w:pPr>
        <w:numPr>
          <w:ilvl w:val="0"/>
          <w:numId w:val="14"/>
        </w:numPr>
        <w:ind w:left="426"/>
        <w:contextualSpacing/>
        <w:rPr>
          <w:rFonts w:cstheme="minorHAnsi"/>
        </w:rPr>
      </w:pPr>
      <w:r w:rsidRPr="002B5397">
        <w:rPr>
          <w:rFonts w:cstheme="minorHAnsi"/>
        </w:rPr>
        <w:t>Implement and progress the Primary Care Model for Wales to support the objectives within A Healthier Wales plan for Wales</w:t>
      </w:r>
    </w:p>
    <w:p w14:paraId="28323F80" w14:textId="77777777" w:rsidR="009A1D3B" w:rsidRPr="002B5397" w:rsidRDefault="009A1D3B" w:rsidP="003B1653">
      <w:pPr>
        <w:numPr>
          <w:ilvl w:val="0"/>
          <w:numId w:val="14"/>
        </w:numPr>
        <w:ind w:left="426"/>
        <w:contextualSpacing/>
        <w:rPr>
          <w:rFonts w:cstheme="minorHAnsi"/>
        </w:rPr>
      </w:pPr>
      <w:r w:rsidRPr="002B5397">
        <w:rPr>
          <w:rFonts w:cstheme="minorHAnsi"/>
        </w:rPr>
        <w:t xml:space="preserve">Continue to remodel urgent primary care services including </w:t>
      </w:r>
    </w:p>
    <w:p w14:paraId="2ABAC859" w14:textId="77777777" w:rsidR="009A1D3B" w:rsidRPr="002B5397" w:rsidRDefault="009A1D3B" w:rsidP="003B1653">
      <w:pPr>
        <w:numPr>
          <w:ilvl w:val="1"/>
          <w:numId w:val="14"/>
        </w:numPr>
        <w:contextualSpacing/>
        <w:rPr>
          <w:rFonts w:cstheme="minorHAnsi"/>
        </w:rPr>
      </w:pPr>
      <w:r w:rsidRPr="002B5397">
        <w:rPr>
          <w:rFonts w:cstheme="minorHAnsi"/>
        </w:rPr>
        <w:t xml:space="preserve">Development of MDT  </w:t>
      </w:r>
    </w:p>
    <w:p w14:paraId="5AA4D6AC" w14:textId="77777777" w:rsidR="009A1D3B" w:rsidRPr="002B5397" w:rsidRDefault="009A1D3B" w:rsidP="003B1653">
      <w:pPr>
        <w:numPr>
          <w:ilvl w:val="1"/>
          <w:numId w:val="14"/>
        </w:numPr>
        <w:contextualSpacing/>
        <w:rPr>
          <w:rFonts w:cstheme="minorHAnsi"/>
        </w:rPr>
      </w:pPr>
      <w:r w:rsidRPr="002B5397">
        <w:rPr>
          <w:rFonts w:cstheme="minorHAnsi"/>
        </w:rPr>
        <w:t xml:space="preserve">Tender for GP services via consortium       </w:t>
      </w:r>
    </w:p>
    <w:p w14:paraId="00CC643F" w14:textId="77777777" w:rsidR="009A1D3B" w:rsidRPr="002B5397" w:rsidRDefault="009A1D3B" w:rsidP="003B1653">
      <w:pPr>
        <w:numPr>
          <w:ilvl w:val="1"/>
          <w:numId w:val="14"/>
        </w:numPr>
        <w:contextualSpacing/>
        <w:rPr>
          <w:rFonts w:cstheme="minorHAnsi"/>
        </w:rPr>
      </w:pPr>
      <w:r w:rsidRPr="002B5397">
        <w:rPr>
          <w:rFonts w:cstheme="minorHAnsi"/>
        </w:rPr>
        <w:t>Roll out of 111</w:t>
      </w:r>
    </w:p>
    <w:p w14:paraId="3C2E7D9C" w14:textId="77777777" w:rsidR="009A1D3B" w:rsidRPr="002B5397" w:rsidRDefault="009A1D3B" w:rsidP="003B1653">
      <w:pPr>
        <w:numPr>
          <w:ilvl w:val="0"/>
          <w:numId w:val="14"/>
        </w:numPr>
        <w:ind w:left="426" w:hanging="426"/>
        <w:contextualSpacing/>
        <w:rPr>
          <w:rFonts w:cstheme="minorHAnsi"/>
        </w:rPr>
      </w:pPr>
      <w:r w:rsidRPr="002B5397">
        <w:rPr>
          <w:rFonts w:cstheme="minorHAnsi"/>
        </w:rPr>
        <w:t xml:space="preserve">Continued review of enhanced services across Cwm Taf Morgannwg in order to harmonise and ensure most efficient use of resources supporting the shift of service delivery out of hospital and into the community. </w:t>
      </w:r>
    </w:p>
    <w:p w14:paraId="5E959067" w14:textId="77777777" w:rsidR="009A1D3B" w:rsidRPr="002B5397" w:rsidRDefault="009A1D3B" w:rsidP="003B1653">
      <w:pPr>
        <w:numPr>
          <w:ilvl w:val="0"/>
          <w:numId w:val="14"/>
        </w:numPr>
        <w:ind w:left="426" w:hanging="426"/>
        <w:contextualSpacing/>
        <w:rPr>
          <w:rFonts w:cstheme="minorHAnsi"/>
        </w:rPr>
      </w:pPr>
      <w:r w:rsidRPr="002B5397">
        <w:rPr>
          <w:rFonts w:cstheme="minorHAnsi"/>
        </w:rPr>
        <w:t>Support the ongoing maturity and development of Clusters and their clinical and managerial leaders.</w:t>
      </w:r>
    </w:p>
    <w:p w14:paraId="2AD1B6B5" w14:textId="77777777" w:rsidR="009A1D3B" w:rsidRPr="002B5397" w:rsidRDefault="009A1D3B" w:rsidP="003B1653">
      <w:pPr>
        <w:numPr>
          <w:ilvl w:val="0"/>
          <w:numId w:val="14"/>
        </w:numPr>
        <w:ind w:left="426" w:hanging="426"/>
        <w:contextualSpacing/>
        <w:rPr>
          <w:rFonts w:cstheme="minorHAnsi"/>
        </w:rPr>
      </w:pPr>
      <w:r w:rsidRPr="002B5397">
        <w:rPr>
          <w:rFonts w:cstheme="minorHAnsi"/>
        </w:rPr>
        <w:t>Support a quality improvement programme of work to address the high incidents of antibiotic prescribing and community acquired infections, as part of the UHB’s Anti Microbial Resistance progamme</w:t>
      </w:r>
      <w:proofErr w:type="gramStart"/>
      <w:r w:rsidRPr="002B5397">
        <w:rPr>
          <w:rFonts w:cstheme="minorHAnsi"/>
        </w:rPr>
        <w:t>,  and</w:t>
      </w:r>
      <w:proofErr w:type="gramEnd"/>
      <w:r w:rsidRPr="002B5397">
        <w:rPr>
          <w:rFonts w:cstheme="minorHAnsi"/>
        </w:rPr>
        <w:t xml:space="preserve"> other drug groups where prescribing is an outlier. </w:t>
      </w:r>
    </w:p>
    <w:p w14:paraId="4A5AF7D3" w14:textId="77777777" w:rsidR="009A1D3B" w:rsidRPr="002B5397" w:rsidRDefault="009A1D3B" w:rsidP="003B1653">
      <w:pPr>
        <w:numPr>
          <w:ilvl w:val="0"/>
          <w:numId w:val="14"/>
        </w:numPr>
        <w:ind w:left="426"/>
        <w:contextualSpacing/>
        <w:rPr>
          <w:rFonts w:cstheme="minorHAnsi"/>
        </w:rPr>
      </w:pPr>
      <w:r w:rsidRPr="002B5397">
        <w:rPr>
          <w:rFonts w:cstheme="minorHAnsi"/>
        </w:rPr>
        <w:t xml:space="preserve">Improve oral health across Cwm Taf Morgannwg by:                     </w:t>
      </w:r>
    </w:p>
    <w:p w14:paraId="1EE22ABA" w14:textId="77777777" w:rsidR="009A1D3B" w:rsidRPr="002B5397" w:rsidRDefault="009A1D3B" w:rsidP="003B1653">
      <w:pPr>
        <w:numPr>
          <w:ilvl w:val="1"/>
          <w:numId w:val="14"/>
        </w:numPr>
        <w:contextualSpacing/>
        <w:rPr>
          <w:rFonts w:cstheme="minorHAnsi"/>
        </w:rPr>
      </w:pPr>
      <w:r w:rsidRPr="002B5397">
        <w:rPr>
          <w:rFonts w:cstheme="minorHAnsi"/>
        </w:rPr>
        <w:t>Review and remodelling of Community Dental Service following its repatriation from C&amp;VUHB</w:t>
      </w:r>
    </w:p>
    <w:p w14:paraId="658DE993" w14:textId="77777777" w:rsidR="009A1D3B" w:rsidRPr="002B5397" w:rsidRDefault="009A1D3B" w:rsidP="003B1653">
      <w:pPr>
        <w:numPr>
          <w:ilvl w:val="1"/>
          <w:numId w:val="14"/>
        </w:numPr>
        <w:contextualSpacing/>
        <w:rPr>
          <w:rFonts w:cstheme="minorHAnsi"/>
        </w:rPr>
      </w:pPr>
      <w:r w:rsidRPr="002B5397">
        <w:rPr>
          <w:rFonts w:cstheme="minorHAnsi"/>
        </w:rPr>
        <w:t xml:space="preserve">Increasing access to Dental Services across CTM </w:t>
      </w:r>
    </w:p>
    <w:p w14:paraId="10469B99" w14:textId="77777777" w:rsidR="009A1D3B" w:rsidRPr="002B5397" w:rsidRDefault="009A1D3B" w:rsidP="003B1653">
      <w:pPr>
        <w:numPr>
          <w:ilvl w:val="1"/>
          <w:numId w:val="14"/>
        </w:numPr>
        <w:contextualSpacing/>
        <w:rPr>
          <w:rFonts w:cstheme="minorHAnsi"/>
        </w:rPr>
      </w:pPr>
      <w:r w:rsidRPr="002B5397">
        <w:rPr>
          <w:rFonts w:cstheme="minorHAnsi"/>
        </w:rPr>
        <w:t xml:space="preserve">Implementation of dental reform contract                   </w:t>
      </w:r>
    </w:p>
    <w:p w14:paraId="7FCC0555" w14:textId="77777777" w:rsidR="009A1D3B" w:rsidRPr="002B5397" w:rsidRDefault="009A1D3B" w:rsidP="003B1653">
      <w:pPr>
        <w:numPr>
          <w:ilvl w:val="1"/>
          <w:numId w:val="14"/>
        </w:numPr>
        <w:contextualSpacing/>
        <w:rPr>
          <w:rFonts w:cstheme="minorHAnsi"/>
        </w:rPr>
      </w:pPr>
      <w:r w:rsidRPr="002B5397">
        <w:rPr>
          <w:rFonts w:cstheme="minorHAnsi"/>
        </w:rPr>
        <w:t xml:space="preserve">Continued implementation of Baby Teeth Do Matter                 </w:t>
      </w:r>
    </w:p>
    <w:p w14:paraId="50F59C64" w14:textId="77777777" w:rsidR="009A1D3B" w:rsidRPr="002B5397" w:rsidRDefault="009A1D3B" w:rsidP="003B1653">
      <w:pPr>
        <w:numPr>
          <w:ilvl w:val="1"/>
          <w:numId w:val="14"/>
        </w:numPr>
        <w:contextualSpacing/>
        <w:rPr>
          <w:rFonts w:cstheme="minorHAnsi"/>
        </w:rPr>
      </w:pPr>
      <w:r w:rsidRPr="002B5397">
        <w:rPr>
          <w:rFonts w:cstheme="minorHAnsi"/>
        </w:rPr>
        <w:t xml:space="preserve">Repatriation of paediatric GA activity to RGH                                               </w:t>
      </w:r>
    </w:p>
    <w:p w14:paraId="797D94BF" w14:textId="33813FF5" w:rsidR="009A1D3B" w:rsidRPr="002B5397" w:rsidRDefault="009A1D3B" w:rsidP="003B1653">
      <w:pPr>
        <w:numPr>
          <w:ilvl w:val="1"/>
          <w:numId w:val="14"/>
        </w:numPr>
        <w:contextualSpacing/>
        <w:rPr>
          <w:rFonts w:cstheme="minorHAnsi"/>
        </w:rPr>
      </w:pPr>
      <w:r w:rsidRPr="002B5397">
        <w:rPr>
          <w:rFonts w:cstheme="minorHAnsi"/>
        </w:rPr>
        <w:t xml:space="preserve">Delivery of domiciliary service to Bridgend                                                   </w:t>
      </w:r>
    </w:p>
    <w:p w14:paraId="61C05D38" w14:textId="3643C056" w:rsidR="009A1D3B" w:rsidRPr="002B5397" w:rsidRDefault="009A1D3B" w:rsidP="003B1653">
      <w:pPr>
        <w:numPr>
          <w:ilvl w:val="1"/>
          <w:numId w:val="14"/>
        </w:numPr>
        <w:contextualSpacing/>
        <w:rPr>
          <w:rFonts w:cstheme="minorHAnsi"/>
        </w:rPr>
      </w:pPr>
      <w:r w:rsidRPr="002B5397">
        <w:rPr>
          <w:rFonts w:cstheme="minorHAnsi"/>
        </w:rPr>
        <w:t>Implementation of minor oral surgery in Bridgend</w:t>
      </w:r>
    </w:p>
    <w:p w14:paraId="2BC514AC" w14:textId="2864976B" w:rsidR="009A1D3B" w:rsidRPr="002B5397" w:rsidRDefault="009A1D3B" w:rsidP="003B1653">
      <w:pPr>
        <w:numPr>
          <w:ilvl w:val="0"/>
          <w:numId w:val="14"/>
        </w:numPr>
        <w:ind w:left="426"/>
        <w:contextualSpacing/>
        <w:rPr>
          <w:rFonts w:cstheme="minorHAnsi"/>
        </w:rPr>
      </w:pPr>
      <w:r w:rsidRPr="002B5397">
        <w:rPr>
          <w:rFonts w:cstheme="minorHAnsi"/>
        </w:rPr>
        <w:t xml:space="preserve">Improve eye health and strengthen access to optometry services across CTM, including services for low vision - Implement Glaucoma monitoring in primary care and further </w:t>
      </w:r>
      <w:proofErr w:type="gramStart"/>
      <w:r w:rsidRPr="002B5397">
        <w:rPr>
          <w:rFonts w:cstheme="minorHAnsi"/>
        </w:rPr>
        <w:t>promote  EHEW</w:t>
      </w:r>
      <w:proofErr w:type="gramEnd"/>
      <w:r w:rsidRPr="002B5397">
        <w:rPr>
          <w:rFonts w:cstheme="minorHAnsi"/>
        </w:rPr>
        <w:t>.</w:t>
      </w:r>
    </w:p>
    <w:p w14:paraId="42B6D078" w14:textId="75572417" w:rsidR="009A1D3B" w:rsidRPr="002B5397" w:rsidRDefault="009A1D3B" w:rsidP="003B1653">
      <w:pPr>
        <w:numPr>
          <w:ilvl w:val="0"/>
          <w:numId w:val="14"/>
        </w:numPr>
        <w:ind w:left="426" w:hanging="426"/>
        <w:contextualSpacing/>
        <w:rPr>
          <w:rFonts w:cstheme="minorHAnsi"/>
        </w:rPr>
      </w:pPr>
      <w:r w:rsidRPr="002B5397">
        <w:rPr>
          <w:rFonts w:cstheme="minorHAnsi"/>
        </w:rPr>
        <w:t>Support the current managed practices and consider their return to independent status and manage other practice through the Health Board if necessary in the future.</w:t>
      </w:r>
    </w:p>
    <w:p w14:paraId="7A685818" w14:textId="6E06C87B" w:rsidR="009A1D3B" w:rsidRPr="002B5397" w:rsidRDefault="009A1D3B" w:rsidP="003B1653">
      <w:pPr>
        <w:numPr>
          <w:ilvl w:val="0"/>
          <w:numId w:val="14"/>
        </w:numPr>
        <w:ind w:left="426"/>
        <w:contextualSpacing/>
        <w:rPr>
          <w:rFonts w:cstheme="minorHAnsi"/>
        </w:rPr>
      </w:pPr>
      <w:r w:rsidRPr="002B5397">
        <w:rPr>
          <w:rFonts w:cstheme="minorHAnsi"/>
        </w:rPr>
        <w:t xml:space="preserve">Support the expansion of clinical services where demands are growing, e.g. Aural Care, and roll out to the Bridgend Locality  </w:t>
      </w:r>
    </w:p>
    <w:p w14:paraId="10087C05" w14:textId="25AAA673" w:rsidR="009A1D3B" w:rsidRDefault="009A1D3B" w:rsidP="003B1653">
      <w:pPr>
        <w:numPr>
          <w:ilvl w:val="0"/>
          <w:numId w:val="14"/>
        </w:numPr>
        <w:ind w:left="426" w:hanging="426"/>
        <w:contextualSpacing/>
        <w:rPr>
          <w:rFonts w:cstheme="minorHAnsi"/>
        </w:rPr>
      </w:pPr>
      <w:r w:rsidRPr="002B5397">
        <w:rPr>
          <w:rFonts w:cstheme="minorHAnsi"/>
        </w:rPr>
        <w:t>Mainstreaming Pacesetter initiatives through 2020/23</w:t>
      </w:r>
    </w:p>
    <w:p w14:paraId="23D6DB6C" w14:textId="35236CF0" w:rsidR="009A1D3B" w:rsidRPr="002B5397" w:rsidRDefault="009A1D3B" w:rsidP="009A1D3B">
      <w:pPr>
        <w:contextualSpacing/>
        <w:rPr>
          <w:rFonts w:cstheme="minorHAnsi"/>
        </w:rPr>
      </w:pPr>
    </w:p>
    <w:p w14:paraId="29453FB1" w14:textId="5A44EC95" w:rsidR="009A1D3B" w:rsidRPr="002B5397" w:rsidRDefault="009A1D3B" w:rsidP="009A1D3B">
      <w:pPr>
        <w:ind w:left="425" w:hanging="425"/>
        <w:contextualSpacing/>
        <w:rPr>
          <w:rFonts w:cstheme="minorHAnsi"/>
          <w:b/>
        </w:rPr>
      </w:pPr>
      <w:r w:rsidRPr="002B5397">
        <w:rPr>
          <w:rFonts w:cstheme="minorHAnsi"/>
          <w:b/>
        </w:rPr>
        <w:t>Community/Localities Priorities</w:t>
      </w:r>
    </w:p>
    <w:p w14:paraId="60A94277" w14:textId="26F2DD1F" w:rsidR="009A1D3B" w:rsidRPr="002B5397" w:rsidRDefault="009A1D3B" w:rsidP="003B1653">
      <w:pPr>
        <w:numPr>
          <w:ilvl w:val="0"/>
          <w:numId w:val="12"/>
        </w:numPr>
        <w:ind w:left="426"/>
        <w:contextualSpacing/>
        <w:rPr>
          <w:rFonts w:cstheme="minorHAnsi"/>
        </w:rPr>
      </w:pPr>
      <w:r w:rsidRPr="002B5397">
        <w:rPr>
          <w:rFonts w:cstheme="minorHAnsi"/>
        </w:rPr>
        <w:t xml:space="preserve">Continued review and development of our community hospitals to </w:t>
      </w:r>
      <w:r>
        <w:rPr>
          <w:rFonts w:cstheme="minorHAnsi"/>
        </w:rPr>
        <w:t>support patient flow including:</w:t>
      </w:r>
    </w:p>
    <w:p w14:paraId="5867AEEA" w14:textId="3E8B0C84" w:rsidR="009A1D3B" w:rsidRPr="002B5397" w:rsidRDefault="009A1D3B" w:rsidP="003B1653">
      <w:pPr>
        <w:numPr>
          <w:ilvl w:val="1"/>
          <w:numId w:val="12"/>
        </w:numPr>
        <w:ind w:left="851"/>
        <w:contextualSpacing/>
        <w:rPr>
          <w:rFonts w:cstheme="minorHAnsi"/>
        </w:rPr>
      </w:pPr>
      <w:r w:rsidRPr="002B5397">
        <w:rPr>
          <w:rFonts w:cstheme="minorHAnsi"/>
        </w:rPr>
        <w:t>optimising contribution to patient flow through ensuring effective, outcome based care and enabling timel</w:t>
      </w:r>
      <w:r>
        <w:rPr>
          <w:rFonts w:cstheme="minorHAnsi"/>
        </w:rPr>
        <w:t>y discharge/transfer of care</w:t>
      </w:r>
    </w:p>
    <w:p w14:paraId="1CAE1F20" w14:textId="4FC67527" w:rsidR="009A1D3B" w:rsidRPr="002B5397" w:rsidRDefault="009A1D3B" w:rsidP="003B1653">
      <w:pPr>
        <w:numPr>
          <w:ilvl w:val="1"/>
          <w:numId w:val="12"/>
        </w:numPr>
        <w:ind w:left="851"/>
        <w:contextualSpacing/>
        <w:rPr>
          <w:rFonts w:cstheme="minorHAnsi"/>
        </w:rPr>
      </w:pPr>
      <w:r w:rsidRPr="002B5397">
        <w:rPr>
          <w:rFonts w:cstheme="minorHAnsi"/>
        </w:rPr>
        <w:t>develop a shared care approach to meeting the needs of patients with complex needs and behaviou</w:t>
      </w:r>
      <w:r>
        <w:rPr>
          <w:rFonts w:cstheme="minorHAnsi"/>
        </w:rPr>
        <w:t>rs</w:t>
      </w:r>
    </w:p>
    <w:p w14:paraId="5EECD97A" w14:textId="6DC3F7B1" w:rsidR="009A1D3B" w:rsidRPr="002B5397" w:rsidRDefault="009A1D3B" w:rsidP="003B1653">
      <w:pPr>
        <w:numPr>
          <w:ilvl w:val="1"/>
          <w:numId w:val="12"/>
        </w:numPr>
        <w:ind w:left="851"/>
        <w:contextualSpacing/>
        <w:rPr>
          <w:rFonts w:cstheme="minorHAnsi"/>
        </w:rPr>
      </w:pPr>
      <w:r w:rsidRPr="002B5397">
        <w:rPr>
          <w:rFonts w:cstheme="minorHAnsi"/>
        </w:rPr>
        <w:t xml:space="preserve"> targeted and in</w:t>
      </w:r>
      <w:r>
        <w:rPr>
          <w:rFonts w:cstheme="minorHAnsi"/>
        </w:rPr>
        <w:t>novative recruitment strategies</w:t>
      </w:r>
    </w:p>
    <w:p w14:paraId="3F6008C5" w14:textId="19852854" w:rsidR="009A1D3B" w:rsidRPr="002B5397" w:rsidRDefault="009A1D3B" w:rsidP="003B1653">
      <w:pPr>
        <w:numPr>
          <w:ilvl w:val="1"/>
          <w:numId w:val="12"/>
        </w:numPr>
        <w:ind w:left="851"/>
        <w:contextualSpacing/>
        <w:rPr>
          <w:rFonts w:cstheme="minorHAnsi"/>
        </w:rPr>
      </w:pPr>
      <w:r w:rsidRPr="002B5397">
        <w:rPr>
          <w:rFonts w:cstheme="minorHAnsi"/>
        </w:rPr>
        <w:t xml:space="preserve"> review of the stroke rehabilitation pathway</w:t>
      </w:r>
    </w:p>
    <w:p w14:paraId="623D332C" w14:textId="03F01667" w:rsidR="009A1D3B" w:rsidRPr="002B5397" w:rsidRDefault="009A1D3B" w:rsidP="003B1653">
      <w:pPr>
        <w:numPr>
          <w:ilvl w:val="0"/>
          <w:numId w:val="12"/>
        </w:numPr>
        <w:ind w:left="426"/>
        <w:contextualSpacing/>
        <w:rPr>
          <w:rFonts w:cstheme="minorHAnsi"/>
        </w:rPr>
      </w:pPr>
      <w:r w:rsidRPr="002B5397">
        <w:rPr>
          <w:rFonts w:cstheme="minorHAnsi"/>
        </w:rPr>
        <w:t>Scale up and roll out the District Nursing Neighbourhood Nursing approach, supported by the DN Principles and use of Malinko software</w:t>
      </w:r>
    </w:p>
    <w:p w14:paraId="60E1155F" w14:textId="16537F99" w:rsidR="009A1D3B" w:rsidRPr="002B5397" w:rsidRDefault="009A1D3B" w:rsidP="003B1653">
      <w:pPr>
        <w:numPr>
          <w:ilvl w:val="0"/>
          <w:numId w:val="12"/>
        </w:numPr>
        <w:ind w:left="426"/>
        <w:contextualSpacing/>
        <w:rPr>
          <w:rFonts w:cstheme="minorHAnsi"/>
        </w:rPr>
      </w:pPr>
      <w:r w:rsidRPr="002B5397">
        <w:rPr>
          <w:rFonts w:cstheme="minorHAnsi"/>
        </w:rPr>
        <w:t xml:space="preserve">Ensure the effective functioning of the new ‘Y Bwthyn’ NGS Macmillan palliative care unit and its integration with other on-site services at the  Royal Glamorgan Hospital  </w:t>
      </w:r>
    </w:p>
    <w:p w14:paraId="35FDB70D" w14:textId="6691B78D" w:rsidR="009A1D3B" w:rsidRPr="002B5397" w:rsidRDefault="009A1D3B" w:rsidP="003B1653">
      <w:pPr>
        <w:numPr>
          <w:ilvl w:val="0"/>
          <w:numId w:val="12"/>
        </w:numPr>
        <w:ind w:left="426"/>
        <w:contextualSpacing/>
        <w:rPr>
          <w:rFonts w:cstheme="minorHAnsi"/>
        </w:rPr>
      </w:pPr>
      <w:r w:rsidRPr="002B5397">
        <w:rPr>
          <w:rFonts w:cstheme="minorHAnsi"/>
        </w:rPr>
        <w:t>Continue to support End of Life Care (EOLC) Board initiatives such as Hospice @Home, mainstreaming Future Care planning and addressing the findings of the NACEL audit.</w:t>
      </w:r>
    </w:p>
    <w:p w14:paraId="616449E2" w14:textId="68698CF2" w:rsidR="009A1D3B" w:rsidRPr="002B5397" w:rsidRDefault="009A1D3B" w:rsidP="003B1653">
      <w:pPr>
        <w:numPr>
          <w:ilvl w:val="0"/>
          <w:numId w:val="12"/>
        </w:numPr>
        <w:ind w:left="426" w:hanging="426"/>
        <w:contextualSpacing/>
        <w:rPr>
          <w:rFonts w:cstheme="minorHAnsi"/>
        </w:rPr>
      </w:pPr>
      <w:r w:rsidRPr="002B5397">
        <w:rPr>
          <w:rFonts w:cstheme="minorHAnsi"/>
        </w:rPr>
        <w:t>Review current Continuing Health Care provision and ensure that robust processes continue to be in place to scrutinise packages.</w:t>
      </w:r>
    </w:p>
    <w:p w14:paraId="5F734CF9" w14:textId="27AAE40A" w:rsidR="009A1D3B" w:rsidRDefault="009A1D3B" w:rsidP="003B1653">
      <w:pPr>
        <w:numPr>
          <w:ilvl w:val="0"/>
          <w:numId w:val="12"/>
        </w:numPr>
        <w:ind w:left="426"/>
        <w:contextualSpacing/>
        <w:rPr>
          <w:rFonts w:cstheme="minorHAnsi"/>
        </w:rPr>
      </w:pPr>
      <w:r w:rsidRPr="002B5397">
        <w:rPr>
          <w:rFonts w:cstheme="minorHAnsi"/>
        </w:rPr>
        <w:t>Development of the Lymphoedema service within RCT &amp; MT and work towards repatriation of the SLA with SBUHB for the Bridgend service</w:t>
      </w:r>
    </w:p>
    <w:p w14:paraId="6C02A48D" w14:textId="4D25D6EA" w:rsidR="009A1D3B" w:rsidRDefault="009A1D3B" w:rsidP="009A1D3B">
      <w:pPr>
        <w:contextualSpacing/>
        <w:rPr>
          <w:rFonts w:cstheme="minorHAnsi"/>
        </w:rPr>
      </w:pPr>
    </w:p>
    <w:p w14:paraId="7F8843C5" w14:textId="77777777" w:rsidR="00FC7D1E" w:rsidRDefault="00FC7D1E" w:rsidP="009A1D3B">
      <w:pPr>
        <w:contextualSpacing/>
        <w:rPr>
          <w:rFonts w:cstheme="minorHAnsi"/>
        </w:rPr>
      </w:pPr>
    </w:p>
    <w:p w14:paraId="299CD2BB" w14:textId="77777777" w:rsidR="00FC7D1E" w:rsidRDefault="00FC7D1E" w:rsidP="009A1D3B">
      <w:pPr>
        <w:contextualSpacing/>
        <w:rPr>
          <w:rFonts w:cstheme="minorHAnsi"/>
        </w:rPr>
      </w:pPr>
    </w:p>
    <w:p w14:paraId="004D14A6" w14:textId="77777777" w:rsidR="00FC7D1E" w:rsidRDefault="00FC7D1E" w:rsidP="009A1D3B">
      <w:pPr>
        <w:contextualSpacing/>
        <w:rPr>
          <w:rFonts w:cstheme="minorHAnsi"/>
        </w:rPr>
      </w:pPr>
    </w:p>
    <w:p w14:paraId="281DC713" w14:textId="77777777" w:rsidR="00FC7D1E" w:rsidRDefault="00FC7D1E" w:rsidP="009A1D3B">
      <w:pPr>
        <w:contextualSpacing/>
        <w:rPr>
          <w:rFonts w:cstheme="minorHAnsi"/>
        </w:rPr>
      </w:pPr>
    </w:p>
    <w:p w14:paraId="196AE22C" w14:textId="77777777" w:rsidR="00FC7D1E" w:rsidRDefault="00FC7D1E" w:rsidP="009A1D3B">
      <w:pPr>
        <w:contextualSpacing/>
        <w:rPr>
          <w:rFonts w:cstheme="minorHAnsi"/>
        </w:rPr>
      </w:pPr>
    </w:p>
    <w:p w14:paraId="347371AD" w14:textId="77777777" w:rsidR="00FC7D1E" w:rsidRDefault="00FC7D1E" w:rsidP="009A1D3B">
      <w:pPr>
        <w:contextualSpacing/>
        <w:rPr>
          <w:rFonts w:cstheme="minorHAnsi"/>
        </w:rPr>
      </w:pPr>
    </w:p>
    <w:p w14:paraId="3ED566FB" w14:textId="55943598" w:rsidR="009A1D3B" w:rsidRDefault="009A1D3B" w:rsidP="009A1D3B">
      <w:pPr>
        <w:rPr>
          <w:b/>
        </w:rPr>
      </w:pPr>
      <w:r>
        <w:rPr>
          <w:bCs/>
          <w:noProof/>
        </w:rPr>
        <w:lastRenderedPageBreak/>
        <mc:AlternateContent>
          <mc:Choice Requires="wps">
            <w:drawing>
              <wp:anchor distT="0" distB="0" distL="114300" distR="114300" simplePos="0" relativeHeight="252819456" behindDoc="1" locked="0" layoutInCell="1" allowOverlap="1" wp14:anchorId="7B89D9DC" wp14:editId="0704B17D">
                <wp:simplePos x="0" y="0"/>
                <wp:positionH relativeFrom="margin">
                  <wp:posOffset>-74930</wp:posOffset>
                </wp:positionH>
                <wp:positionV relativeFrom="paragraph">
                  <wp:posOffset>107315</wp:posOffset>
                </wp:positionV>
                <wp:extent cx="6715125" cy="696595"/>
                <wp:effectExtent l="0" t="38100" r="47625" b="65405"/>
                <wp:wrapNone/>
                <wp:docPr id="58" name="Right Arrow 58"/>
                <wp:cNvGraphicFramePr/>
                <a:graphic xmlns:a="http://schemas.openxmlformats.org/drawingml/2006/main">
                  <a:graphicData uri="http://schemas.microsoft.com/office/word/2010/wordprocessingShape">
                    <wps:wsp>
                      <wps:cNvSpPr/>
                      <wps:spPr>
                        <a:xfrm>
                          <a:off x="0" y="0"/>
                          <a:ext cx="6715125" cy="696595"/>
                        </a:xfrm>
                        <a:prstGeom prst="rightArrow">
                          <a:avLst>
                            <a:gd name="adj1" fmla="val 50000"/>
                            <a:gd name="adj2" fmla="val 29881"/>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EEB86B" id="Right Arrow 58" o:spid="_x0000_s1026" type="#_x0000_t13" style="position:absolute;margin-left:-5.9pt;margin-top:8.45pt;width:528.75pt;height:54.85pt;z-index:-2504970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" adj="20930" fillcolor="#eaf1dd [662]" strokecolor="#76923c [2406]" strokeweight="2pt">
                <w10:wrap anchorx="margin"/>
              </v:shape>
            </w:pict>
          </mc:Fallback>
        </mc:AlternateContent>
      </w:r>
      <w:r>
        <w:rPr>
          <w:b/>
        </w:rPr>
        <w:t>Milestones</w:t>
      </w:r>
    </w:p>
    <w:p w14:paraId="026498DD" w14:textId="7425DF6B" w:rsidR="009A1D3B" w:rsidRPr="00C260C6" w:rsidRDefault="009A1D3B" w:rsidP="009A1D3B">
      <w:pPr>
        <w:rPr>
          <w:b/>
        </w:rPr>
      </w:pPr>
    </w:p>
    <w:tbl>
      <w:tblPr>
        <w:tblStyle w:val="TableGrid"/>
        <w:tblW w:w="10060" w:type="dxa"/>
        <w:tblLook w:val="04A0" w:firstRow="1" w:lastRow="0" w:firstColumn="1" w:lastColumn="0" w:noHBand="0" w:noVBand="1"/>
      </w:tblPr>
      <w:tblGrid>
        <w:gridCol w:w="6516"/>
        <w:gridCol w:w="1843"/>
        <w:gridCol w:w="1701"/>
      </w:tblGrid>
      <w:tr w:rsidR="009A1D3B" w14:paraId="47D057AC" w14:textId="77777777" w:rsidTr="00E334A5">
        <w:trPr>
          <w:tblHeader/>
        </w:trPr>
        <w:tc>
          <w:tcPr>
            <w:tcW w:w="6516" w:type="dxa"/>
          </w:tcPr>
          <w:p w14:paraId="77B11449" w14:textId="79973FE2" w:rsidR="009A1D3B" w:rsidRDefault="009A1D3B" w:rsidP="00E02C36">
            <w:pPr>
              <w:jc w:val="center"/>
              <w:rPr>
                <w:rFonts w:asciiTheme="minorHAnsi" w:hAnsiTheme="minorHAnsi"/>
                <w:bCs/>
              </w:rPr>
            </w:pPr>
            <w:r>
              <w:rPr>
                <w:rFonts w:asciiTheme="minorHAnsi" w:hAnsiTheme="minorHAnsi"/>
                <w:bCs/>
              </w:rPr>
              <w:t>Year 1</w:t>
            </w:r>
          </w:p>
          <w:p w14:paraId="5F643133" w14:textId="77777777" w:rsidR="009A1D3B" w:rsidRDefault="009A1D3B" w:rsidP="00E02C36">
            <w:pPr>
              <w:jc w:val="center"/>
              <w:rPr>
                <w:rFonts w:asciiTheme="minorHAnsi" w:hAnsiTheme="minorHAnsi"/>
                <w:bCs/>
              </w:rPr>
            </w:pPr>
          </w:p>
        </w:tc>
        <w:tc>
          <w:tcPr>
            <w:tcW w:w="1843" w:type="dxa"/>
          </w:tcPr>
          <w:p w14:paraId="6A881644" w14:textId="77777777" w:rsidR="009A1D3B" w:rsidRDefault="009A1D3B" w:rsidP="00E02C36">
            <w:pPr>
              <w:jc w:val="center"/>
              <w:rPr>
                <w:rFonts w:asciiTheme="minorHAnsi" w:hAnsiTheme="minorHAnsi"/>
                <w:bCs/>
              </w:rPr>
            </w:pPr>
            <w:r>
              <w:rPr>
                <w:rFonts w:asciiTheme="minorHAnsi" w:hAnsiTheme="minorHAnsi"/>
                <w:bCs/>
              </w:rPr>
              <w:t>Year 2</w:t>
            </w:r>
          </w:p>
        </w:tc>
        <w:tc>
          <w:tcPr>
            <w:tcW w:w="1701" w:type="dxa"/>
          </w:tcPr>
          <w:p w14:paraId="66723E63" w14:textId="6F08A8F8" w:rsidR="009A1D3B" w:rsidRDefault="009A1D3B" w:rsidP="009A1D3B">
            <w:pPr>
              <w:jc w:val="center"/>
              <w:rPr>
                <w:rFonts w:asciiTheme="minorHAnsi" w:hAnsiTheme="minorHAnsi"/>
                <w:bCs/>
              </w:rPr>
            </w:pPr>
            <w:r>
              <w:rPr>
                <w:rFonts w:asciiTheme="minorHAnsi" w:hAnsiTheme="minorHAnsi"/>
                <w:bCs/>
              </w:rPr>
              <w:t>Year 3</w:t>
            </w:r>
          </w:p>
        </w:tc>
      </w:tr>
      <w:tr w:rsidR="009A1D3B" w14:paraId="681574DB" w14:textId="77777777" w:rsidTr="00E334A5">
        <w:tc>
          <w:tcPr>
            <w:tcW w:w="6516" w:type="dxa"/>
          </w:tcPr>
          <w:p w14:paraId="527F507E" w14:textId="4911EAFA" w:rsidR="009A1D3B" w:rsidRPr="00E0159C" w:rsidRDefault="009A1D3B" w:rsidP="00E02C36">
            <w:pPr>
              <w:rPr>
                <w:rFonts w:asciiTheme="minorHAnsi" w:hAnsiTheme="minorHAnsi"/>
                <w:bCs/>
                <w:sz w:val="22"/>
                <w:szCs w:val="22"/>
              </w:rPr>
            </w:pPr>
            <w:r w:rsidRPr="00AE4EBC">
              <w:rPr>
                <w:rFonts w:asciiTheme="minorHAnsi" w:hAnsiTheme="minorHAnsi"/>
                <w:b/>
                <w:bCs/>
                <w:sz w:val="22"/>
                <w:szCs w:val="22"/>
              </w:rPr>
              <w:t>Transformation Programme</w:t>
            </w:r>
            <w:r w:rsidRPr="00E0159C">
              <w:rPr>
                <w:rFonts w:asciiTheme="minorHAnsi" w:hAnsiTheme="minorHAnsi"/>
                <w:bCs/>
                <w:sz w:val="22"/>
                <w:szCs w:val="22"/>
              </w:rPr>
              <w:t xml:space="preserve"> </w:t>
            </w:r>
            <w:r>
              <w:rPr>
                <w:rFonts w:asciiTheme="minorHAnsi" w:hAnsiTheme="minorHAnsi"/>
                <w:bCs/>
                <w:sz w:val="22"/>
                <w:szCs w:val="22"/>
              </w:rPr>
              <w:t>–</w:t>
            </w:r>
            <w:r w:rsidRPr="00E0159C">
              <w:rPr>
                <w:rFonts w:asciiTheme="minorHAnsi" w:hAnsiTheme="minorHAnsi"/>
                <w:bCs/>
                <w:sz w:val="22"/>
                <w:szCs w:val="22"/>
              </w:rPr>
              <w:t xml:space="preserve"> </w:t>
            </w:r>
            <w:r w:rsidR="00CE7ED2">
              <w:rPr>
                <w:rFonts w:asciiTheme="minorHAnsi" w:hAnsiTheme="minorHAnsi"/>
                <w:bCs/>
                <w:sz w:val="22"/>
                <w:szCs w:val="22"/>
              </w:rPr>
              <w:t xml:space="preserve">Q4 - </w:t>
            </w:r>
            <w:r w:rsidR="00CE7ED2" w:rsidRPr="00E0159C">
              <w:rPr>
                <w:rFonts w:asciiTheme="minorHAnsi" w:hAnsiTheme="minorHAnsi"/>
                <w:bCs/>
                <w:sz w:val="22"/>
                <w:szCs w:val="22"/>
              </w:rPr>
              <w:t>Evaluation of CT and Bridgend models and lessons learned to inform alignment and sustainability of  future services      Development of financial sustainability plan</w:t>
            </w:r>
          </w:p>
        </w:tc>
        <w:tc>
          <w:tcPr>
            <w:tcW w:w="1843" w:type="dxa"/>
          </w:tcPr>
          <w:p w14:paraId="793FD0B4" w14:textId="77777777" w:rsidR="009A1D3B" w:rsidRPr="00E0159C" w:rsidRDefault="009A1D3B" w:rsidP="00E02C36">
            <w:pPr>
              <w:rPr>
                <w:rFonts w:asciiTheme="minorHAnsi" w:hAnsiTheme="minorHAnsi"/>
                <w:bCs/>
                <w:sz w:val="22"/>
                <w:szCs w:val="22"/>
              </w:rPr>
            </w:pPr>
            <w:r w:rsidRPr="00E0159C">
              <w:rPr>
                <w:rFonts w:asciiTheme="minorHAnsi" w:hAnsiTheme="minorHAnsi"/>
                <w:bCs/>
                <w:sz w:val="22"/>
                <w:szCs w:val="22"/>
              </w:rPr>
              <w:t>Sustaining service following end of WG funding and in light of evaluation</w:t>
            </w:r>
          </w:p>
        </w:tc>
        <w:tc>
          <w:tcPr>
            <w:tcW w:w="1701" w:type="dxa"/>
          </w:tcPr>
          <w:p w14:paraId="20368EEA" w14:textId="7260ABAA" w:rsidR="009A1D3B" w:rsidRPr="00E0159C" w:rsidRDefault="009A1D3B" w:rsidP="00E02C36">
            <w:pPr>
              <w:rPr>
                <w:rFonts w:asciiTheme="minorHAnsi" w:hAnsiTheme="minorHAnsi"/>
                <w:bCs/>
                <w:sz w:val="22"/>
                <w:szCs w:val="22"/>
              </w:rPr>
            </w:pPr>
            <w:r w:rsidRPr="00E0159C">
              <w:rPr>
                <w:rFonts w:asciiTheme="minorHAnsi" w:hAnsiTheme="minorHAnsi"/>
                <w:bCs/>
                <w:sz w:val="22"/>
                <w:szCs w:val="22"/>
              </w:rPr>
              <w:t xml:space="preserve">Sustaining service </w:t>
            </w:r>
            <w:r>
              <w:rPr>
                <w:rFonts w:asciiTheme="minorHAnsi" w:hAnsiTheme="minorHAnsi"/>
                <w:bCs/>
                <w:sz w:val="22"/>
                <w:szCs w:val="22"/>
              </w:rPr>
              <w:t>and ongoing</w:t>
            </w:r>
            <w:r w:rsidRPr="00E0159C">
              <w:rPr>
                <w:rFonts w:asciiTheme="minorHAnsi" w:hAnsiTheme="minorHAnsi"/>
                <w:bCs/>
                <w:sz w:val="22"/>
                <w:szCs w:val="22"/>
              </w:rPr>
              <w:t xml:space="preserve"> evaluation</w:t>
            </w:r>
          </w:p>
        </w:tc>
      </w:tr>
      <w:tr w:rsidR="009A1D3B" w14:paraId="523EDF35" w14:textId="77777777" w:rsidTr="00E334A5">
        <w:tc>
          <w:tcPr>
            <w:tcW w:w="6516" w:type="dxa"/>
          </w:tcPr>
          <w:p w14:paraId="1A30EB33" w14:textId="77777777" w:rsidR="009A1D3B" w:rsidRPr="00AE4EBC" w:rsidRDefault="009A1D3B" w:rsidP="00E02C36">
            <w:pPr>
              <w:rPr>
                <w:b/>
                <w:sz w:val="22"/>
                <w:szCs w:val="22"/>
              </w:rPr>
            </w:pPr>
            <w:r>
              <w:rPr>
                <w:b/>
                <w:sz w:val="22"/>
                <w:szCs w:val="22"/>
              </w:rPr>
              <w:t>IM&amp;T</w:t>
            </w:r>
          </w:p>
          <w:p w14:paraId="7A6B2764" w14:textId="2ED9FA07" w:rsidR="009A1D3B" w:rsidRPr="001B299F" w:rsidRDefault="009A1D3B" w:rsidP="00E02C36">
            <w:pPr>
              <w:rPr>
                <w:sz w:val="22"/>
                <w:szCs w:val="22"/>
              </w:rPr>
            </w:pPr>
            <w:r w:rsidRPr="001B299F">
              <w:rPr>
                <w:sz w:val="22"/>
                <w:szCs w:val="22"/>
              </w:rPr>
              <w:t>Q1 – appointment to  dedicated IM&amp;T post</w:t>
            </w:r>
          </w:p>
          <w:p w14:paraId="7077C8F1" w14:textId="231FB656" w:rsidR="009A1D3B" w:rsidRPr="0098336B" w:rsidRDefault="009A1D3B" w:rsidP="00E02C36">
            <w:pPr>
              <w:rPr>
                <w:sz w:val="22"/>
                <w:szCs w:val="22"/>
              </w:rPr>
            </w:pPr>
            <w:r w:rsidRPr="001B299F">
              <w:rPr>
                <w:sz w:val="22"/>
                <w:szCs w:val="22"/>
              </w:rPr>
              <w:t>Q4- Evaluation of post and impact on data evaluation and reporting</w:t>
            </w:r>
          </w:p>
        </w:tc>
        <w:tc>
          <w:tcPr>
            <w:tcW w:w="1843" w:type="dxa"/>
          </w:tcPr>
          <w:p w14:paraId="3E64B4AB" w14:textId="77777777" w:rsidR="009A1D3B" w:rsidRPr="001B299F" w:rsidRDefault="009A1D3B" w:rsidP="00E02C36">
            <w:pPr>
              <w:rPr>
                <w:rFonts w:asciiTheme="minorHAnsi" w:hAnsiTheme="minorHAnsi"/>
                <w:bCs/>
                <w:sz w:val="22"/>
                <w:szCs w:val="22"/>
              </w:rPr>
            </w:pPr>
            <w:r w:rsidRPr="001B299F">
              <w:rPr>
                <w:rFonts w:asciiTheme="minorHAnsi" w:hAnsiTheme="minorHAnsi"/>
                <w:bCs/>
                <w:sz w:val="22"/>
                <w:szCs w:val="22"/>
              </w:rPr>
              <w:t>Continue to develop new areas to monitor and report</w:t>
            </w:r>
          </w:p>
        </w:tc>
        <w:tc>
          <w:tcPr>
            <w:tcW w:w="1701" w:type="dxa"/>
          </w:tcPr>
          <w:p w14:paraId="3873EC59" w14:textId="268BC47C" w:rsidR="009A1D3B" w:rsidRPr="001B299F" w:rsidRDefault="009A1D3B" w:rsidP="00E02C36">
            <w:pPr>
              <w:rPr>
                <w:rFonts w:asciiTheme="minorHAnsi" w:hAnsiTheme="minorHAnsi"/>
                <w:bCs/>
                <w:sz w:val="22"/>
                <w:szCs w:val="22"/>
              </w:rPr>
            </w:pPr>
            <w:r w:rsidRPr="001B299F">
              <w:rPr>
                <w:rFonts w:asciiTheme="minorHAnsi" w:hAnsiTheme="minorHAnsi"/>
                <w:bCs/>
                <w:sz w:val="22"/>
                <w:szCs w:val="22"/>
              </w:rPr>
              <w:t>Continue to develop new areas to monitor and report</w:t>
            </w:r>
          </w:p>
        </w:tc>
      </w:tr>
      <w:tr w:rsidR="009A1D3B" w14:paraId="03128691" w14:textId="77777777" w:rsidTr="00E334A5">
        <w:tc>
          <w:tcPr>
            <w:tcW w:w="6516" w:type="dxa"/>
          </w:tcPr>
          <w:p w14:paraId="5105DC07" w14:textId="77777777" w:rsidR="009A1D3B" w:rsidRPr="00AE4EBC" w:rsidRDefault="009A1D3B" w:rsidP="00E02C36">
            <w:pPr>
              <w:rPr>
                <w:rFonts w:asciiTheme="minorHAnsi" w:hAnsiTheme="minorHAnsi"/>
                <w:b/>
                <w:bCs/>
                <w:sz w:val="22"/>
                <w:szCs w:val="22"/>
              </w:rPr>
            </w:pPr>
            <w:r>
              <w:rPr>
                <w:rFonts w:asciiTheme="minorHAnsi" w:hAnsiTheme="minorHAnsi"/>
                <w:b/>
                <w:bCs/>
                <w:sz w:val="22"/>
                <w:szCs w:val="22"/>
              </w:rPr>
              <w:t>Oral Health – Q2</w:t>
            </w:r>
          </w:p>
          <w:p w14:paraId="68D6E855" w14:textId="77777777" w:rsidR="009A1D3B" w:rsidRPr="00AE4EBC" w:rsidRDefault="009A1D3B" w:rsidP="003B1653">
            <w:pPr>
              <w:pStyle w:val="ListParagraph"/>
              <w:numPr>
                <w:ilvl w:val="0"/>
                <w:numId w:val="73"/>
              </w:numPr>
              <w:ind w:left="313"/>
              <w:rPr>
                <w:rFonts w:asciiTheme="minorHAnsi" w:hAnsiTheme="minorHAnsi"/>
                <w:bCs/>
                <w:sz w:val="22"/>
                <w:szCs w:val="22"/>
              </w:rPr>
            </w:pPr>
            <w:r w:rsidRPr="00AE4EBC">
              <w:rPr>
                <w:rFonts w:asciiTheme="minorHAnsi" w:hAnsiTheme="minorHAnsi"/>
                <w:bCs/>
                <w:sz w:val="22"/>
                <w:szCs w:val="22"/>
              </w:rPr>
              <w:t xml:space="preserve">CDS </w:t>
            </w:r>
            <w:proofErr w:type="gramStart"/>
            <w:r w:rsidRPr="00AE4EBC">
              <w:rPr>
                <w:rFonts w:asciiTheme="minorHAnsi" w:hAnsiTheme="minorHAnsi"/>
                <w:bCs/>
                <w:sz w:val="22"/>
                <w:szCs w:val="22"/>
              </w:rPr>
              <w:t>-  Implement</w:t>
            </w:r>
            <w:proofErr w:type="gramEnd"/>
            <w:r w:rsidRPr="00AE4EBC">
              <w:rPr>
                <w:rFonts w:asciiTheme="minorHAnsi" w:hAnsiTheme="minorHAnsi"/>
                <w:bCs/>
                <w:sz w:val="22"/>
                <w:szCs w:val="22"/>
              </w:rPr>
              <w:t xml:space="preserve"> recommendations from review.</w:t>
            </w:r>
          </w:p>
          <w:p w14:paraId="179C0562" w14:textId="77777777" w:rsidR="009A1D3B" w:rsidRPr="00AE4EBC" w:rsidRDefault="009A1D3B" w:rsidP="003B1653">
            <w:pPr>
              <w:pStyle w:val="ListParagraph"/>
              <w:numPr>
                <w:ilvl w:val="0"/>
                <w:numId w:val="73"/>
              </w:numPr>
              <w:ind w:left="313"/>
              <w:rPr>
                <w:rFonts w:asciiTheme="minorHAnsi" w:hAnsiTheme="minorHAnsi"/>
                <w:bCs/>
                <w:sz w:val="22"/>
                <w:szCs w:val="22"/>
              </w:rPr>
            </w:pPr>
            <w:r w:rsidRPr="00AE4EBC">
              <w:rPr>
                <w:rFonts w:asciiTheme="minorHAnsi" w:hAnsiTheme="minorHAnsi"/>
                <w:bCs/>
                <w:sz w:val="22"/>
                <w:szCs w:val="22"/>
              </w:rPr>
              <w:t xml:space="preserve">Access - look to reduce contracts which are not meeting contract value and redistribute where need is greatest  </w:t>
            </w:r>
          </w:p>
          <w:p w14:paraId="578747C8" w14:textId="77777777" w:rsidR="009A1D3B" w:rsidRPr="00AE4EBC" w:rsidRDefault="009A1D3B" w:rsidP="003B1653">
            <w:pPr>
              <w:pStyle w:val="ListParagraph"/>
              <w:numPr>
                <w:ilvl w:val="0"/>
                <w:numId w:val="73"/>
              </w:numPr>
              <w:ind w:left="313"/>
              <w:rPr>
                <w:rFonts w:asciiTheme="minorHAnsi" w:hAnsiTheme="minorHAnsi"/>
                <w:bCs/>
                <w:sz w:val="22"/>
                <w:szCs w:val="22"/>
              </w:rPr>
            </w:pPr>
            <w:r w:rsidRPr="00AE4EBC">
              <w:rPr>
                <w:rFonts w:asciiTheme="minorHAnsi" w:hAnsiTheme="minorHAnsi"/>
                <w:bCs/>
                <w:sz w:val="22"/>
                <w:szCs w:val="22"/>
              </w:rPr>
              <w:t xml:space="preserve">Dental contract reform - continue to roll out    </w:t>
            </w:r>
          </w:p>
          <w:p w14:paraId="7BD9B2EC" w14:textId="77777777" w:rsidR="009A1D3B" w:rsidRPr="00AE4EBC" w:rsidRDefault="009A1D3B" w:rsidP="003B1653">
            <w:pPr>
              <w:pStyle w:val="ListParagraph"/>
              <w:numPr>
                <w:ilvl w:val="0"/>
                <w:numId w:val="73"/>
              </w:numPr>
              <w:ind w:left="313"/>
              <w:rPr>
                <w:rFonts w:asciiTheme="minorHAnsi" w:hAnsiTheme="minorHAnsi"/>
                <w:bCs/>
                <w:sz w:val="22"/>
                <w:szCs w:val="22"/>
              </w:rPr>
            </w:pPr>
            <w:r w:rsidRPr="00AE4EBC">
              <w:rPr>
                <w:rFonts w:asciiTheme="minorHAnsi" w:hAnsiTheme="minorHAnsi"/>
                <w:bCs/>
                <w:sz w:val="22"/>
                <w:szCs w:val="22"/>
              </w:rPr>
              <w:t xml:space="preserve">Baby Teeth Do Matter implement roll out to Bridgend Localities     </w:t>
            </w:r>
          </w:p>
          <w:p w14:paraId="69B1FDD2" w14:textId="77777777" w:rsidR="009A1D3B" w:rsidRPr="00AE4EBC" w:rsidRDefault="009A1D3B" w:rsidP="003B1653">
            <w:pPr>
              <w:pStyle w:val="ListParagraph"/>
              <w:numPr>
                <w:ilvl w:val="0"/>
                <w:numId w:val="73"/>
              </w:numPr>
              <w:ind w:left="313"/>
              <w:rPr>
                <w:rFonts w:asciiTheme="minorHAnsi" w:hAnsiTheme="minorHAnsi"/>
                <w:bCs/>
                <w:sz w:val="22"/>
                <w:szCs w:val="22"/>
              </w:rPr>
            </w:pPr>
            <w:r w:rsidRPr="00AE4EBC">
              <w:rPr>
                <w:rFonts w:asciiTheme="minorHAnsi" w:hAnsiTheme="minorHAnsi"/>
                <w:bCs/>
                <w:sz w:val="22"/>
                <w:szCs w:val="22"/>
              </w:rPr>
              <w:t xml:space="preserve">Paediatric GA - assess demand and capacity within </w:t>
            </w:r>
            <w:proofErr w:type="gramStart"/>
            <w:r w:rsidRPr="00AE4EBC">
              <w:rPr>
                <w:rFonts w:asciiTheme="minorHAnsi" w:hAnsiTheme="minorHAnsi"/>
                <w:bCs/>
                <w:sz w:val="22"/>
                <w:szCs w:val="22"/>
              </w:rPr>
              <w:t>RGH  6</w:t>
            </w:r>
            <w:proofErr w:type="gramEnd"/>
            <w:r w:rsidRPr="00AE4EBC">
              <w:rPr>
                <w:rFonts w:asciiTheme="minorHAnsi" w:hAnsiTheme="minorHAnsi"/>
                <w:bCs/>
                <w:sz w:val="22"/>
                <w:szCs w:val="22"/>
              </w:rPr>
              <w:t xml:space="preserve">. Domiciliary Visits -  repatriate and deliver throughout  CTM   </w:t>
            </w:r>
          </w:p>
          <w:p w14:paraId="6C634551" w14:textId="77777777" w:rsidR="009A1D3B" w:rsidRPr="00AE4EBC" w:rsidRDefault="009A1D3B" w:rsidP="003B1653">
            <w:pPr>
              <w:pStyle w:val="ListParagraph"/>
              <w:numPr>
                <w:ilvl w:val="0"/>
                <w:numId w:val="73"/>
              </w:numPr>
              <w:ind w:left="313"/>
              <w:rPr>
                <w:bCs/>
              </w:rPr>
            </w:pPr>
            <w:r w:rsidRPr="00AE4EBC">
              <w:rPr>
                <w:rFonts w:asciiTheme="minorHAnsi" w:hAnsiTheme="minorHAnsi"/>
                <w:bCs/>
                <w:sz w:val="22"/>
                <w:szCs w:val="22"/>
              </w:rPr>
              <w:t>Repatriate MOS from Swansea Bay</w:t>
            </w:r>
          </w:p>
        </w:tc>
        <w:tc>
          <w:tcPr>
            <w:tcW w:w="1843" w:type="dxa"/>
          </w:tcPr>
          <w:p w14:paraId="37672113" w14:textId="77777777" w:rsidR="009A1D3B" w:rsidRPr="00AE4EBC" w:rsidRDefault="009A1D3B" w:rsidP="00E02C36">
            <w:pPr>
              <w:rPr>
                <w:rFonts w:asciiTheme="minorHAnsi" w:hAnsiTheme="minorHAnsi"/>
                <w:sz w:val="22"/>
                <w:szCs w:val="22"/>
              </w:rPr>
            </w:pPr>
            <w:r w:rsidRPr="00AE4EBC">
              <w:rPr>
                <w:rFonts w:asciiTheme="minorHAnsi" w:hAnsiTheme="minorHAnsi"/>
                <w:sz w:val="22"/>
                <w:szCs w:val="22"/>
              </w:rPr>
              <w:t xml:space="preserve">sustain service delivery and continual assessment  </w:t>
            </w:r>
          </w:p>
        </w:tc>
        <w:tc>
          <w:tcPr>
            <w:tcW w:w="1701" w:type="dxa"/>
          </w:tcPr>
          <w:p w14:paraId="0A6C9811" w14:textId="78100C6D" w:rsidR="009A1D3B" w:rsidRPr="00AE4EBC" w:rsidRDefault="009A1D3B" w:rsidP="00E02C36">
            <w:pPr>
              <w:rPr>
                <w:rFonts w:asciiTheme="minorHAnsi" w:hAnsiTheme="minorHAnsi"/>
                <w:sz w:val="22"/>
                <w:szCs w:val="22"/>
              </w:rPr>
            </w:pPr>
            <w:r w:rsidRPr="00AE4EBC">
              <w:rPr>
                <w:rFonts w:asciiTheme="minorHAnsi" w:hAnsiTheme="minorHAnsi"/>
                <w:sz w:val="22"/>
                <w:szCs w:val="22"/>
              </w:rPr>
              <w:t>sustain</w:t>
            </w:r>
            <w:r>
              <w:rPr>
                <w:rFonts w:asciiTheme="minorHAnsi" w:hAnsiTheme="minorHAnsi"/>
                <w:sz w:val="22"/>
                <w:szCs w:val="22"/>
              </w:rPr>
              <w:t xml:space="preserve"> service delivery and continual</w:t>
            </w:r>
            <w:r w:rsidRPr="00AE4EBC">
              <w:rPr>
                <w:rFonts w:asciiTheme="minorHAnsi" w:hAnsiTheme="minorHAnsi"/>
                <w:sz w:val="22"/>
                <w:szCs w:val="22"/>
              </w:rPr>
              <w:t xml:space="preserve"> assessment  </w:t>
            </w:r>
          </w:p>
        </w:tc>
      </w:tr>
      <w:tr w:rsidR="009A1D3B" w14:paraId="2A6E0B66" w14:textId="77777777" w:rsidTr="00E334A5">
        <w:tc>
          <w:tcPr>
            <w:tcW w:w="6516" w:type="dxa"/>
          </w:tcPr>
          <w:p w14:paraId="78C1199A" w14:textId="77777777" w:rsidR="009A1D3B" w:rsidRPr="00584BE2" w:rsidRDefault="009A1D3B" w:rsidP="00E02C36">
            <w:pPr>
              <w:rPr>
                <w:rFonts w:asciiTheme="minorHAnsi" w:hAnsiTheme="minorHAnsi"/>
                <w:b/>
                <w:bCs/>
                <w:sz w:val="22"/>
                <w:szCs w:val="22"/>
              </w:rPr>
            </w:pPr>
            <w:r w:rsidRPr="00584BE2">
              <w:rPr>
                <w:rFonts w:asciiTheme="minorHAnsi" w:hAnsiTheme="minorHAnsi"/>
                <w:b/>
                <w:bCs/>
                <w:sz w:val="22"/>
                <w:szCs w:val="22"/>
              </w:rPr>
              <w:t xml:space="preserve">Urgent Primary Care </w:t>
            </w:r>
            <w:r>
              <w:rPr>
                <w:rFonts w:asciiTheme="minorHAnsi" w:hAnsiTheme="minorHAnsi"/>
                <w:b/>
                <w:bCs/>
                <w:sz w:val="22"/>
                <w:szCs w:val="22"/>
              </w:rPr>
              <w:t>– Q1</w:t>
            </w:r>
          </w:p>
          <w:p w14:paraId="23001A3E" w14:textId="77777777" w:rsidR="009A1D3B" w:rsidRPr="00584BE2" w:rsidRDefault="009A1D3B" w:rsidP="003B1653">
            <w:pPr>
              <w:pStyle w:val="ListParagraph"/>
              <w:numPr>
                <w:ilvl w:val="0"/>
                <w:numId w:val="74"/>
              </w:numPr>
              <w:rPr>
                <w:rFonts w:asciiTheme="minorHAnsi" w:hAnsiTheme="minorHAnsi"/>
                <w:bCs/>
                <w:sz w:val="22"/>
                <w:szCs w:val="22"/>
              </w:rPr>
            </w:pPr>
            <w:r w:rsidRPr="00584BE2">
              <w:rPr>
                <w:rFonts w:asciiTheme="minorHAnsi" w:hAnsiTheme="minorHAnsi"/>
                <w:bCs/>
                <w:sz w:val="22"/>
                <w:szCs w:val="22"/>
              </w:rPr>
              <w:t xml:space="preserve">Nurse Practitioners working in PCCs. </w:t>
            </w:r>
          </w:p>
          <w:p w14:paraId="55FB794A" w14:textId="77777777" w:rsidR="009A1D3B" w:rsidRPr="00584BE2" w:rsidRDefault="009A1D3B" w:rsidP="003B1653">
            <w:pPr>
              <w:pStyle w:val="ListParagraph"/>
              <w:numPr>
                <w:ilvl w:val="0"/>
                <w:numId w:val="74"/>
              </w:numPr>
              <w:rPr>
                <w:rFonts w:asciiTheme="minorHAnsi" w:hAnsiTheme="minorHAnsi"/>
                <w:bCs/>
                <w:sz w:val="22"/>
                <w:szCs w:val="22"/>
              </w:rPr>
            </w:pPr>
            <w:r w:rsidRPr="00584BE2">
              <w:rPr>
                <w:rFonts w:asciiTheme="minorHAnsi" w:hAnsiTheme="minorHAnsi"/>
                <w:bCs/>
                <w:sz w:val="22"/>
                <w:szCs w:val="22"/>
              </w:rPr>
              <w:t xml:space="preserve">111 implementation     </w:t>
            </w:r>
          </w:p>
          <w:p w14:paraId="2B68F1A3" w14:textId="77777777" w:rsidR="009A1D3B" w:rsidRPr="00584BE2" w:rsidRDefault="009A1D3B" w:rsidP="003B1653">
            <w:pPr>
              <w:pStyle w:val="ListParagraph"/>
              <w:numPr>
                <w:ilvl w:val="0"/>
                <w:numId w:val="74"/>
              </w:numPr>
              <w:rPr>
                <w:bCs/>
              </w:rPr>
            </w:pPr>
            <w:r w:rsidRPr="00584BE2">
              <w:rPr>
                <w:rFonts w:asciiTheme="minorHAnsi" w:hAnsiTheme="minorHAnsi"/>
                <w:bCs/>
                <w:sz w:val="22"/>
                <w:szCs w:val="22"/>
              </w:rPr>
              <w:t>Commence contract with GP consortium</w:t>
            </w:r>
          </w:p>
        </w:tc>
        <w:tc>
          <w:tcPr>
            <w:tcW w:w="1843" w:type="dxa"/>
          </w:tcPr>
          <w:p w14:paraId="740AC750" w14:textId="77777777" w:rsidR="009A1D3B" w:rsidRPr="007C2681" w:rsidRDefault="009A1D3B" w:rsidP="00E02C36">
            <w:pPr>
              <w:rPr>
                <w:sz w:val="22"/>
                <w:szCs w:val="22"/>
              </w:rPr>
            </w:pPr>
            <w:r w:rsidRPr="007C2681">
              <w:rPr>
                <w:sz w:val="22"/>
                <w:szCs w:val="22"/>
              </w:rPr>
              <w:t>Review, audit and build on progress.  Contract monitoring of new contract</w:t>
            </w:r>
          </w:p>
          <w:p w14:paraId="5C8D44BE" w14:textId="77777777" w:rsidR="009A1D3B" w:rsidRPr="007C2681" w:rsidRDefault="009A1D3B" w:rsidP="00E02C36">
            <w:pPr>
              <w:rPr>
                <w:bCs/>
                <w:sz w:val="22"/>
                <w:szCs w:val="22"/>
              </w:rPr>
            </w:pPr>
          </w:p>
        </w:tc>
        <w:tc>
          <w:tcPr>
            <w:tcW w:w="1701" w:type="dxa"/>
          </w:tcPr>
          <w:p w14:paraId="4EEB0D67" w14:textId="295FF6E9" w:rsidR="009A1D3B" w:rsidRPr="0098336B" w:rsidRDefault="009A1D3B" w:rsidP="00E02C36">
            <w:pPr>
              <w:rPr>
                <w:sz w:val="22"/>
                <w:szCs w:val="22"/>
              </w:rPr>
            </w:pPr>
            <w:r w:rsidRPr="007C2681">
              <w:rPr>
                <w:sz w:val="22"/>
                <w:szCs w:val="22"/>
              </w:rPr>
              <w:t>Review, audit and build on progress.  Contract monitoring of new contract</w:t>
            </w:r>
          </w:p>
        </w:tc>
      </w:tr>
      <w:tr w:rsidR="009A1D3B" w14:paraId="4A4210E7" w14:textId="77777777" w:rsidTr="00E334A5">
        <w:tc>
          <w:tcPr>
            <w:tcW w:w="6516" w:type="dxa"/>
          </w:tcPr>
          <w:p w14:paraId="5AB81FDF" w14:textId="77777777" w:rsidR="009A1D3B" w:rsidRPr="00F35D50" w:rsidRDefault="009A1D3B" w:rsidP="00E02C36">
            <w:pPr>
              <w:rPr>
                <w:rFonts w:asciiTheme="minorHAnsi" w:hAnsiTheme="minorHAnsi"/>
                <w:b/>
                <w:sz w:val="22"/>
                <w:szCs w:val="22"/>
              </w:rPr>
            </w:pPr>
            <w:r w:rsidRPr="00F35D50">
              <w:rPr>
                <w:rFonts w:asciiTheme="minorHAnsi" w:hAnsiTheme="minorHAnsi"/>
                <w:b/>
                <w:sz w:val="22"/>
                <w:szCs w:val="22"/>
              </w:rPr>
              <w:t xml:space="preserve">Eye Health and Optometry </w:t>
            </w:r>
          </w:p>
          <w:p w14:paraId="64AB835A" w14:textId="77777777" w:rsidR="009A1D3B" w:rsidRPr="00F35D50" w:rsidRDefault="009A1D3B" w:rsidP="00E02C36">
            <w:pPr>
              <w:rPr>
                <w:rFonts w:asciiTheme="minorHAnsi" w:hAnsiTheme="minorHAnsi"/>
                <w:sz w:val="22"/>
                <w:szCs w:val="22"/>
              </w:rPr>
            </w:pPr>
            <w:r w:rsidRPr="00F35D50">
              <w:rPr>
                <w:rFonts w:asciiTheme="minorHAnsi" w:hAnsiTheme="minorHAnsi"/>
                <w:sz w:val="22"/>
                <w:szCs w:val="22"/>
              </w:rPr>
              <w:t xml:space="preserve">Q1 </w:t>
            </w:r>
          </w:p>
          <w:p w14:paraId="22DB0FA1" w14:textId="77777777" w:rsidR="009A1D3B" w:rsidRPr="00F35D50" w:rsidRDefault="009A1D3B" w:rsidP="003B1653">
            <w:pPr>
              <w:pStyle w:val="ListParagraph"/>
              <w:numPr>
                <w:ilvl w:val="0"/>
                <w:numId w:val="75"/>
              </w:numPr>
              <w:ind w:left="313"/>
              <w:rPr>
                <w:rFonts w:asciiTheme="minorHAnsi" w:hAnsiTheme="minorHAnsi"/>
                <w:sz w:val="22"/>
                <w:szCs w:val="22"/>
              </w:rPr>
            </w:pPr>
            <w:r w:rsidRPr="00F35D50">
              <w:rPr>
                <w:rFonts w:asciiTheme="minorHAnsi" w:hAnsiTheme="minorHAnsi"/>
                <w:sz w:val="22"/>
                <w:szCs w:val="22"/>
              </w:rPr>
              <w:t xml:space="preserve">continue to promote EHEW </w:t>
            </w:r>
          </w:p>
          <w:p w14:paraId="48F35799" w14:textId="77777777" w:rsidR="009A1D3B" w:rsidRPr="00F35D50" w:rsidRDefault="009A1D3B" w:rsidP="003B1653">
            <w:pPr>
              <w:pStyle w:val="ListParagraph"/>
              <w:numPr>
                <w:ilvl w:val="0"/>
                <w:numId w:val="75"/>
              </w:numPr>
              <w:ind w:left="313"/>
              <w:rPr>
                <w:rFonts w:asciiTheme="minorHAnsi" w:hAnsiTheme="minorHAnsi"/>
                <w:sz w:val="22"/>
                <w:szCs w:val="22"/>
              </w:rPr>
            </w:pPr>
            <w:r w:rsidRPr="00F35D50">
              <w:rPr>
                <w:rFonts w:asciiTheme="minorHAnsi" w:hAnsiTheme="minorHAnsi"/>
                <w:sz w:val="22"/>
                <w:szCs w:val="22"/>
              </w:rPr>
              <w:t>If funding agreed commence glaucoma service within primary care</w:t>
            </w:r>
          </w:p>
          <w:p w14:paraId="1E947389" w14:textId="259A14E1" w:rsidR="009A1D3B" w:rsidRPr="0098336B" w:rsidRDefault="009A1D3B" w:rsidP="00E02C36">
            <w:pPr>
              <w:rPr>
                <w:rFonts w:asciiTheme="minorHAnsi" w:hAnsiTheme="minorHAnsi"/>
                <w:sz w:val="22"/>
                <w:szCs w:val="22"/>
              </w:rPr>
            </w:pPr>
            <w:r w:rsidRPr="00F35D50">
              <w:rPr>
                <w:rFonts w:asciiTheme="minorHAnsi" w:hAnsiTheme="minorHAnsi"/>
                <w:bCs/>
                <w:sz w:val="22"/>
                <w:szCs w:val="22"/>
              </w:rPr>
              <w:t xml:space="preserve">Q4 </w:t>
            </w:r>
            <w:r w:rsidRPr="00F35D50">
              <w:rPr>
                <w:rFonts w:asciiTheme="minorHAnsi" w:hAnsiTheme="minorHAnsi"/>
                <w:b/>
                <w:bCs/>
                <w:sz w:val="22"/>
                <w:szCs w:val="22"/>
              </w:rPr>
              <w:t xml:space="preserve">- </w:t>
            </w:r>
            <w:r w:rsidRPr="00F35D50">
              <w:rPr>
                <w:rFonts w:asciiTheme="minorHAnsi" w:hAnsiTheme="minorHAnsi"/>
                <w:sz w:val="22"/>
                <w:szCs w:val="22"/>
              </w:rPr>
              <w:t>monitor progress and impact on secondary care waiting lists and outpatient care activity</w:t>
            </w:r>
          </w:p>
        </w:tc>
        <w:tc>
          <w:tcPr>
            <w:tcW w:w="1843" w:type="dxa"/>
          </w:tcPr>
          <w:p w14:paraId="40212370" w14:textId="77777777" w:rsidR="009A1D3B" w:rsidRPr="00F35D50" w:rsidRDefault="009A1D3B" w:rsidP="00E02C36">
            <w:pPr>
              <w:rPr>
                <w:sz w:val="22"/>
                <w:szCs w:val="22"/>
              </w:rPr>
            </w:pPr>
            <w:r w:rsidRPr="00F35D50">
              <w:rPr>
                <w:sz w:val="22"/>
                <w:szCs w:val="22"/>
              </w:rPr>
              <w:t>continue to delivery whilst monitoring progress and impact on secondary care</w:t>
            </w:r>
          </w:p>
        </w:tc>
        <w:tc>
          <w:tcPr>
            <w:tcW w:w="1701" w:type="dxa"/>
          </w:tcPr>
          <w:p w14:paraId="52596344" w14:textId="349EE5AF" w:rsidR="009A1D3B" w:rsidRPr="00F35D50" w:rsidRDefault="009A1D3B" w:rsidP="00E02C36">
            <w:pPr>
              <w:rPr>
                <w:sz w:val="22"/>
                <w:szCs w:val="22"/>
              </w:rPr>
            </w:pPr>
            <w:r w:rsidRPr="00F35D50">
              <w:rPr>
                <w:sz w:val="22"/>
                <w:szCs w:val="22"/>
              </w:rPr>
              <w:t>continue to delivery whilst monitoring progress and impact on secondary care</w:t>
            </w:r>
          </w:p>
        </w:tc>
      </w:tr>
      <w:tr w:rsidR="009A1D3B" w14:paraId="73E1AC0B" w14:textId="77777777" w:rsidTr="00E334A5">
        <w:tc>
          <w:tcPr>
            <w:tcW w:w="6516" w:type="dxa"/>
          </w:tcPr>
          <w:p w14:paraId="638F48A7" w14:textId="77777777" w:rsidR="009A1D3B" w:rsidRDefault="009A1D3B" w:rsidP="00E02C36">
            <w:pPr>
              <w:rPr>
                <w:rFonts w:asciiTheme="minorHAnsi" w:hAnsiTheme="minorHAnsi"/>
                <w:b/>
                <w:sz w:val="22"/>
                <w:szCs w:val="22"/>
              </w:rPr>
            </w:pPr>
            <w:r>
              <w:rPr>
                <w:rFonts w:asciiTheme="minorHAnsi" w:hAnsiTheme="minorHAnsi"/>
                <w:b/>
                <w:sz w:val="22"/>
                <w:szCs w:val="22"/>
              </w:rPr>
              <w:t>Neighbourhood Nursing</w:t>
            </w:r>
          </w:p>
          <w:p w14:paraId="0AE32D9A" w14:textId="77777777" w:rsidR="009A1D3B" w:rsidRDefault="009A1D3B" w:rsidP="00E02C36">
            <w:pPr>
              <w:rPr>
                <w:rFonts w:asciiTheme="minorHAnsi" w:hAnsiTheme="minorHAnsi"/>
                <w:sz w:val="22"/>
                <w:szCs w:val="22"/>
              </w:rPr>
            </w:pPr>
            <w:r w:rsidRPr="00EA46BE">
              <w:rPr>
                <w:rFonts w:asciiTheme="minorHAnsi" w:hAnsiTheme="minorHAnsi"/>
                <w:sz w:val="22"/>
                <w:szCs w:val="22"/>
              </w:rPr>
              <w:t>Q1</w:t>
            </w:r>
            <w:r>
              <w:rPr>
                <w:rFonts w:asciiTheme="minorHAnsi" w:hAnsiTheme="minorHAnsi"/>
                <w:sz w:val="22"/>
                <w:szCs w:val="22"/>
              </w:rPr>
              <w:t xml:space="preserve"> - </w:t>
            </w:r>
            <w:r w:rsidRPr="00EA46BE">
              <w:rPr>
                <w:rFonts w:asciiTheme="minorHAnsi" w:hAnsiTheme="minorHAnsi"/>
                <w:sz w:val="22"/>
                <w:szCs w:val="22"/>
              </w:rPr>
              <w:t>Secure funding through IMTP and scope plan for phased implementation</w:t>
            </w:r>
          </w:p>
          <w:p w14:paraId="485914E2" w14:textId="77777777" w:rsidR="009A1D3B" w:rsidRPr="00EA46BE" w:rsidRDefault="009A1D3B" w:rsidP="00E02C36">
            <w:pPr>
              <w:rPr>
                <w:rFonts w:asciiTheme="minorHAnsi" w:hAnsiTheme="minorHAnsi"/>
                <w:sz w:val="22"/>
                <w:szCs w:val="22"/>
              </w:rPr>
            </w:pPr>
            <w:r>
              <w:rPr>
                <w:rFonts w:asciiTheme="minorHAnsi" w:hAnsiTheme="minorHAnsi"/>
                <w:sz w:val="22"/>
                <w:szCs w:val="22"/>
              </w:rPr>
              <w:t>Q2 – if funding agreed, commence planned roll out</w:t>
            </w:r>
          </w:p>
        </w:tc>
        <w:tc>
          <w:tcPr>
            <w:tcW w:w="1843" w:type="dxa"/>
          </w:tcPr>
          <w:p w14:paraId="1C82F4D3" w14:textId="77777777" w:rsidR="009A1D3B" w:rsidRPr="00EA46BE" w:rsidRDefault="009A1D3B" w:rsidP="00E02C36">
            <w:pPr>
              <w:rPr>
                <w:sz w:val="22"/>
                <w:szCs w:val="22"/>
              </w:rPr>
            </w:pPr>
            <w:r w:rsidRPr="00EA46BE">
              <w:rPr>
                <w:sz w:val="22"/>
                <w:szCs w:val="22"/>
              </w:rPr>
              <w:t>Review and consider other areas</w:t>
            </w:r>
          </w:p>
          <w:p w14:paraId="66F70A82" w14:textId="77777777" w:rsidR="009A1D3B" w:rsidRPr="00F35D50" w:rsidRDefault="009A1D3B" w:rsidP="00E02C36"/>
        </w:tc>
        <w:tc>
          <w:tcPr>
            <w:tcW w:w="1701" w:type="dxa"/>
          </w:tcPr>
          <w:p w14:paraId="2E5AFE7C" w14:textId="06AC4A3A" w:rsidR="009A1D3B" w:rsidRPr="00F35D50" w:rsidRDefault="009A1D3B" w:rsidP="00E02C36"/>
        </w:tc>
      </w:tr>
      <w:tr w:rsidR="009A1D3B" w14:paraId="686436F7" w14:textId="77777777" w:rsidTr="00E334A5">
        <w:tc>
          <w:tcPr>
            <w:tcW w:w="6516" w:type="dxa"/>
          </w:tcPr>
          <w:p w14:paraId="33920966" w14:textId="77777777" w:rsidR="009A1D3B" w:rsidRPr="00B55592" w:rsidRDefault="009A1D3B" w:rsidP="00E02C36">
            <w:pPr>
              <w:rPr>
                <w:rFonts w:asciiTheme="minorHAnsi" w:hAnsiTheme="minorHAnsi"/>
                <w:b/>
                <w:sz w:val="22"/>
                <w:szCs w:val="22"/>
              </w:rPr>
            </w:pPr>
            <w:r w:rsidRPr="00B55592">
              <w:rPr>
                <w:rFonts w:asciiTheme="minorHAnsi" w:hAnsiTheme="minorHAnsi"/>
                <w:b/>
                <w:sz w:val="22"/>
                <w:szCs w:val="22"/>
              </w:rPr>
              <w:t>Community Hospitals</w:t>
            </w:r>
          </w:p>
          <w:p w14:paraId="047F5B03" w14:textId="77777777" w:rsidR="009A1D3B" w:rsidRDefault="009A1D3B" w:rsidP="00E02C36">
            <w:pPr>
              <w:rPr>
                <w:rFonts w:asciiTheme="minorHAnsi" w:hAnsiTheme="minorHAnsi"/>
                <w:b/>
                <w:sz w:val="22"/>
                <w:szCs w:val="22"/>
              </w:rPr>
            </w:pPr>
            <w:r w:rsidRPr="00B55592">
              <w:rPr>
                <w:rFonts w:asciiTheme="minorHAnsi" w:hAnsiTheme="minorHAnsi"/>
                <w:sz w:val="22"/>
                <w:szCs w:val="22"/>
              </w:rPr>
              <w:t>Q1</w:t>
            </w:r>
            <w:r w:rsidRPr="00B55592">
              <w:rPr>
                <w:rFonts w:asciiTheme="minorHAnsi" w:hAnsiTheme="minorHAnsi"/>
                <w:b/>
                <w:sz w:val="22"/>
                <w:szCs w:val="22"/>
              </w:rPr>
              <w:t xml:space="preserve"> </w:t>
            </w:r>
          </w:p>
          <w:p w14:paraId="24D3241C" w14:textId="77777777" w:rsidR="009A1D3B" w:rsidRPr="00B55592" w:rsidRDefault="009A1D3B" w:rsidP="003B1653">
            <w:pPr>
              <w:pStyle w:val="ListParagraph"/>
              <w:numPr>
                <w:ilvl w:val="0"/>
                <w:numId w:val="76"/>
              </w:numPr>
              <w:ind w:left="360"/>
              <w:rPr>
                <w:rFonts w:asciiTheme="minorHAnsi" w:hAnsiTheme="minorHAnsi"/>
                <w:sz w:val="22"/>
                <w:szCs w:val="22"/>
              </w:rPr>
            </w:pPr>
            <w:r w:rsidRPr="00B55592">
              <w:rPr>
                <w:rFonts w:asciiTheme="minorHAnsi" w:hAnsiTheme="minorHAnsi"/>
                <w:sz w:val="22"/>
                <w:szCs w:val="22"/>
              </w:rPr>
              <w:t>Review flow process</w:t>
            </w:r>
          </w:p>
          <w:p w14:paraId="531D0B7B" w14:textId="77777777" w:rsidR="009A1D3B" w:rsidRPr="00B55592" w:rsidRDefault="009A1D3B" w:rsidP="003B1653">
            <w:pPr>
              <w:pStyle w:val="ListParagraph"/>
              <w:numPr>
                <w:ilvl w:val="0"/>
                <w:numId w:val="76"/>
              </w:numPr>
              <w:ind w:left="360"/>
              <w:rPr>
                <w:rFonts w:asciiTheme="minorHAnsi" w:hAnsiTheme="minorHAnsi"/>
                <w:sz w:val="22"/>
                <w:szCs w:val="22"/>
              </w:rPr>
            </w:pPr>
            <w:r w:rsidRPr="00B55592">
              <w:rPr>
                <w:rFonts w:asciiTheme="minorHAnsi" w:hAnsiTheme="minorHAnsi"/>
                <w:sz w:val="22"/>
                <w:szCs w:val="22"/>
              </w:rPr>
              <w:t xml:space="preserve">Commence planning for dementia shared care </w:t>
            </w:r>
            <w:r>
              <w:rPr>
                <w:rFonts w:asciiTheme="minorHAnsi" w:hAnsiTheme="minorHAnsi"/>
                <w:sz w:val="22"/>
                <w:szCs w:val="22"/>
              </w:rPr>
              <w:t>if</w:t>
            </w:r>
            <w:r w:rsidRPr="00B55592">
              <w:rPr>
                <w:rFonts w:asciiTheme="minorHAnsi" w:hAnsiTheme="minorHAnsi"/>
                <w:sz w:val="22"/>
                <w:szCs w:val="22"/>
              </w:rPr>
              <w:t xml:space="preserve"> funding agreed </w:t>
            </w:r>
          </w:p>
          <w:p w14:paraId="1C4E4833" w14:textId="77777777" w:rsidR="009A1D3B" w:rsidRPr="00B55592" w:rsidRDefault="009A1D3B" w:rsidP="003B1653">
            <w:pPr>
              <w:pStyle w:val="ListParagraph"/>
              <w:numPr>
                <w:ilvl w:val="0"/>
                <w:numId w:val="76"/>
              </w:numPr>
              <w:ind w:left="360"/>
              <w:rPr>
                <w:rFonts w:asciiTheme="minorHAnsi" w:hAnsiTheme="minorHAnsi"/>
                <w:sz w:val="22"/>
                <w:szCs w:val="22"/>
              </w:rPr>
            </w:pPr>
            <w:r w:rsidRPr="00B55592">
              <w:rPr>
                <w:rFonts w:asciiTheme="minorHAnsi" w:hAnsiTheme="minorHAnsi"/>
                <w:sz w:val="22"/>
                <w:szCs w:val="22"/>
              </w:rPr>
              <w:t>Commence review of stroke pathway</w:t>
            </w:r>
          </w:p>
          <w:p w14:paraId="02349031" w14:textId="77777777" w:rsidR="009A1D3B" w:rsidRPr="00B55592" w:rsidRDefault="009A1D3B" w:rsidP="00E02C36">
            <w:pPr>
              <w:rPr>
                <w:rFonts w:asciiTheme="minorHAnsi" w:hAnsiTheme="minorHAnsi"/>
                <w:sz w:val="22"/>
                <w:szCs w:val="22"/>
              </w:rPr>
            </w:pPr>
            <w:r w:rsidRPr="00B55592">
              <w:rPr>
                <w:rFonts w:asciiTheme="minorHAnsi" w:hAnsiTheme="minorHAnsi"/>
                <w:sz w:val="22"/>
                <w:szCs w:val="22"/>
              </w:rPr>
              <w:t xml:space="preserve">Q4 </w:t>
            </w:r>
          </w:p>
          <w:p w14:paraId="358C5C1A" w14:textId="77777777" w:rsidR="009A1D3B" w:rsidRPr="00B55592" w:rsidRDefault="009A1D3B" w:rsidP="003B1653">
            <w:pPr>
              <w:pStyle w:val="ListParagraph"/>
              <w:numPr>
                <w:ilvl w:val="0"/>
                <w:numId w:val="77"/>
              </w:numPr>
              <w:ind w:left="405"/>
              <w:rPr>
                <w:rFonts w:asciiTheme="minorHAnsi" w:hAnsiTheme="minorHAnsi"/>
                <w:sz w:val="22"/>
                <w:szCs w:val="22"/>
              </w:rPr>
            </w:pPr>
            <w:r w:rsidRPr="00B55592">
              <w:rPr>
                <w:rFonts w:asciiTheme="minorHAnsi" w:hAnsiTheme="minorHAnsi"/>
                <w:sz w:val="22"/>
                <w:szCs w:val="22"/>
              </w:rPr>
              <w:t xml:space="preserve">Evaluate changes to flow process            </w:t>
            </w:r>
          </w:p>
          <w:p w14:paraId="64B6230B" w14:textId="77777777" w:rsidR="009A1D3B" w:rsidRPr="00B55592" w:rsidRDefault="009A1D3B" w:rsidP="003B1653">
            <w:pPr>
              <w:pStyle w:val="ListParagraph"/>
              <w:numPr>
                <w:ilvl w:val="0"/>
                <w:numId w:val="77"/>
              </w:numPr>
              <w:ind w:left="405"/>
              <w:rPr>
                <w:rFonts w:asciiTheme="minorHAnsi" w:hAnsiTheme="minorHAnsi"/>
                <w:sz w:val="22"/>
                <w:szCs w:val="22"/>
              </w:rPr>
            </w:pPr>
            <w:r w:rsidRPr="00B55592">
              <w:rPr>
                <w:rFonts w:asciiTheme="minorHAnsi" w:hAnsiTheme="minorHAnsi"/>
                <w:sz w:val="22"/>
                <w:szCs w:val="22"/>
              </w:rPr>
              <w:t xml:space="preserve">Evaluate status of dementia Shared Care work if funding agreed                  </w:t>
            </w:r>
          </w:p>
          <w:p w14:paraId="40796684" w14:textId="1D04CCF8" w:rsidR="009A1D3B" w:rsidRPr="0098336B" w:rsidRDefault="009A1D3B" w:rsidP="003B1653">
            <w:pPr>
              <w:pStyle w:val="ListParagraph"/>
              <w:numPr>
                <w:ilvl w:val="0"/>
                <w:numId w:val="77"/>
              </w:numPr>
              <w:ind w:left="405"/>
              <w:rPr>
                <w:rFonts w:asciiTheme="minorHAnsi" w:hAnsiTheme="minorHAnsi"/>
                <w:sz w:val="22"/>
                <w:szCs w:val="22"/>
              </w:rPr>
            </w:pPr>
            <w:r w:rsidRPr="00B55592">
              <w:rPr>
                <w:rFonts w:asciiTheme="minorHAnsi" w:hAnsiTheme="minorHAnsi"/>
                <w:sz w:val="22"/>
                <w:szCs w:val="22"/>
              </w:rPr>
              <w:t xml:space="preserve"> Review status of changes to stroke pathway</w:t>
            </w:r>
          </w:p>
        </w:tc>
        <w:tc>
          <w:tcPr>
            <w:tcW w:w="1843" w:type="dxa"/>
          </w:tcPr>
          <w:p w14:paraId="0C5EA229" w14:textId="77777777" w:rsidR="009A1D3B" w:rsidRPr="00B55592" w:rsidRDefault="009A1D3B" w:rsidP="00E02C36">
            <w:pPr>
              <w:rPr>
                <w:sz w:val="22"/>
                <w:szCs w:val="22"/>
              </w:rPr>
            </w:pPr>
            <w:r w:rsidRPr="00B55592">
              <w:rPr>
                <w:sz w:val="22"/>
                <w:szCs w:val="22"/>
              </w:rPr>
              <w:t>evaluate year 1 actions and commence year 2 plan which may be shared care in YCC</w:t>
            </w:r>
          </w:p>
          <w:p w14:paraId="257FA7F5" w14:textId="77777777" w:rsidR="009A1D3B" w:rsidRPr="00B55592" w:rsidRDefault="009A1D3B" w:rsidP="00E02C36">
            <w:pPr>
              <w:rPr>
                <w:sz w:val="22"/>
                <w:szCs w:val="22"/>
              </w:rPr>
            </w:pPr>
          </w:p>
        </w:tc>
        <w:tc>
          <w:tcPr>
            <w:tcW w:w="1701" w:type="dxa"/>
          </w:tcPr>
          <w:p w14:paraId="2D5B2A29" w14:textId="77777777" w:rsidR="009A1D3B" w:rsidRDefault="009A1D3B" w:rsidP="00E02C36">
            <w:pPr>
              <w:rPr>
                <w:sz w:val="22"/>
                <w:szCs w:val="22"/>
              </w:rPr>
            </w:pPr>
            <w:r w:rsidRPr="00B55592">
              <w:rPr>
                <w:sz w:val="22"/>
                <w:szCs w:val="22"/>
              </w:rPr>
              <w:t>evaluate year 2 actions and commen</w:t>
            </w:r>
            <w:r>
              <w:rPr>
                <w:sz w:val="22"/>
                <w:szCs w:val="22"/>
              </w:rPr>
              <w:t>ce year 3 plan based on potentia</w:t>
            </w:r>
            <w:r w:rsidRPr="00B55592">
              <w:rPr>
                <w:sz w:val="22"/>
                <w:szCs w:val="22"/>
              </w:rPr>
              <w:t xml:space="preserve">l role out to YCC </w:t>
            </w:r>
          </w:p>
          <w:p w14:paraId="1D6D3DAA" w14:textId="77777777" w:rsidR="009A1D3B" w:rsidRPr="00B55592" w:rsidRDefault="009A1D3B" w:rsidP="00E02C36">
            <w:pPr>
              <w:rPr>
                <w:sz w:val="22"/>
                <w:szCs w:val="22"/>
              </w:rPr>
            </w:pPr>
          </w:p>
          <w:p w14:paraId="02E36346" w14:textId="77777777" w:rsidR="009A1D3B" w:rsidRPr="00B55592" w:rsidRDefault="009A1D3B" w:rsidP="00E02C36">
            <w:pPr>
              <w:rPr>
                <w:sz w:val="22"/>
                <w:szCs w:val="22"/>
              </w:rPr>
            </w:pPr>
          </w:p>
        </w:tc>
      </w:tr>
      <w:tr w:rsidR="009A1D3B" w14:paraId="4C7ACA64" w14:textId="77777777" w:rsidTr="00E334A5">
        <w:tc>
          <w:tcPr>
            <w:tcW w:w="6516" w:type="dxa"/>
          </w:tcPr>
          <w:p w14:paraId="679D86F5" w14:textId="77777777" w:rsidR="009A1D3B" w:rsidRDefault="009A1D3B" w:rsidP="00E02C36">
            <w:pPr>
              <w:rPr>
                <w:rFonts w:asciiTheme="minorHAnsi" w:hAnsiTheme="minorHAnsi"/>
                <w:b/>
                <w:sz w:val="22"/>
                <w:szCs w:val="22"/>
              </w:rPr>
            </w:pPr>
            <w:r w:rsidRPr="00874268">
              <w:rPr>
                <w:rFonts w:asciiTheme="minorHAnsi" w:hAnsiTheme="minorHAnsi"/>
                <w:b/>
                <w:sz w:val="22"/>
                <w:szCs w:val="22"/>
              </w:rPr>
              <w:t>Lymphoedema Services</w:t>
            </w:r>
          </w:p>
          <w:p w14:paraId="214F650F" w14:textId="77777777" w:rsidR="009A1D3B" w:rsidRPr="00F1182C" w:rsidRDefault="009A1D3B" w:rsidP="00E02C36">
            <w:pPr>
              <w:rPr>
                <w:rFonts w:asciiTheme="minorHAnsi" w:hAnsiTheme="minorHAnsi"/>
                <w:sz w:val="22"/>
                <w:szCs w:val="22"/>
              </w:rPr>
            </w:pPr>
            <w:r w:rsidRPr="00F1182C">
              <w:rPr>
                <w:rFonts w:asciiTheme="minorHAnsi" w:hAnsiTheme="minorHAnsi"/>
                <w:sz w:val="22"/>
                <w:szCs w:val="22"/>
              </w:rPr>
              <w:t>Q1 – additional staff appointed in RCT and MT</w:t>
            </w:r>
          </w:p>
          <w:p w14:paraId="49E150B5" w14:textId="5875430C" w:rsidR="009A1D3B" w:rsidRPr="0098336B" w:rsidRDefault="009A1D3B" w:rsidP="0098336B">
            <w:pPr>
              <w:rPr>
                <w:rFonts w:asciiTheme="minorHAnsi" w:hAnsiTheme="minorHAnsi"/>
                <w:sz w:val="22"/>
                <w:szCs w:val="22"/>
              </w:rPr>
            </w:pPr>
            <w:r w:rsidRPr="00F1182C">
              <w:rPr>
                <w:rFonts w:asciiTheme="minorHAnsi" w:hAnsiTheme="minorHAnsi"/>
                <w:sz w:val="22"/>
                <w:szCs w:val="22"/>
              </w:rPr>
              <w:t>Q4 – Agree repatriation of Bridgend service and termination of SLA with SBUHB</w:t>
            </w:r>
          </w:p>
        </w:tc>
        <w:tc>
          <w:tcPr>
            <w:tcW w:w="1843" w:type="dxa"/>
          </w:tcPr>
          <w:p w14:paraId="6FBF7319" w14:textId="4C908F38" w:rsidR="009A1D3B" w:rsidRPr="00F1182C" w:rsidRDefault="009A1D3B" w:rsidP="00E02C36">
            <w:pPr>
              <w:rPr>
                <w:sz w:val="22"/>
                <w:szCs w:val="22"/>
              </w:rPr>
            </w:pPr>
            <w:r w:rsidRPr="00F1182C">
              <w:rPr>
                <w:sz w:val="22"/>
                <w:szCs w:val="22"/>
              </w:rPr>
              <w:t>evaluate year 1 actions and commence year 2 plan</w:t>
            </w:r>
          </w:p>
        </w:tc>
        <w:tc>
          <w:tcPr>
            <w:tcW w:w="1701" w:type="dxa"/>
          </w:tcPr>
          <w:p w14:paraId="1EAF7727" w14:textId="77777777" w:rsidR="009A1D3B" w:rsidRPr="00F1182C" w:rsidRDefault="009A1D3B" w:rsidP="00E02C36">
            <w:pPr>
              <w:rPr>
                <w:sz w:val="22"/>
                <w:szCs w:val="22"/>
              </w:rPr>
            </w:pPr>
            <w:r w:rsidRPr="00F1182C">
              <w:rPr>
                <w:sz w:val="22"/>
                <w:szCs w:val="22"/>
              </w:rPr>
              <w:t>Service now core business</w:t>
            </w:r>
          </w:p>
        </w:tc>
      </w:tr>
      <w:tr w:rsidR="009A1D3B" w14:paraId="620BD8D2" w14:textId="77777777" w:rsidTr="00E334A5">
        <w:tc>
          <w:tcPr>
            <w:tcW w:w="6516" w:type="dxa"/>
          </w:tcPr>
          <w:p w14:paraId="1DB33326" w14:textId="77777777" w:rsidR="009A1D3B" w:rsidRDefault="009A1D3B" w:rsidP="00E02C36">
            <w:pPr>
              <w:rPr>
                <w:rFonts w:asciiTheme="minorHAnsi" w:hAnsiTheme="minorHAnsi"/>
                <w:b/>
                <w:sz w:val="22"/>
                <w:szCs w:val="22"/>
              </w:rPr>
            </w:pPr>
            <w:r>
              <w:rPr>
                <w:rFonts w:asciiTheme="minorHAnsi" w:hAnsiTheme="minorHAnsi"/>
                <w:b/>
                <w:sz w:val="22"/>
                <w:szCs w:val="22"/>
              </w:rPr>
              <w:t>Aural Health</w:t>
            </w:r>
          </w:p>
          <w:p w14:paraId="7EBE03F4" w14:textId="77777777" w:rsidR="009A1D3B" w:rsidRPr="00C260C6" w:rsidRDefault="009A1D3B" w:rsidP="00E02C36">
            <w:pPr>
              <w:rPr>
                <w:rFonts w:asciiTheme="minorHAnsi" w:hAnsiTheme="minorHAnsi"/>
                <w:sz w:val="22"/>
                <w:szCs w:val="22"/>
              </w:rPr>
            </w:pPr>
            <w:r>
              <w:rPr>
                <w:rFonts w:asciiTheme="minorHAnsi" w:hAnsiTheme="minorHAnsi"/>
                <w:sz w:val="22"/>
                <w:szCs w:val="22"/>
              </w:rPr>
              <w:t>Q1 – appoint staff and roll out service to Bridgend locality</w:t>
            </w:r>
          </w:p>
        </w:tc>
        <w:tc>
          <w:tcPr>
            <w:tcW w:w="1843" w:type="dxa"/>
          </w:tcPr>
          <w:p w14:paraId="5AAAAEF6" w14:textId="77777777" w:rsidR="009A1D3B" w:rsidRPr="00F1182C" w:rsidRDefault="009A1D3B" w:rsidP="00E02C36">
            <w:r>
              <w:t>Deliver and evaluate the service</w:t>
            </w:r>
          </w:p>
        </w:tc>
        <w:tc>
          <w:tcPr>
            <w:tcW w:w="1701" w:type="dxa"/>
          </w:tcPr>
          <w:p w14:paraId="6106EF01" w14:textId="77777777" w:rsidR="009A1D3B" w:rsidRPr="00F1182C" w:rsidRDefault="009A1D3B" w:rsidP="00E02C36">
            <w:r>
              <w:t>Service now core business</w:t>
            </w:r>
          </w:p>
        </w:tc>
      </w:tr>
    </w:tbl>
    <w:p w14:paraId="338BCC45" w14:textId="79ED5100" w:rsidR="009A1D3B" w:rsidRPr="002B5397" w:rsidRDefault="00E334A5" w:rsidP="009A1D3B">
      <w:pPr>
        <w:contextualSpacing/>
        <w:rPr>
          <w:rFonts w:cstheme="minorHAnsi"/>
        </w:rPr>
      </w:pPr>
      <w:r w:rsidRPr="003D0778">
        <w:rPr>
          <w:noProof/>
          <w:color w:val="FFFFFF" w:themeColor="background1"/>
          <w:szCs w:val="22"/>
        </w:rPr>
        <w:lastRenderedPageBreak/>
        <w:drawing>
          <wp:anchor distT="0" distB="0" distL="114300" distR="114300" simplePos="0" relativeHeight="252637184" behindDoc="0" locked="0" layoutInCell="1" allowOverlap="1" wp14:anchorId="7BBEE5BC" wp14:editId="32FE6475">
            <wp:simplePos x="0" y="0"/>
            <wp:positionH relativeFrom="margin">
              <wp:align>right</wp:align>
            </wp:positionH>
            <wp:positionV relativeFrom="paragraph">
              <wp:posOffset>8890</wp:posOffset>
            </wp:positionV>
            <wp:extent cx="454660" cy="549275"/>
            <wp:effectExtent l="0" t="0" r="2540" b="3175"/>
            <wp:wrapNone/>
            <wp:docPr id="22" name="Picture 22"/>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23">
                      <a:extLst>
                        <a:ext uri="{28A0092B-C50C-407E-A947-70E740481C1C}">
                          <a14:useLocalDpi xmlns:a14="http://schemas.microsoft.com/office/drawing/2010/main" val="0"/>
                        </a:ext>
                      </a:extLst>
                    </a:blip>
                    <a:stretch>
                      <a:fillRect/>
                    </a:stretch>
                  </pic:blipFill>
                  <pic:spPr>
                    <a:xfrm>
                      <a:off x="0" y="0"/>
                      <a:ext cx="454660" cy="549275"/>
                    </a:xfrm>
                    <a:prstGeom prst="rect">
                      <a:avLst/>
                    </a:prstGeom>
                  </pic:spPr>
                </pic:pic>
              </a:graphicData>
            </a:graphic>
            <wp14:sizeRelH relativeFrom="margin">
              <wp14:pctWidth>0</wp14:pctWidth>
            </wp14:sizeRelH>
            <wp14:sizeRelV relativeFrom="margin">
              <wp14:pctHeight>0</wp14:pctHeight>
            </wp14:sizeRelV>
          </wp:anchor>
        </w:drawing>
      </w:r>
      <w:r w:rsidR="00BC1141">
        <w:rPr>
          <w:bCs/>
          <w:noProof/>
        </w:rPr>
        <mc:AlternateContent>
          <mc:Choice Requires="wps">
            <w:drawing>
              <wp:anchor distT="0" distB="0" distL="114300" distR="114300" simplePos="0" relativeHeight="252821504" behindDoc="1" locked="0" layoutInCell="1" allowOverlap="1" wp14:anchorId="77BDE653" wp14:editId="7AA94E75">
                <wp:simplePos x="0" y="0"/>
                <wp:positionH relativeFrom="margin">
                  <wp:posOffset>-60960</wp:posOffset>
                </wp:positionH>
                <wp:positionV relativeFrom="paragraph">
                  <wp:posOffset>-9106535</wp:posOffset>
                </wp:positionV>
                <wp:extent cx="6715125" cy="696595"/>
                <wp:effectExtent l="0" t="38100" r="47625" b="65405"/>
                <wp:wrapNone/>
                <wp:docPr id="60" name="Right Arrow 60"/>
                <wp:cNvGraphicFramePr/>
                <a:graphic xmlns:a="http://schemas.openxmlformats.org/drawingml/2006/main">
                  <a:graphicData uri="http://schemas.microsoft.com/office/word/2010/wordprocessingShape">
                    <wps:wsp>
                      <wps:cNvSpPr/>
                      <wps:spPr>
                        <a:xfrm>
                          <a:off x="0" y="0"/>
                          <a:ext cx="6715125" cy="696595"/>
                        </a:xfrm>
                        <a:prstGeom prst="rightArrow">
                          <a:avLst>
                            <a:gd name="adj1" fmla="val 50000"/>
                            <a:gd name="adj2" fmla="val 29881"/>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787F23" id="Right Arrow 60" o:spid="_x0000_s1026" type="#_x0000_t13" style="position:absolute;margin-left:-4.8pt;margin-top:-717.05pt;width:528.75pt;height:54.85pt;z-index:-2504949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" adj="20930" fillcolor="#eaf1dd [662]" strokecolor="#76923c [2406]" strokeweight="2pt">
                <w10:wrap anchorx="margin"/>
              </v:shape>
            </w:pict>
          </mc:Fallback>
        </mc:AlternateContent>
      </w:r>
    </w:p>
    <w:p w14:paraId="3B646473" w14:textId="60F38976" w:rsidR="00BF0C95" w:rsidRPr="003D0778" w:rsidRDefault="00BF0C95" w:rsidP="005D384E">
      <w:pPr>
        <w:pStyle w:val="Heading2"/>
        <w:shd w:val="clear" w:color="auto" w:fill="365F91" w:themeFill="accent1" w:themeFillShade="BF"/>
        <w:rPr>
          <w:color w:val="FFFFFF" w:themeColor="background1"/>
          <w:szCs w:val="22"/>
        </w:rPr>
      </w:pPr>
      <w:bookmarkStart w:id="101" w:name="_Toc532299681"/>
      <w:bookmarkStart w:id="102" w:name="_Toc532463985"/>
      <w:bookmarkStart w:id="103" w:name="_Toc536195562"/>
      <w:bookmarkStart w:id="104" w:name="_Toc25262178"/>
      <w:r w:rsidRPr="003D0778">
        <w:rPr>
          <w:color w:val="FFFFFF" w:themeColor="background1"/>
          <w:szCs w:val="22"/>
        </w:rPr>
        <w:t xml:space="preserve">Acute Care – </w:t>
      </w:r>
      <w:r w:rsidR="00215C11" w:rsidRPr="003D0778">
        <w:rPr>
          <w:color w:val="FFFFFF" w:themeColor="background1"/>
          <w:szCs w:val="22"/>
        </w:rPr>
        <w:t xml:space="preserve">Local and </w:t>
      </w:r>
      <w:r w:rsidR="004E3659" w:rsidRPr="003D0778">
        <w:rPr>
          <w:color w:val="FFFFFF" w:themeColor="background1"/>
          <w:szCs w:val="22"/>
        </w:rPr>
        <w:t xml:space="preserve">Regional </w:t>
      </w:r>
      <w:r w:rsidRPr="003D0778">
        <w:rPr>
          <w:color w:val="FFFFFF" w:themeColor="background1"/>
          <w:szCs w:val="22"/>
        </w:rPr>
        <w:t>Secondary Care</w:t>
      </w:r>
      <w:bookmarkEnd w:id="101"/>
      <w:bookmarkEnd w:id="102"/>
      <w:bookmarkEnd w:id="103"/>
      <w:bookmarkEnd w:id="104"/>
    </w:p>
    <w:p w14:paraId="3CE84BB6" w14:textId="2D20E24B" w:rsidR="00E02C36" w:rsidRPr="003D0778" w:rsidRDefault="00E02C36" w:rsidP="00E02C36">
      <w:pPr>
        <w:rPr>
          <w:rFonts w:asciiTheme="minorHAnsi" w:hAnsiTheme="minorHAnsi" w:cstheme="minorHAnsi"/>
          <w:szCs w:val="22"/>
        </w:rPr>
      </w:pPr>
      <w:bookmarkStart w:id="105" w:name="_Toc532463986"/>
      <w:bookmarkStart w:id="106" w:name="_Toc473290317"/>
      <w:r w:rsidRPr="003D0778">
        <w:rPr>
          <w:rFonts w:asciiTheme="minorHAnsi" w:hAnsiTheme="minorHAnsi" w:cstheme="minorHAnsi"/>
          <w:szCs w:val="22"/>
        </w:rPr>
        <w:t xml:space="preserve">Acute care faces several present and future challenges, not least of which are: </w:t>
      </w:r>
    </w:p>
    <w:p w14:paraId="36AD597D" w14:textId="77777777" w:rsidR="00E02C36" w:rsidRPr="003D0778" w:rsidRDefault="00E02C36" w:rsidP="00E02C36">
      <w:pPr>
        <w:pStyle w:val="NormaBullet"/>
        <w:rPr>
          <w:szCs w:val="22"/>
        </w:rPr>
      </w:pPr>
      <w:r w:rsidRPr="003D0778">
        <w:rPr>
          <w:szCs w:val="22"/>
        </w:rPr>
        <w:t>An ageing population and associated rise in hospital attendances associated with frailty.</w:t>
      </w:r>
    </w:p>
    <w:p w14:paraId="334ED81E" w14:textId="77777777" w:rsidR="00E02C36" w:rsidRPr="003D0778" w:rsidRDefault="00E02C36" w:rsidP="00E02C36">
      <w:pPr>
        <w:pStyle w:val="NormaBullet"/>
        <w:rPr>
          <w:szCs w:val="22"/>
        </w:rPr>
      </w:pPr>
      <w:r w:rsidRPr="003D0778">
        <w:rPr>
          <w:szCs w:val="22"/>
        </w:rPr>
        <w:t xml:space="preserve">High population morbidity with mental health, substance misuse, poor lifestyle choices and long term conditions all playing significant roles.  </w:t>
      </w:r>
    </w:p>
    <w:p w14:paraId="72C5CA37" w14:textId="77777777" w:rsidR="00E02C36" w:rsidRPr="003D0778" w:rsidRDefault="00E02C36" w:rsidP="00E02C36">
      <w:pPr>
        <w:pStyle w:val="NormaBullet"/>
        <w:rPr>
          <w:szCs w:val="22"/>
        </w:rPr>
      </w:pPr>
      <w:r w:rsidRPr="003D0778">
        <w:rPr>
          <w:szCs w:val="22"/>
        </w:rPr>
        <w:t xml:space="preserve">Growing levels of complex needs in the population (high-need, high-cost patients). </w:t>
      </w:r>
    </w:p>
    <w:p w14:paraId="28EB9F96" w14:textId="77777777" w:rsidR="00E02C36" w:rsidRPr="003D0778" w:rsidRDefault="00E02C36" w:rsidP="00E02C36">
      <w:pPr>
        <w:pStyle w:val="NormaBullet"/>
        <w:rPr>
          <w:szCs w:val="22"/>
        </w:rPr>
      </w:pPr>
      <w:r w:rsidRPr="003D0778">
        <w:rPr>
          <w:szCs w:val="22"/>
        </w:rPr>
        <w:t>Challenged performance on key scheduled and unscheduled care indicators such as RTT and A&amp;E waiting times.</w:t>
      </w:r>
    </w:p>
    <w:p w14:paraId="7255FDDA" w14:textId="77777777" w:rsidR="00E02C36" w:rsidRPr="003D0778" w:rsidRDefault="00E02C36" w:rsidP="00E02C36">
      <w:pPr>
        <w:pStyle w:val="NormaBullet"/>
        <w:rPr>
          <w:szCs w:val="22"/>
        </w:rPr>
      </w:pPr>
      <w:r w:rsidRPr="003D0778">
        <w:rPr>
          <w:szCs w:val="22"/>
        </w:rPr>
        <w:t>Difficulties in recruitment and reduction in the numbers of medical trainees in key areas leading to service sustainability issues.</w:t>
      </w:r>
    </w:p>
    <w:p w14:paraId="67F89585" w14:textId="0811BBD0" w:rsidR="00E02C36" w:rsidRPr="003D0778" w:rsidRDefault="00E02C36" w:rsidP="00E02C36">
      <w:pPr>
        <w:pStyle w:val="NormaBullet"/>
        <w:rPr>
          <w:szCs w:val="22"/>
        </w:rPr>
      </w:pPr>
      <w:r w:rsidRPr="003D0778">
        <w:rPr>
          <w:szCs w:val="22"/>
        </w:rPr>
        <w:t>Opportunities in many areas for improving value and efficiency.</w:t>
      </w:r>
    </w:p>
    <w:p w14:paraId="468CFCF0" w14:textId="77777777" w:rsidR="00E02C36" w:rsidRDefault="00E02C36" w:rsidP="00E02C36">
      <w:pPr>
        <w:autoSpaceDE w:val="0"/>
        <w:autoSpaceDN w:val="0"/>
        <w:adjustRightInd w:val="0"/>
        <w:rPr>
          <w:rFonts w:asciiTheme="minorHAnsi" w:hAnsiTheme="minorHAnsi" w:cs="Calibri"/>
          <w:szCs w:val="22"/>
        </w:rPr>
      </w:pPr>
    </w:p>
    <w:p w14:paraId="29D05310" w14:textId="5AD9CA9F" w:rsidR="00E02C36" w:rsidRPr="003D0778" w:rsidRDefault="00E02C36" w:rsidP="00E02C36">
      <w:pPr>
        <w:autoSpaceDE w:val="0"/>
        <w:autoSpaceDN w:val="0"/>
        <w:adjustRightInd w:val="0"/>
        <w:rPr>
          <w:rFonts w:asciiTheme="minorHAnsi" w:hAnsiTheme="minorHAnsi" w:cs="Calibri"/>
          <w:szCs w:val="22"/>
        </w:rPr>
      </w:pPr>
      <w:r w:rsidRPr="003D0778">
        <w:rPr>
          <w:rFonts w:asciiTheme="minorHAnsi" w:hAnsiTheme="minorHAnsi" w:cs="Calibri"/>
          <w:szCs w:val="22"/>
        </w:rPr>
        <w:t>Our challenge is to design and deliver high quality, high performing, sustainable hospital services for the future, delivering care locally and within our boundaries wherever possible, but effectively collaborating with neighbouring Health Boards on regional models</w:t>
      </w:r>
      <w:r w:rsidRPr="003D0778">
        <w:rPr>
          <w:rFonts w:asciiTheme="minorHAnsi" w:hAnsiTheme="minorHAnsi" w:cs="Calibri"/>
          <w:b/>
          <w:szCs w:val="22"/>
        </w:rPr>
        <w:t xml:space="preserve"> </w:t>
      </w:r>
      <w:r w:rsidRPr="003D0778">
        <w:rPr>
          <w:rFonts w:asciiTheme="minorHAnsi" w:hAnsiTheme="minorHAnsi" w:cs="Calibri"/>
          <w:szCs w:val="22"/>
        </w:rPr>
        <w:t xml:space="preserve">of care for emergency or elective services where there is evidence that this brings better outcomes for patients. </w:t>
      </w:r>
    </w:p>
    <w:p w14:paraId="380F586A" w14:textId="77777777" w:rsidR="00E02C36" w:rsidRPr="003D0778" w:rsidRDefault="00E02C36" w:rsidP="00E02C36">
      <w:pPr>
        <w:autoSpaceDE w:val="0"/>
        <w:autoSpaceDN w:val="0"/>
        <w:adjustRightInd w:val="0"/>
        <w:rPr>
          <w:rFonts w:asciiTheme="minorHAnsi" w:hAnsiTheme="minorHAnsi" w:cs="Calibri"/>
          <w:szCs w:val="22"/>
        </w:rPr>
      </w:pPr>
    </w:p>
    <w:p w14:paraId="3FBFBEE9" w14:textId="37C196D8" w:rsidR="00E02C36" w:rsidRPr="003D0778" w:rsidRDefault="00E02C36" w:rsidP="00E02C36">
      <w:pPr>
        <w:autoSpaceDE w:val="0"/>
        <w:autoSpaceDN w:val="0"/>
        <w:adjustRightInd w:val="0"/>
        <w:rPr>
          <w:rFonts w:asciiTheme="minorHAnsi" w:hAnsiTheme="minorHAnsi" w:cs="Calibri"/>
          <w:szCs w:val="22"/>
        </w:rPr>
      </w:pPr>
      <w:r w:rsidRPr="003D0778">
        <w:rPr>
          <w:rFonts w:asciiTheme="minorHAnsi" w:hAnsiTheme="minorHAnsi" w:cs="Calibri"/>
          <w:szCs w:val="22"/>
        </w:rPr>
        <w:t>We will do this by continuing to empower clinical leaders across the organisation to seek out best practice, develop and test innovative new service models, redesign and modernise the workforce, and drive through productivity, efficiency and performance improvements, maximising the use of all our available resources (estate, workforce, technology, and financial).</w:t>
      </w:r>
    </w:p>
    <w:p w14:paraId="287A1991" w14:textId="2103B0E8" w:rsidR="000D2DBB" w:rsidRPr="003D0778" w:rsidRDefault="000D2DBB" w:rsidP="00C11306">
      <w:pPr>
        <w:pStyle w:val="Heading3"/>
        <w:ind w:left="0" w:firstLine="0"/>
        <w:rPr>
          <w:szCs w:val="22"/>
        </w:rPr>
      </w:pPr>
      <w:r w:rsidRPr="003D0778">
        <w:rPr>
          <w:szCs w:val="22"/>
        </w:rPr>
        <w:t>Unscheduled Care</w:t>
      </w:r>
      <w:bookmarkEnd w:id="105"/>
    </w:p>
    <w:p w14:paraId="039CF977" w14:textId="77777777" w:rsidR="00E02C36" w:rsidRPr="003D0778" w:rsidRDefault="00E02C36" w:rsidP="00E02C36">
      <w:pPr>
        <w:rPr>
          <w:rFonts w:asciiTheme="minorHAnsi" w:hAnsiTheme="minorHAnsi"/>
          <w:szCs w:val="22"/>
        </w:rPr>
      </w:pPr>
      <w:r w:rsidRPr="003D0778">
        <w:rPr>
          <w:rFonts w:asciiTheme="minorHAnsi" w:hAnsiTheme="minorHAnsi"/>
          <w:szCs w:val="22"/>
        </w:rPr>
        <w:t>Much of the work within urgent and emergency care (unscheduled care) continues to focus and build up</w:t>
      </w:r>
      <w:r>
        <w:rPr>
          <w:rFonts w:asciiTheme="minorHAnsi" w:hAnsiTheme="minorHAnsi"/>
          <w:szCs w:val="22"/>
        </w:rPr>
        <w:t>on the work undertaken over 2019/2020</w:t>
      </w:r>
      <w:r w:rsidRPr="003D0778">
        <w:rPr>
          <w:rFonts w:asciiTheme="minorHAnsi" w:hAnsiTheme="minorHAnsi"/>
          <w:szCs w:val="22"/>
        </w:rPr>
        <w:t xml:space="preserve"> on patient flow.  This is complex and varied and requires continued focus and change to overcome the numerous blockages and changes in the system however, it is key to improving outcomes and quality for patients, whilst maintaining elective activity within the Health Board.</w:t>
      </w:r>
    </w:p>
    <w:p w14:paraId="381B0127" w14:textId="77777777" w:rsidR="00E02C36" w:rsidRPr="003D0778" w:rsidRDefault="00E02C36" w:rsidP="00E02C36">
      <w:pPr>
        <w:rPr>
          <w:rFonts w:asciiTheme="minorHAnsi" w:hAnsiTheme="minorHAnsi"/>
          <w:szCs w:val="22"/>
        </w:rPr>
      </w:pPr>
    </w:p>
    <w:p w14:paraId="7F081479" w14:textId="4B2FC84A" w:rsidR="00E02C36" w:rsidRDefault="00E02C36" w:rsidP="00E02C36">
      <w:pPr>
        <w:autoSpaceDE w:val="0"/>
        <w:autoSpaceDN w:val="0"/>
        <w:adjustRightInd w:val="0"/>
        <w:rPr>
          <w:rFonts w:asciiTheme="minorHAnsi" w:hAnsiTheme="minorHAnsi"/>
          <w:szCs w:val="22"/>
        </w:rPr>
      </w:pPr>
      <w:r w:rsidRPr="003D0778">
        <w:rPr>
          <w:rFonts w:asciiTheme="minorHAnsi" w:hAnsiTheme="minorHAnsi" w:cs="Calibri"/>
          <w:szCs w:val="22"/>
        </w:rPr>
        <w:t xml:space="preserve">Work to improve our unscheduled care pathway touches many parts of our health and care system </w:t>
      </w:r>
      <w:r w:rsidRPr="003D0778">
        <w:rPr>
          <w:rFonts w:asciiTheme="minorHAnsi" w:hAnsiTheme="minorHAnsi"/>
          <w:szCs w:val="22"/>
        </w:rPr>
        <w:t xml:space="preserve">and can only be achieved through partnership working with our Local Authorities, WAST and the Third Sector in particular. </w:t>
      </w:r>
      <w:r w:rsidRPr="001D0123">
        <w:rPr>
          <w:rFonts w:asciiTheme="minorHAnsi" w:hAnsiTheme="minorHAnsi"/>
          <w:szCs w:val="22"/>
        </w:rPr>
        <w:t xml:space="preserve"> Earlier sections of this Plan</w:t>
      </w:r>
      <w:r w:rsidRPr="003D0778">
        <w:rPr>
          <w:rFonts w:asciiTheme="minorHAnsi" w:hAnsiTheme="minorHAnsi"/>
          <w:szCs w:val="22"/>
        </w:rPr>
        <w:t>, have included details of integrated services with Local Authorities, such as</w:t>
      </w:r>
      <w:r>
        <w:rPr>
          <w:rFonts w:asciiTheme="minorHAnsi" w:hAnsiTheme="minorHAnsi"/>
          <w:szCs w:val="22"/>
        </w:rPr>
        <w:t xml:space="preserve"> the services funded from the transformation fund which will transform the way health and social care is delivered.  This fund will enable the expansion of existing successful services like</w:t>
      </w:r>
      <w:r w:rsidRPr="003D0778">
        <w:rPr>
          <w:rFonts w:asciiTheme="minorHAnsi" w:hAnsiTheme="minorHAnsi"/>
          <w:szCs w:val="22"/>
        </w:rPr>
        <w:t xml:space="preserve"> Stay Well@Home</w:t>
      </w:r>
      <w:r>
        <w:rPr>
          <w:rFonts w:asciiTheme="minorHAnsi" w:hAnsiTheme="minorHAnsi"/>
          <w:szCs w:val="22"/>
        </w:rPr>
        <w:t xml:space="preserve"> </w:t>
      </w:r>
      <w:r w:rsidRPr="003D0778">
        <w:rPr>
          <w:szCs w:val="22"/>
        </w:rPr>
        <w:t>(SW@HT)</w:t>
      </w:r>
      <w:r>
        <w:rPr>
          <w:szCs w:val="22"/>
        </w:rPr>
        <w:t xml:space="preserve"> and the Virtual Ward and will provide greater choice for patients, whilst reducing pressure on social care, GP surgeries and hospitals. In terms of patient flow these services have been proven to have an impact on conveyances to hospital</w:t>
      </w:r>
      <w:r w:rsidRPr="003D0778">
        <w:rPr>
          <w:szCs w:val="22"/>
        </w:rPr>
        <w:t>,</w:t>
      </w:r>
      <w:r>
        <w:rPr>
          <w:szCs w:val="22"/>
        </w:rPr>
        <w:t xml:space="preserve"> with admission avoidance and supported timely discharges from hospital to home. </w:t>
      </w:r>
      <w:r w:rsidRPr="003D0778">
        <w:rPr>
          <w:rFonts w:asciiTheme="minorHAnsi" w:hAnsiTheme="minorHAnsi"/>
          <w:szCs w:val="22"/>
        </w:rPr>
        <w:t xml:space="preserve"> </w:t>
      </w:r>
    </w:p>
    <w:p w14:paraId="19449002" w14:textId="77777777" w:rsidR="00626150" w:rsidRDefault="00626150" w:rsidP="00626150">
      <w:pPr>
        <w:autoSpaceDE w:val="0"/>
        <w:autoSpaceDN w:val="0"/>
        <w:adjustRightInd w:val="0"/>
        <w:jc w:val="left"/>
        <w:rPr>
          <w:rFonts w:asciiTheme="minorHAnsi" w:hAnsiTheme="minorHAnsi"/>
          <w:szCs w:val="22"/>
        </w:rPr>
      </w:pPr>
    </w:p>
    <w:p w14:paraId="0FA50702" w14:textId="529DE65E" w:rsidR="00626150" w:rsidRDefault="00626150" w:rsidP="00626150">
      <w:pPr>
        <w:autoSpaceDE w:val="0"/>
        <w:autoSpaceDN w:val="0"/>
        <w:adjustRightInd w:val="0"/>
        <w:rPr>
          <w:rFonts w:asciiTheme="minorHAnsi" w:hAnsiTheme="minorHAnsi"/>
          <w:szCs w:val="22"/>
        </w:rPr>
      </w:pPr>
      <w:r>
        <w:rPr>
          <w:noProof/>
        </w:rPr>
        <w:drawing>
          <wp:anchor distT="0" distB="0" distL="114300" distR="114300" simplePos="0" relativeHeight="252792832" behindDoc="1" locked="0" layoutInCell="1" allowOverlap="1" wp14:anchorId="454B4606" wp14:editId="295207A7">
            <wp:simplePos x="0" y="0"/>
            <wp:positionH relativeFrom="column">
              <wp:posOffset>3153134</wp:posOffset>
            </wp:positionH>
            <wp:positionV relativeFrom="paragraph">
              <wp:posOffset>291879</wp:posOffset>
            </wp:positionV>
            <wp:extent cx="3143250" cy="1609725"/>
            <wp:effectExtent l="0" t="0" r="0" b="9525"/>
            <wp:wrapTight wrapText="bothSides">
              <wp:wrapPolygon edited="0">
                <wp:start x="0" y="0"/>
                <wp:lineTo x="0" y="21472"/>
                <wp:lineTo x="21469" y="21472"/>
                <wp:lineTo x="21469" y="0"/>
                <wp:lineTo x="0" y="0"/>
              </wp:wrapPolygon>
            </wp:wrapTight>
            <wp:docPr id="25" name="Picture 25" descr="cid:image001.png@01D59659.74741CC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1" descr="cid:image001.png@01D59659.74741CC0"/>
                    <pic:cNvPicPr>
                      <a:picLocks noChangeAspect="1" noChangeArrowheads="1"/>
                    </pic:cNvPicPr>
                  </pic:nvPicPr>
                  <pic:blipFill>
                    <a:blip r:embed="rId64" r:link="rId65" cstate="print">
                      <a:extLst>
                        <a:ext uri="{28A0092B-C50C-407E-A947-70E740481C1C}">
                          <a14:useLocalDpi xmlns:a14="http://schemas.microsoft.com/office/drawing/2010/main" val="0"/>
                        </a:ext>
                      </a:extLst>
                    </a:blip>
                    <a:srcRect/>
                    <a:stretch>
                      <a:fillRect/>
                    </a:stretch>
                  </pic:blipFill>
                  <pic:spPr bwMode="auto">
                    <a:xfrm>
                      <a:off x="0" y="0"/>
                      <a:ext cx="3143250" cy="1609725"/>
                    </a:xfrm>
                    <a:prstGeom prst="rect">
                      <a:avLst/>
                    </a:prstGeom>
                    <a:noFill/>
                    <a:ln>
                      <a:noFill/>
                    </a:ln>
                  </pic:spPr>
                </pic:pic>
              </a:graphicData>
            </a:graphic>
            <wp14:sizeRelV relativeFrom="margin">
              <wp14:pctHeight>0</wp14:pctHeight>
            </wp14:sizeRelV>
          </wp:anchor>
        </w:drawing>
      </w:r>
      <w:r w:rsidRPr="003D0778">
        <w:rPr>
          <w:rFonts w:asciiTheme="minorHAnsi" w:hAnsiTheme="minorHAnsi"/>
          <w:szCs w:val="22"/>
        </w:rPr>
        <w:t xml:space="preserve">The impact of these initiatives on </w:t>
      </w:r>
      <w:r>
        <w:rPr>
          <w:rFonts w:asciiTheme="minorHAnsi" w:hAnsiTheme="minorHAnsi"/>
          <w:szCs w:val="22"/>
        </w:rPr>
        <w:t>both un</w:t>
      </w:r>
      <w:r w:rsidRPr="003D0778">
        <w:rPr>
          <w:rFonts w:asciiTheme="minorHAnsi" w:hAnsiTheme="minorHAnsi"/>
          <w:szCs w:val="22"/>
        </w:rPr>
        <w:t xml:space="preserve">scheduled </w:t>
      </w:r>
      <w:r>
        <w:rPr>
          <w:rFonts w:asciiTheme="minorHAnsi" w:hAnsiTheme="minorHAnsi"/>
          <w:szCs w:val="22"/>
        </w:rPr>
        <w:t xml:space="preserve">and scheduled </w:t>
      </w:r>
      <w:r w:rsidRPr="003D0778">
        <w:rPr>
          <w:rFonts w:asciiTheme="minorHAnsi" w:hAnsiTheme="minorHAnsi"/>
          <w:szCs w:val="22"/>
        </w:rPr>
        <w:t>care is being monitored and evaluated by using a number of overarching performance indicators.  This ensures there is alignment and collaboration across the whole system.  For example, as c</w:t>
      </w:r>
      <w:r>
        <w:rPr>
          <w:rFonts w:asciiTheme="minorHAnsi" w:hAnsiTheme="minorHAnsi"/>
          <w:szCs w:val="22"/>
        </w:rPr>
        <w:t xml:space="preserve">an be seen from the graph </w:t>
      </w:r>
      <w:r w:rsidRPr="003D0778">
        <w:rPr>
          <w:rFonts w:asciiTheme="minorHAnsi" w:hAnsiTheme="minorHAnsi"/>
          <w:szCs w:val="22"/>
        </w:rPr>
        <w:t>the number of elective/day case cancellations has dropped considerably in comparison to previous years and have remained</w:t>
      </w:r>
      <w:r>
        <w:rPr>
          <w:rFonts w:asciiTheme="minorHAnsi" w:hAnsiTheme="minorHAnsi"/>
          <w:szCs w:val="22"/>
        </w:rPr>
        <w:t xml:space="preserve"> relatively</w:t>
      </w:r>
      <w:r w:rsidRPr="003D0778">
        <w:rPr>
          <w:rFonts w:asciiTheme="minorHAnsi" w:hAnsiTheme="minorHAnsi"/>
          <w:szCs w:val="22"/>
        </w:rPr>
        <w:t xml:space="preserve"> low in numbers since the commencement of the </w:t>
      </w:r>
      <w:r>
        <w:rPr>
          <w:szCs w:val="22"/>
        </w:rPr>
        <w:t>SW@H</w:t>
      </w:r>
      <w:r w:rsidRPr="003D0778">
        <w:rPr>
          <w:szCs w:val="22"/>
        </w:rPr>
        <w:t xml:space="preserve"> </w:t>
      </w:r>
      <w:r>
        <w:rPr>
          <w:rFonts w:asciiTheme="minorHAnsi" w:hAnsiTheme="minorHAnsi"/>
          <w:szCs w:val="22"/>
        </w:rPr>
        <w:t>service, despite an increase in demand.</w:t>
      </w:r>
      <w:r w:rsidRPr="003D0778">
        <w:rPr>
          <w:rFonts w:asciiTheme="minorHAnsi" w:hAnsiTheme="minorHAnsi"/>
          <w:szCs w:val="22"/>
        </w:rPr>
        <w:t xml:space="preserve">  This is an indication of improvements in overal</w:t>
      </w:r>
      <w:r>
        <w:rPr>
          <w:rFonts w:asciiTheme="minorHAnsi" w:hAnsiTheme="minorHAnsi"/>
          <w:szCs w:val="22"/>
        </w:rPr>
        <w:t>l patient flow since the introduction of the SW@H service.</w:t>
      </w:r>
    </w:p>
    <w:p w14:paraId="347A26B2" w14:textId="46FA6943" w:rsidR="000D2DBB" w:rsidRDefault="000D2DBB" w:rsidP="00626150">
      <w:pPr>
        <w:autoSpaceDE w:val="0"/>
        <w:autoSpaceDN w:val="0"/>
        <w:adjustRightInd w:val="0"/>
        <w:jc w:val="right"/>
        <w:rPr>
          <w:rFonts w:asciiTheme="minorHAnsi" w:hAnsiTheme="minorHAnsi"/>
          <w:i/>
          <w:sz w:val="16"/>
          <w:szCs w:val="16"/>
        </w:rPr>
      </w:pPr>
      <w:r w:rsidRPr="0040789E">
        <w:rPr>
          <w:rFonts w:asciiTheme="minorHAnsi" w:hAnsiTheme="minorHAnsi"/>
          <w:i/>
          <w:sz w:val="16"/>
          <w:szCs w:val="16"/>
        </w:rPr>
        <w:t>Elective/Day Case Cancellations due to Ward Beds (does not include ITU/HDU beds)</w:t>
      </w:r>
    </w:p>
    <w:p w14:paraId="2FBEF54A" w14:textId="77777777" w:rsidR="00626150" w:rsidRDefault="00626150" w:rsidP="00626150">
      <w:pPr>
        <w:autoSpaceDE w:val="0"/>
        <w:autoSpaceDN w:val="0"/>
        <w:adjustRightInd w:val="0"/>
        <w:jc w:val="right"/>
        <w:rPr>
          <w:rFonts w:asciiTheme="minorHAnsi" w:hAnsiTheme="minorHAnsi"/>
          <w:i/>
          <w:sz w:val="16"/>
          <w:szCs w:val="16"/>
        </w:rPr>
      </w:pPr>
    </w:p>
    <w:p w14:paraId="0F5AEA00" w14:textId="77777777" w:rsidR="00E02C36" w:rsidRDefault="00E02C36" w:rsidP="00E02C36">
      <w:pPr>
        <w:autoSpaceDE w:val="0"/>
        <w:autoSpaceDN w:val="0"/>
        <w:adjustRightInd w:val="0"/>
        <w:rPr>
          <w:rFonts w:asciiTheme="minorHAnsi" w:hAnsiTheme="minorHAnsi"/>
          <w:szCs w:val="22"/>
        </w:rPr>
      </w:pPr>
      <w:r>
        <w:rPr>
          <w:rFonts w:asciiTheme="minorHAnsi" w:hAnsiTheme="minorHAnsi"/>
          <w:szCs w:val="22"/>
        </w:rPr>
        <w:lastRenderedPageBreak/>
        <w:t>Summary of key Services areas/changes to be undertaken during 2020/2021,  which have a significant impact on unscheduled care and patient flow are as follows:</w:t>
      </w:r>
    </w:p>
    <w:p w14:paraId="7CAABCB2" w14:textId="77777777" w:rsidR="00E02C36" w:rsidRDefault="00E02C36" w:rsidP="00E02C36">
      <w:pPr>
        <w:rPr>
          <w:rFonts w:asciiTheme="minorHAnsi" w:hAnsiTheme="minorHAnsi"/>
          <w:b/>
          <w:szCs w:val="22"/>
        </w:rPr>
      </w:pPr>
    </w:p>
    <w:p w14:paraId="5B7CA10E" w14:textId="77777777" w:rsidR="00E02C36" w:rsidRDefault="00E02C36" w:rsidP="00E02C36">
      <w:r w:rsidRPr="008151F4">
        <w:rPr>
          <w:rFonts w:asciiTheme="minorHAnsi" w:hAnsiTheme="minorHAnsi"/>
          <w:b/>
          <w:szCs w:val="22"/>
        </w:rPr>
        <w:t xml:space="preserve">Implementation of the remaining requirements of the South Wales Programme </w:t>
      </w:r>
      <w:proofErr w:type="gramStart"/>
      <w:r>
        <w:rPr>
          <w:rFonts w:asciiTheme="minorHAnsi" w:hAnsiTheme="minorHAnsi"/>
          <w:szCs w:val="22"/>
        </w:rPr>
        <w:t xml:space="preserve">–  </w:t>
      </w:r>
      <w:r>
        <w:t>In</w:t>
      </w:r>
      <w:proofErr w:type="gramEnd"/>
      <w:r>
        <w:t xml:space="preserve"> March 2014, the South Wales Programme Board confirmed agreement of recommendations in relation to the provision of emergency medicine (A&amp;E), acute medicine and consultant-led maternity and inpatient services.  The outcome, based on an extensive consultation exercise, was that in order to address the fragility of these services, there would be a reduction in the number of sites delivering this level of care.</w:t>
      </w:r>
    </w:p>
    <w:p w14:paraId="573B8055" w14:textId="77777777" w:rsidR="00E02C36" w:rsidRDefault="00E02C36" w:rsidP="00E02C36"/>
    <w:p w14:paraId="20B72C73" w14:textId="77777777" w:rsidR="00E02C36" w:rsidRDefault="00E02C36" w:rsidP="00E02C36">
      <w:pPr>
        <w:rPr>
          <w:rFonts w:cs="Arial"/>
        </w:rPr>
      </w:pPr>
      <w:r>
        <w:t xml:space="preserve">Prince Charles Hospital (PCH) was identified as one of 5 sites that would continue to provide these services, along with the University Hospital of Wales (UHW), Princess of Wales Hospital (POWH), Royal Gwent Hospital RGwH) and Morriston Hospital (MH).   </w:t>
      </w:r>
      <w:r>
        <w:rPr>
          <w:rFonts w:cs="Arial"/>
        </w:rPr>
        <w:t xml:space="preserve">In relation to the Royal Glamorgan Hospital (RGH), it was agreed that whilst </w:t>
      </w:r>
      <w:r>
        <w:rPr>
          <w:lang w:eastAsia="en-US"/>
        </w:rPr>
        <w:t>inpatient paediatric services</w:t>
      </w:r>
      <w:r>
        <w:rPr>
          <w:rFonts w:cs="Arial"/>
        </w:rPr>
        <w:t xml:space="preserve"> would no longer be delivered from the site, a new local paediatric assessment unit (PAU) model would be developed for the Rhondda and Taff Ely populations to ensure that the majority of children would continue to have their care delivered locally. A new free-standing midwifery led birthing centre would also be provided from the hospital.</w:t>
      </w:r>
    </w:p>
    <w:p w14:paraId="2E30FD03" w14:textId="77777777" w:rsidR="00E02C36" w:rsidRDefault="00E02C36" w:rsidP="00E02C36"/>
    <w:p w14:paraId="28672FA3" w14:textId="77777777" w:rsidR="00E02C36" w:rsidRDefault="00E02C36" w:rsidP="00E02C36">
      <w:r>
        <w:rPr>
          <w:rFonts w:cs="Arial"/>
        </w:rPr>
        <w:t xml:space="preserve">Within the recommendations, it was also agreed that RGH would </w:t>
      </w:r>
      <w:r>
        <w:rPr>
          <w:rFonts w:eastAsia="Calibri" w:cs="Arial"/>
          <w:lang w:eastAsia="en-US"/>
        </w:rPr>
        <w:t>become a beacon site for developing a new and innovative model of acute medicine that maximises the opportunity of delivering the widest range of medical care in a local hospital setting.  The first delivery of service change against the South Wales Programme was the establishment of the acute medicine service in RGH from September 2015.  This established a new 50 bed unit co-located with the Emergency Department (ED).</w:t>
      </w:r>
      <w:r>
        <w:t xml:space="preserve"> This was followed by a £6m investment in the Diagnostics Hub in RGH in November 2016.</w:t>
      </w:r>
    </w:p>
    <w:p w14:paraId="199B4800" w14:textId="77777777" w:rsidR="00E02C36" w:rsidRDefault="00E02C36" w:rsidP="00E02C36">
      <w:pPr>
        <w:rPr>
          <w:bCs/>
        </w:rPr>
      </w:pPr>
    </w:p>
    <w:p w14:paraId="7525DBEC" w14:textId="77777777" w:rsidR="00E02C36" w:rsidRDefault="00E02C36" w:rsidP="00E02C36">
      <w:pPr>
        <w:rPr>
          <w:bCs/>
        </w:rPr>
      </w:pPr>
      <w:r w:rsidRPr="00553540">
        <w:rPr>
          <w:bCs/>
        </w:rPr>
        <w:t xml:space="preserve">The specific challenges associated with the RGH site have resulted in the need to retain paediatric inpatient services on the RGH site to allow time to develop and consider options for a new </w:t>
      </w:r>
      <w:r>
        <w:rPr>
          <w:bCs/>
        </w:rPr>
        <w:t>emergency medicine (A&amp;E)</w:t>
      </w:r>
      <w:r w:rsidRPr="00553540">
        <w:rPr>
          <w:bCs/>
        </w:rPr>
        <w:t xml:space="preserve"> model.</w:t>
      </w:r>
    </w:p>
    <w:p w14:paraId="4872E837" w14:textId="77777777" w:rsidR="00E02C36" w:rsidRDefault="00E02C36" w:rsidP="00E02C36">
      <w:pPr>
        <w:rPr>
          <w:bCs/>
        </w:rPr>
      </w:pPr>
    </w:p>
    <w:p w14:paraId="7B436D01" w14:textId="77777777" w:rsidR="00E02C36" w:rsidRPr="002538AA" w:rsidRDefault="00E02C36" w:rsidP="00E02C36">
      <w:pPr>
        <w:rPr>
          <w:bCs/>
        </w:rPr>
      </w:pPr>
      <w:r>
        <w:rPr>
          <w:bCs/>
        </w:rPr>
        <w:t xml:space="preserve">Set and supported effectively, within the South Wales regional context, a plan has been developed to implement the remaining elements of the SWP to provide safe, quality, accessible and sustainable services.  Specifically, local service models for emergency medicine, completion of the acute medicine beacon site model, paediatric assessment at RGH and the transfer of consultant led inpatient paediatric services to PCH by September 2020.  </w:t>
      </w:r>
    </w:p>
    <w:p w14:paraId="64B9B633" w14:textId="77777777" w:rsidR="00E02C36" w:rsidRDefault="00E02C36" w:rsidP="00E02C36">
      <w:pPr>
        <w:autoSpaceDE w:val="0"/>
        <w:autoSpaceDN w:val="0"/>
        <w:adjustRightInd w:val="0"/>
        <w:rPr>
          <w:rFonts w:asciiTheme="minorHAnsi" w:hAnsiTheme="minorHAnsi"/>
          <w:szCs w:val="22"/>
        </w:rPr>
      </w:pPr>
    </w:p>
    <w:p w14:paraId="77ED0E20" w14:textId="51AA7E15" w:rsidR="00E02C36" w:rsidRPr="008151F4" w:rsidRDefault="00E02C36" w:rsidP="00E02C36">
      <w:pPr>
        <w:autoSpaceDE w:val="0"/>
        <w:autoSpaceDN w:val="0"/>
        <w:adjustRightInd w:val="0"/>
        <w:rPr>
          <w:szCs w:val="22"/>
        </w:rPr>
      </w:pPr>
      <w:r w:rsidRPr="008151F4">
        <w:rPr>
          <w:rFonts w:asciiTheme="minorHAnsi" w:hAnsiTheme="minorHAnsi"/>
          <w:b/>
          <w:szCs w:val="22"/>
        </w:rPr>
        <w:t xml:space="preserve">Stroke Services </w:t>
      </w:r>
      <w:r w:rsidRPr="008151F4">
        <w:rPr>
          <w:rFonts w:asciiTheme="minorHAnsi" w:hAnsiTheme="minorHAnsi"/>
          <w:szCs w:val="22"/>
        </w:rPr>
        <w:t>- The UHB have continued to make progress with regards to the implementation of the “Together for Health – Stroke Delivery Plan”.</w:t>
      </w:r>
      <w:r w:rsidRPr="008151F4">
        <w:rPr>
          <w:szCs w:val="22"/>
        </w:rPr>
        <w:t xml:space="preserve">  With the recent Bridgend boundary change, we will be looking to refresh our approach to stroke service improvement, focusing on how we can further improve </w:t>
      </w:r>
      <w:r>
        <w:rPr>
          <w:szCs w:val="22"/>
        </w:rPr>
        <w:t xml:space="preserve">the quality and performance of </w:t>
      </w:r>
      <w:r w:rsidRPr="008151F4">
        <w:rPr>
          <w:szCs w:val="22"/>
        </w:rPr>
        <w:t>our stroke services to the communities we serve.    It is recognised that there is a direct coloration between stroke services performance</w:t>
      </w:r>
      <w:r>
        <w:rPr>
          <w:szCs w:val="22"/>
        </w:rPr>
        <w:t>/quality</w:t>
      </w:r>
      <w:r w:rsidRPr="008151F4">
        <w:rPr>
          <w:szCs w:val="22"/>
        </w:rPr>
        <w:t xml:space="preserve"> and the level of escalation within a District General Hospital in particular, because stroke services currently rely heavily on the support of the Emergency Department.  In summary the challenges within our current stroke service </w:t>
      </w:r>
      <w:r>
        <w:rPr>
          <w:szCs w:val="22"/>
        </w:rPr>
        <w:t xml:space="preserve">which are more pertinent to patient flow and unscheduled care </w:t>
      </w:r>
      <w:r w:rsidRPr="008151F4">
        <w:rPr>
          <w:szCs w:val="22"/>
        </w:rPr>
        <w:t>are as follows:</w:t>
      </w:r>
    </w:p>
    <w:p w14:paraId="5C43EBDE" w14:textId="77777777" w:rsidR="00E02C36" w:rsidRPr="001C2323" w:rsidRDefault="00E02C36" w:rsidP="003B1653">
      <w:pPr>
        <w:numPr>
          <w:ilvl w:val="0"/>
          <w:numId w:val="78"/>
        </w:numPr>
        <w:tabs>
          <w:tab w:val="left" w:pos="1134"/>
        </w:tabs>
        <w:ind w:left="357" w:hanging="357"/>
        <w:contextualSpacing/>
        <w:rPr>
          <w:rFonts w:asciiTheme="minorHAnsi" w:eastAsiaTheme="minorHAnsi" w:hAnsiTheme="minorHAnsi" w:cstheme="minorBidi"/>
          <w:szCs w:val="22"/>
          <w:lang w:eastAsia="en-US"/>
        </w:rPr>
      </w:pPr>
      <w:r w:rsidRPr="001C2323">
        <w:rPr>
          <w:rFonts w:asciiTheme="minorHAnsi" w:eastAsiaTheme="minorHAnsi" w:hAnsiTheme="minorHAnsi" w:cstheme="minorBidi"/>
          <w:szCs w:val="22"/>
          <w:lang w:eastAsia="en-US"/>
        </w:rPr>
        <w:t>Both stroke units currently run a 5 day service. There are real challenges to being able to consistently delivery high compliance for assessment by a consultant within 24 hours across the organisation, given that there is 2.6 WTE Stroke Consultants at PCH and 2.0 WTE at POWH, with very limited middle grade cover.  There are also challenges in delivering a 7 day service for nursing and therapy provision due to current staffing numbers.</w:t>
      </w:r>
    </w:p>
    <w:p w14:paraId="34BC826F" w14:textId="77777777" w:rsidR="00E02C36" w:rsidRPr="001C2323" w:rsidRDefault="00E02C36" w:rsidP="003B1653">
      <w:pPr>
        <w:numPr>
          <w:ilvl w:val="0"/>
          <w:numId w:val="78"/>
        </w:numPr>
        <w:tabs>
          <w:tab w:val="left" w:pos="1134"/>
        </w:tabs>
        <w:ind w:left="357" w:hanging="357"/>
        <w:contextualSpacing/>
        <w:rPr>
          <w:rFonts w:asciiTheme="minorHAnsi" w:eastAsiaTheme="minorHAnsi" w:hAnsiTheme="minorHAnsi" w:cstheme="minorBidi"/>
          <w:szCs w:val="22"/>
          <w:lang w:eastAsia="en-US"/>
        </w:rPr>
      </w:pPr>
      <w:r w:rsidRPr="001C2323">
        <w:rPr>
          <w:rFonts w:asciiTheme="minorHAnsi" w:eastAsiaTheme="minorHAnsi" w:hAnsiTheme="minorHAnsi" w:cstheme="minorBidi"/>
          <w:szCs w:val="22"/>
          <w:lang w:eastAsia="en-US"/>
        </w:rPr>
        <w:t xml:space="preserve">Thrombolysis rates and door to needle times continue to be a challenge and is an area of focus for further improvement. </w:t>
      </w:r>
    </w:p>
    <w:p w14:paraId="3EE4AD8C" w14:textId="77777777" w:rsidR="00E02C36" w:rsidRPr="001C2323" w:rsidRDefault="00E02C36" w:rsidP="003B1653">
      <w:pPr>
        <w:numPr>
          <w:ilvl w:val="0"/>
          <w:numId w:val="78"/>
        </w:numPr>
        <w:tabs>
          <w:tab w:val="left" w:pos="1134"/>
        </w:tabs>
        <w:ind w:left="357" w:hanging="357"/>
        <w:contextualSpacing/>
        <w:rPr>
          <w:rFonts w:asciiTheme="minorHAnsi" w:eastAsiaTheme="minorHAnsi" w:hAnsiTheme="minorHAnsi" w:cstheme="minorBidi"/>
          <w:szCs w:val="22"/>
          <w:lang w:eastAsia="en-US"/>
        </w:rPr>
      </w:pPr>
      <w:r w:rsidRPr="001C2323">
        <w:rPr>
          <w:rFonts w:asciiTheme="minorHAnsi" w:eastAsiaTheme="minorHAnsi" w:hAnsiTheme="minorHAnsi" w:cstheme="minorBidi"/>
          <w:szCs w:val="22"/>
          <w:lang w:eastAsia="en-US"/>
        </w:rPr>
        <w:t xml:space="preserve">Both stroke units have a specific challenge around achieving the 4 hour target for admission to the stroke unit.  Significant patient flow issues and pressures across both site have a direct impact on stroke service provision.   </w:t>
      </w:r>
    </w:p>
    <w:p w14:paraId="65E2A9CD" w14:textId="77777777" w:rsidR="00E02C36" w:rsidRPr="001C2323" w:rsidRDefault="00E02C36" w:rsidP="003B1653">
      <w:pPr>
        <w:numPr>
          <w:ilvl w:val="0"/>
          <w:numId w:val="78"/>
        </w:numPr>
        <w:tabs>
          <w:tab w:val="left" w:pos="1134"/>
        </w:tabs>
        <w:ind w:left="357" w:hanging="357"/>
        <w:contextualSpacing/>
        <w:rPr>
          <w:rFonts w:asciiTheme="minorHAnsi" w:eastAsiaTheme="minorHAnsi" w:hAnsiTheme="minorHAnsi" w:cstheme="minorBidi"/>
          <w:szCs w:val="22"/>
          <w:lang w:eastAsia="en-US"/>
        </w:rPr>
      </w:pPr>
      <w:r w:rsidRPr="001C2323">
        <w:rPr>
          <w:rFonts w:asciiTheme="minorHAnsi" w:eastAsiaTheme="minorHAnsi" w:hAnsiTheme="minorHAnsi" w:cstheme="minorBidi"/>
          <w:szCs w:val="22"/>
          <w:lang w:eastAsia="en-US"/>
        </w:rPr>
        <w:t>Within Prince Charles Hospital there is a Community Stroke/Neuro Rehabilitation service which is currently funded out of National Stroke/Neurological funded on a non recurring basis.  There is also a</w:t>
      </w:r>
      <w:r w:rsidRPr="008151F4">
        <w:rPr>
          <w:rFonts w:asciiTheme="minorHAnsi" w:eastAsiaTheme="minorHAnsi" w:hAnsiTheme="minorHAnsi" w:cstheme="minorBidi"/>
          <w:szCs w:val="22"/>
          <w:lang w:eastAsia="en-US"/>
        </w:rPr>
        <w:t>n</w:t>
      </w:r>
      <w:r w:rsidRPr="001C2323">
        <w:rPr>
          <w:rFonts w:asciiTheme="minorHAnsi" w:eastAsiaTheme="minorHAnsi" w:hAnsiTheme="minorHAnsi" w:cstheme="minorBidi"/>
          <w:szCs w:val="22"/>
          <w:lang w:eastAsia="en-US"/>
        </w:rPr>
        <w:t xml:space="preserve"> Early Supported Discharge Service which is funded currently funded</w:t>
      </w:r>
      <w:r>
        <w:rPr>
          <w:rFonts w:asciiTheme="minorHAnsi" w:eastAsiaTheme="minorHAnsi" w:hAnsiTheme="minorHAnsi" w:cstheme="minorBidi"/>
          <w:szCs w:val="22"/>
          <w:lang w:eastAsia="en-US"/>
        </w:rPr>
        <w:t xml:space="preserve"> out of Intermediate Care Funds, so currently there is no </w:t>
      </w:r>
      <w:r>
        <w:rPr>
          <w:rFonts w:asciiTheme="minorHAnsi" w:eastAsiaTheme="minorHAnsi" w:hAnsiTheme="minorHAnsi" w:cstheme="minorBidi"/>
          <w:szCs w:val="22"/>
          <w:lang w:eastAsia="en-US"/>
        </w:rPr>
        <w:lastRenderedPageBreak/>
        <w:t>long term funding identified for these services.</w:t>
      </w:r>
      <w:r w:rsidRPr="001C2323">
        <w:rPr>
          <w:rFonts w:asciiTheme="minorHAnsi" w:eastAsiaTheme="minorHAnsi" w:hAnsiTheme="minorHAnsi" w:cstheme="minorBidi"/>
          <w:szCs w:val="22"/>
          <w:lang w:eastAsia="en-US"/>
        </w:rPr>
        <w:t xml:space="preserve">   With POWH there is no stroke/neuro rehabilitation service or an Early Supported Discharge Service </w:t>
      </w:r>
      <w:r>
        <w:rPr>
          <w:rFonts w:asciiTheme="minorHAnsi" w:eastAsiaTheme="minorHAnsi" w:hAnsiTheme="minorHAnsi" w:cstheme="minorBidi"/>
          <w:szCs w:val="22"/>
          <w:lang w:eastAsia="en-US"/>
        </w:rPr>
        <w:t>which has a direct impact on patient flow.</w:t>
      </w:r>
      <w:r w:rsidRPr="001C2323">
        <w:rPr>
          <w:rFonts w:asciiTheme="minorHAnsi" w:eastAsiaTheme="minorHAnsi" w:hAnsiTheme="minorHAnsi" w:cstheme="minorBidi"/>
          <w:szCs w:val="22"/>
          <w:lang w:eastAsia="en-US"/>
        </w:rPr>
        <w:t xml:space="preserve">  </w:t>
      </w:r>
    </w:p>
    <w:p w14:paraId="4399046D" w14:textId="77777777" w:rsidR="00E02C36" w:rsidRPr="008151F4" w:rsidRDefault="00E02C36" w:rsidP="00E02C36">
      <w:pPr>
        <w:autoSpaceDE w:val="0"/>
        <w:autoSpaceDN w:val="0"/>
        <w:adjustRightInd w:val="0"/>
        <w:rPr>
          <w:szCs w:val="22"/>
        </w:rPr>
      </w:pPr>
    </w:p>
    <w:p w14:paraId="604B931A" w14:textId="77777777" w:rsidR="00E02C36" w:rsidRPr="008151F4" w:rsidRDefault="00E02C36" w:rsidP="00E02C36">
      <w:pPr>
        <w:autoSpaceDE w:val="0"/>
        <w:autoSpaceDN w:val="0"/>
        <w:adjustRightInd w:val="0"/>
        <w:rPr>
          <w:rFonts w:asciiTheme="minorHAnsi" w:hAnsiTheme="minorHAnsi"/>
          <w:szCs w:val="22"/>
        </w:rPr>
      </w:pPr>
      <w:r w:rsidRPr="008151F4">
        <w:rPr>
          <w:szCs w:val="22"/>
        </w:rPr>
        <w:t>There is a plan to produce a new Cwm Taf Morgannwg Stroke Improvement plan by January 2020</w:t>
      </w:r>
      <w:r w:rsidRPr="008151F4">
        <w:rPr>
          <w:rFonts w:asciiTheme="minorHAnsi" w:hAnsiTheme="minorHAnsi"/>
          <w:szCs w:val="22"/>
        </w:rPr>
        <w:t xml:space="preserve"> However, which will drive service improvement </w:t>
      </w:r>
      <w:r>
        <w:rPr>
          <w:rFonts w:asciiTheme="minorHAnsi" w:hAnsiTheme="minorHAnsi"/>
          <w:szCs w:val="22"/>
        </w:rPr>
        <w:t xml:space="preserve">and quality. </w:t>
      </w:r>
      <w:r w:rsidRPr="008151F4">
        <w:rPr>
          <w:rFonts w:asciiTheme="minorHAnsi" w:hAnsiTheme="minorHAnsi"/>
          <w:szCs w:val="22"/>
        </w:rPr>
        <w:t>Further information on stroke services in terms of areas of progress, challenges and priorities can been found in Annex A3.</w:t>
      </w:r>
    </w:p>
    <w:p w14:paraId="4E572D8D" w14:textId="77777777" w:rsidR="00E02C36" w:rsidRPr="008151F4" w:rsidRDefault="00E02C36" w:rsidP="00E02C36">
      <w:pPr>
        <w:autoSpaceDE w:val="0"/>
        <w:autoSpaceDN w:val="0"/>
        <w:adjustRightInd w:val="0"/>
        <w:rPr>
          <w:rFonts w:asciiTheme="minorHAnsi" w:hAnsiTheme="minorHAnsi"/>
          <w:szCs w:val="22"/>
        </w:rPr>
      </w:pPr>
    </w:p>
    <w:p w14:paraId="017B63A7" w14:textId="516BCA17" w:rsidR="00E02C36" w:rsidRPr="008151F4" w:rsidRDefault="00E02C36" w:rsidP="00E02C36">
      <w:pPr>
        <w:autoSpaceDE w:val="0"/>
        <w:autoSpaceDN w:val="0"/>
        <w:adjustRightInd w:val="0"/>
        <w:rPr>
          <w:rFonts w:asciiTheme="minorHAnsi" w:hAnsiTheme="minorHAnsi"/>
          <w:szCs w:val="22"/>
        </w:rPr>
      </w:pPr>
      <w:r w:rsidRPr="008151F4">
        <w:rPr>
          <w:rFonts w:asciiTheme="minorHAnsi" w:hAnsiTheme="minorHAnsi"/>
          <w:b/>
          <w:szCs w:val="22"/>
        </w:rPr>
        <w:t>Major Trauma</w:t>
      </w:r>
      <w:r>
        <w:rPr>
          <w:rFonts w:asciiTheme="minorHAnsi" w:hAnsiTheme="minorHAnsi"/>
          <w:szCs w:val="22"/>
        </w:rPr>
        <w:t xml:space="preserve"> - </w:t>
      </w:r>
      <w:r w:rsidRPr="008151F4">
        <w:rPr>
          <w:rFonts w:asciiTheme="minorHAnsi" w:hAnsiTheme="minorHAnsi"/>
          <w:szCs w:val="22"/>
        </w:rPr>
        <w:t>One of the key priorities within unscheduled care for 2020/2021 and beyond is the implementation of the major trauma model across Cwm Taf Morgannwg UHB.  Trauma Units will be operational at Prince Charles and Princess of Wales Hospitals from 1</w:t>
      </w:r>
      <w:r w:rsidRPr="008151F4">
        <w:rPr>
          <w:rFonts w:asciiTheme="minorHAnsi" w:hAnsiTheme="minorHAnsi"/>
          <w:szCs w:val="22"/>
          <w:vertAlign w:val="superscript"/>
        </w:rPr>
        <w:t>st</w:t>
      </w:r>
      <w:r w:rsidRPr="008151F4">
        <w:rPr>
          <w:rFonts w:asciiTheme="minorHAnsi" w:hAnsiTheme="minorHAnsi"/>
          <w:szCs w:val="22"/>
        </w:rPr>
        <w:t xml:space="preserve"> April 2020.  This is being taken forward as part of the integrated network for South and West Wales and South Powys.  The likely impact which is being planned for will be:</w:t>
      </w:r>
    </w:p>
    <w:p w14:paraId="75AAA095" w14:textId="77777777" w:rsidR="00E02C36" w:rsidRPr="008151F4" w:rsidRDefault="00E02C36" w:rsidP="003B1653">
      <w:pPr>
        <w:pStyle w:val="ListParagraph"/>
        <w:numPr>
          <w:ilvl w:val="0"/>
          <w:numId w:val="39"/>
        </w:numPr>
        <w:autoSpaceDE w:val="0"/>
        <w:autoSpaceDN w:val="0"/>
        <w:adjustRightInd w:val="0"/>
        <w:ind w:left="357" w:hanging="357"/>
        <w:rPr>
          <w:rFonts w:asciiTheme="minorHAnsi" w:hAnsiTheme="minorHAnsi"/>
          <w:szCs w:val="22"/>
        </w:rPr>
      </w:pPr>
      <w:r w:rsidRPr="008151F4">
        <w:rPr>
          <w:rFonts w:asciiTheme="minorHAnsi" w:hAnsiTheme="minorHAnsi"/>
          <w:szCs w:val="22"/>
        </w:rPr>
        <w:t>Patients which would have been seen in Royal Glamorgan Hospital will now flow to Prince Charles Hospital or Princess of Wales Hospital,</w:t>
      </w:r>
    </w:p>
    <w:p w14:paraId="2DDF66B2" w14:textId="77777777" w:rsidR="00E02C36" w:rsidRPr="008151F4" w:rsidRDefault="00E02C36" w:rsidP="003B1653">
      <w:pPr>
        <w:pStyle w:val="ListParagraph"/>
        <w:numPr>
          <w:ilvl w:val="0"/>
          <w:numId w:val="39"/>
        </w:numPr>
        <w:autoSpaceDE w:val="0"/>
        <w:autoSpaceDN w:val="0"/>
        <w:adjustRightInd w:val="0"/>
        <w:ind w:left="357" w:hanging="357"/>
        <w:rPr>
          <w:rFonts w:asciiTheme="minorHAnsi" w:hAnsiTheme="minorHAnsi"/>
          <w:szCs w:val="22"/>
        </w:rPr>
      </w:pPr>
      <w:r w:rsidRPr="008151F4">
        <w:rPr>
          <w:rFonts w:asciiTheme="minorHAnsi" w:hAnsiTheme="minorHAnsi"/>
          <w:szCs w:val="22"/>
        </w:rPr>
        <w:t xml:space="preserve">There will be an increased flow to University Hospital of Wales for patients who would have been seen originally within Cwm Taf Morgannwg </w:t>
      </w:r>
    </w:p>
    <w:p w14:paraId="6E7395B3" w14:textId="77777777" w:rsidR="00E02C36" w:rsidRPr="008151F4" w:rsidRDefault="00E02C36" w:rsidP="003B1653">
      <w:pPr>
        <w:pStyle w:val="ListParagraph"/>
        <w:numPr>
          <w:ilvl w:val="0"/>
          <w:numId w:val="39"/>
        </w:numPr>
        <w:autoSpaceDE w:val="0"/>
        <w:autoSpaceDN w:val="0"/>
        <w:adjustRightInd w:val="0"/>
        <w:ind w:left="357" w:hanging="357"/>
        <w:rPr>
          <w:rFonts w:asciiTheme="minorHAnsi" w:hAnsiTheme="minorHAnsi"/>
          <w:szCs w:val="22"/>
        </w:rPr>
      </w:pPr>
      <w:r w:rsidRPr="008151F4">
        <w:rPr>
          <w:rFonts w:asciiTheme="minorHAnsi" w:hAnsiTheme="minorHAnsi"/>
          <w:szCs w:val="22"/>
        </w:rPr>
        <w:t xml:space="preserve">There will be implication with regards to the repatriation of patients back from UHW in a timely manner and the provision of their rehabilitation needs. </w:t>
      </w:r>
    </w:p>
    <w:p w14:paraId="290B3D5B" w14:textId="4BDCBC75" w:rsidR="00E02C36" w:rsidRPr="00E02C36" w:rsidRDefault="00E02C36" w:rsidP="00626150">
      <w:pPr>
        <w:autoSpaceDE w:val="0"/>
        <w:autoSpaceDN w:val="0"/>
        <w:adjustRightInd w:val="0"/>
        <w:rPr>
          <w:rFonts w:asciiTheme="minorHAnsi" w:hAnsiTheme="minorHAnsi"/>
          <w:szCs w:val="22"/>
        </w:rPr>
      </w:pPr>
      <w:r w:rsidRPr="008151F4">
        <w:rPr>
          <w:rFonts w:asciiTheme="minorHAnsi" w:hAnsiTheme="minorHAnsi"/>
          <w:szCs w:val="22"/>
        </w:rPr>
        <w:t>The key milestones associated with the major trauma work are detailed on page below.</w:t>
      </w:r>
    </w:p>
    <w:p w14:paraId="025A0A49" w14:textId="7851C4C2" w:rsidR="008476EF" w:rsidRPr="003D0778" w:rsidRDefault="008476EF" w:rsidP="008476EF">
      <w:pPr>
        <w:pStyle w:val="Heading3"/>
        <w:ind w:left="0" w:firstLine="0"/>
        <w:rPr>
          <w:szCs w:val="22"/>
        </w:rPr>
      </w:pPr>
      <w:r>
        <w:rPr>
          <w:szCs w:val="22"/>
        </w:rPr>
        <w:t xml:space="preserve">Alignment to the National Programme for </w:t>
      </w:r>
      <w:r w:rsidRPr="003D0778">
        <w:rPr>
          <w:szCs w:val="22"/>
        </w:rPr>
        <w:t>Unscheduled Care</w:t>
      </w:r>
    </w:p>
    <w:p w14:paraId="412A1F6C" w14:textId="77777777" w:rsidR="000D2DBB" w:rsidRDefault="000D2DBB" w:rsidP="000D2DBB">
      <w:pPr>
        <w:rPr>
          <w:rFonts w:asciiTheme="minorHAnsi" w:hAnsiTheme="minorHAnsi"/>
          <w:b/>
          <w:szCs w:val="22"/>
        </w:rPr>
      </w:pPr>
      <w:r w:rsidRPr="008476EF">
        <w:rPr>
          <w:rFonts w:asciiTheme="minorHAnsi" w:hAnsiTheme="minorHAnsi"/>
          <w:b/>
          <w:szCs w:val="22"/>
        </w:rPr>
        <w:t>Pre Hospital</w:t>
      </w:r>
    </w:p>
    <w:p w14:paraId="695A6E03" w14:textId="77777777" w:rsidR="00E02C36" w:rsidRPr="008151F4" w:rsidRDefault="00E02C36" w:rsidP="00E02C36">
      <w:pPr>
        <w:rPr>
          <w:rFonts w:asciiTheme="minorHAnsi" w:hAnsiTheme="minorHAnsi"/>
          <w:szCs w:val="22"/>
        </w:rPr>
      </w:pPr>
      <w:r w:rsidRPr="008151F4">
        <w:rPr>
          <w:rFonts w:asciiTheme="minorHAnsi" w:hAnsiTheme="minorHAnsi"/>
          <w:szCs w:val="22"/>
        </w:rPr>
        <w:t>Often an individual’s care and support needs are best provided in the community or their own home.  A significant focus therefore continues to be those priorities which, through integrated care and partnership working, either address an individual’s rising need before they require hospital admission or directs them to the correct service for their need.</w:t>
      </w:r>
    </w:p>
    <w:p w14:paraId="3C6B3E13" w14:textId="77777777" w:rsidR="00626150" w:rsidRPr="008476EF" w:rsidRDefault="00626150" w:rsidP="00626150">
      <w:pPr>
        <w:rPr>
          <w:rFonts w:asciiTheme="minorHAnsi" w:hAnsiTheme="minorHAnsi"/>
          <w:b/>
          <w:szCs w:val="22"/>
        </w:rPr>
      </w:pPr>
    </w:p>
    <w:p w14:paraId="793942C7" w14:textId="77777777" w:rsidR="00626150" w:rsidRPr="003D0778" w:rsidRDefault="00626150" w:rsidP="00626150">
      <w:pPr>
        <w:pStyle w:val="NormaBullet"/>
        <w:numPr>
          <w:ilvl w:val="0"/>
          <w:numId w:val="0"/>
        </w:numPr>
        <w:rPr>
          <w:szCs w:val="22"/>
        </w:rPr>
      </w:pPr>
      <w:r>
        <w:rPr>
          <w:szCs w:val="22"/>
        </w:rPr>
        <w:t xml:space="preserve">Priorities and initiatives being put in place within Integrated Community Services and </w:t>
      </w:r>
      <w:r w:rsidRPr="003D0778">
        <w:rPr>
          <w:szCs w:val="22"/>
        </w:rPr>
        <w:t>Primary Care</w:t>
      </w:r>
      <w:r>
        <w:rPr>
          <w:szCs w:val="22"/>
        </w:rPr>
        <w:t xml:space="preserve">, including </w:t>
      </w:r>
      <w:r w:rsidRPr="00A03181">
        <w:rPr>
          <w:szCs w:val="22"/>
        </w:rPr>
        <w:t>Welsh Ambulance Services Trust (WAST</w:t>
      </w:r>
      <w:r>
        <w:rPr>
          <w:szCs w:val="22"/>
        </w:rPr>
        <w:t>) are:</w:t>
      </w:r>
    </w:p>
    <w:p w14:paraId="24C3D15E" w14:textId="77777777" w:rsidR="00626150" w:rsidRPr="00A03181" w:rsidRDefault="00626150" w:rsidP="003B1653">
      <w:pPr>
        <w:pStyle w:val="ListParagraph"/>
        <w:numPr>
          <w:ilvl w:val="0"/>
          <w:numId w:val="23"/>
        </w:numPr>
        <w:autoSpaceDE w:val="0"/>
        <w:autoSpaceDN w:val="0"/>
        <w:adjustRightInd w:val="0"/>
        <w:ind w:left="357" w:hanging="357"/>
        <w:rPr>
          <w:rFonts w:asciiTheme="minorHAnsi" w:hAnsiTheme="minorHAnsi" w:cstheme="minorHAnsi"/>
          <w:szCs w:val="22"/>
        </w:rPr>
      </w:pPr>
      <w:r w:rsidRPr="00590DB4">
        <w:rPr>
          <w:rFonts w:asciiTheme="minorHAnsi" w:hAnsiTheme="minorHAnsi" w:cstheme="minorHAnsi"/>
          <w:szCs w:val="22"/>
        </w:rPr>
        <w:t xml:space="preserve">The delivery of the Regional Partnership Board’s Stay Well in Your Community Programme, </w:t>
      </w:r>
      <w:r>
        <w:rPr>
          <w:rFonts w:asciiTheme="minorHAnsi" w:hAnsiTheme="minorHAnsi" w:cstheme="minorHAnsi"/>
          <w:szCs w:val="22"/>
        </w:rPr>
        <w:t>(</w:t>
      </w:r>
      <w:r w:rsidRPr="00590DB4">
        <w:rPr>
          <w:rFonts w:asciiTheme="minorHAnsi" w:hAnsiTheme="minorHAnsi" w:cstheme="minorHAnsi"/>
          <w:szCs w:val="22"/>
        </w:rPr>
        <w:t xml:space="preserve">see </w:t>
      </w:r>
      <w:r w:rsidRPr="00E334A5">
        <w:rPr>
          <w:rFonts w:asciiTheme="minorHAnsi" w:hAnsiTheme="minorHAnsi" w:cstheme="minorHAnsi"/>
          <w:b/>
          <w:color w:val="943634" w:themeColor="accent2" w:themeShade="BF"/>
          <w:szCs w:val="22"/>
        </w:rPr>
        <w:t>section ______</w:t>
      </w:r>
      <w:r w:rsidRPr="00E334A5">
        <w:rPr>
          <w:rFonts w:asciiTheme="minorHAnsi" w:hAnsiTheme="minorHAnsi" w:cstheme="minorHAnsi"/>
          <w:color w:val="943634" w:themeColor="accent2" w:themeShade="BF"/>
          <w:szCs w:val="22"/>
        </w:rPr>
        <w:t>)</w:t>
      </w:r>
      <w:r>
        <w:rPr>
          <w:rFonts w:asciiTheme="minorHAnsi" w:hAnsiTheme="minorHAnsi" w:cstheme="minorHAnsi"/>
          <w:szCs w:val="22"/>
        </w:rPr>
        <w:t xml:space="preserve"> including the use of </w:t>
      </w:r>
      <w:r w:rsidRPr="003D0778">
        <w:rPr>
          <w:szCs w:val="22"/>
        </w:rPr>
        <w:t>Advanced Paramedic Practitioner</w:t>
      </w:r>
      <w:r>
        <w:rPr>
          <w:szCs w:val="22"/>
        </w:rPr>
        <w:t xml:space="preserve"> within the Enhanced Community Cluster Teams and partners including WAST supporting the SW@H service by referring directly to a multi agency single point of access to avoid conveyances to hospital.</w:t>
      </w:r>
    </w:p>
    <w:p w14:paraId="0743CD68" w14:textId="77777777" w:rsidR="00626150" w:rsidRPr="00590DB4" w:rsidRDefault="00626150" w:rsidP="003B1653">
      <w:pPr>
        <w:pStyle w:val="NormalBulletIndent"/>
        <w:numPr>
          <w:ilvl w:val="0"/>
          <w:numId w:val="23"/>
        </w:numPr>
        <w:ind w:left="357" w:hanging="357"/>
        <w:rPr>
          <w:szCs w:val="22"/>
        </w:rPr>
      </w:pPr>
      <w:r w:rsidRPr="00590DB4">
        <w:rPr>
          <w:szCs w:val="22"/>
        </w:rPr>
        <w:t>The introduction of appropriate sign posting of patients to alternative primary care professionals, dentists, optometrists and pharmacists based on assessment of identified need</w:t>
      </w:r>
      <w:r>
        <w:rPr>
          <w:szCs w:val="22"/>
        </w:rPr>
        <w:t>.</w:t>
      </w:r>
    </w:p>
    <w:p w14:paraId="4F2BC27B" w14:textId="77777777" w:rsidR="00626150" w:rsidRDefault="00626150" w:rsidP="003B1653">
      <w:pPr>
        <w:pStyle w:val="NormalBulletIndent"/>
        <w:numPr>
          <w:ilvl w:val="0"/>
          <w:numId w:val="23"/>
        </w:numPr>
        <w:ind w:left="357" w:hanging="357"/>
        <w:rPr>
          <w:szCs w:val="22"/>
        </w:rPr>
      </w:pPr>
      <w:r w:rsidRPr="00590DB4">
        <w:rPr>
          <w:szCs w:val="22"/>
        </w:rPr>
        <w:t>Encouraging the utilisation of the common ailments scheme within community pharmacies where appropriate</w:t>
      </w:r>
      <w:r>
        <w:rPr>
          <w:szCs w:val="22"/>
        </w:rPr>
        <w:t>.</w:t>
      </w:r>
    </w:p>
    <w:p w14:paraId="5CD0CF42" w14:textId="77777777" w:rsidR="00626150" w:rsidRPr="003241C8" w:rsidRDefault="00626150" w:rsidP="003B1653">
      <w:pPr>
        <w:pStyle w:val="NormalBulletIndent"/>
        <w:numPr>
          <w:ilvl w:val="0"/>
          <w:numId w:val="23"/>
        </w:numPr>
        <w:ind w:left="357" w:hanging="357"/>
        <w:rPr>
          <w:szCs w:val="22"/>
        </w:rPr>
      </w:pPr>
      <w:r>
        <w:rPr>
          <w:rFonts w:asciiTheme="minorHAnsi" w:hAnsiTheme="minorHAnsi"/>
        </w:rPr>
        <w:t>As mentioned following evidence gained from a</w:t>
      </w:r>
      <w:r w:rsidRPr="003241C8">
        <w:rPr>
          <w:rFonts w:asciiTheme="minorHAnsi" w:hAnsiTheme="minorHAnsi"/>
        </w:rPr>
        <w:t xml:space="preserve"> pilot for the virtual ward</w:t>
      </w:r>
      <w:r>
        <w:rPr>
          <w:rFonts w:asciiTheme="minorHAnsi" w:hAnsiTheme="minorHAnsi"/>
        </w:rPr>
        <w:t xml:space="preserve"> will be rolled out as part of the </w:t>
      </w:r>
      <w:r w:rsidRPr="003241C8">
        <w:rPr>
          <w:rFonts w:asciiTheme="minorHAnsi" w:hAnsiTheme="minorHAnsi"/>
        </w:rPr>
        <w:t xml:space="preserve">Health Board’s wider Transformational Plan. </w:t>
      </w:r>
    </w:p>
    <w:p w14:paraId="51AC0A5E" w14:textId="77777777" w:rsidR="00626150" w:rsidRDefault="00626150" w:rsidP="003B1653">
      <w:pPr>
        <w:pStyle w:val="NormalBulletIndent"/>
        <w:numPr>
          <w:ilvl w:val="0"/>
          <w:numId w:val="23"/>
        </w:numPr>
        <w:ind w:left="357" w:hanging="357"/>
        <w:rPr>
          <w:szCs w:val="22"/>
        </w:rPr>
      </w:pPr>
      <w:r w:rsidRPr="00590DB4">
        <w:rPr>
          <w:szCs w:val="22"/>
        </w:rPr>
        <w:t>Encouraging the use of alternative methods for GP consultations such telephone triage an</w:t>
      </w:r>
      <w:r>
        <w:rPr>
          <w:szCs w:val="22"/>
        </w:rPr>
        <w:t>d advice software such as WebGP.</w:t>
      </w:r>
    </w:p>
    <w:p w14:paraId="5016877F" w14:textId="77777777" w:rsidR="00626150" w:rsidRPr="003241C8" w:rsidRDefault="00626150" w:rsidP="003B1653">
      <w:pPr>
        <w:pStyle w:val="NormalBulletIndent"/>
        <w:numPr>
          <w:ilvl w:val="0"/>
          <w:numId w:val="23"/>
        </w:numPr>
        <w:ind w:left="357" w:hanging="357"/>
        <w:rPr>
          <w:szCs w:val="22"/>
        </w:rPr>
      </w:pPr>
      <w:r w:rsidRPr="003241C8">
        <w:rPr>
          <w:rFonts w:asciiTheme="minorHAnsi" w:hAnsiTheme="minorHAnsi"/>
        </w:rPr>
        <w:t>Cluster schemes have commenced around chronic conditions management.  These include COPD where a team follow up a patient recently discharged from hospital following an acute exacerbation of COPD to ensure they are not relapsing and at risk of a further admission. The evaluation of scheme has shown a decrease in GP attendance, OOH call and emergency admissions. The primary care team are currently developing plans to roll out this initiative across the health board</w:t>
      </w:r>
      <w:r>
        <w:rPr>
          <w:rFonts w:asciiTheme="minorHAnsi" w:hAnsiTheme="minorHAnsi"/>
        </w:rPr>
        <w:t>.</w:t>
      </w:r>
    </w:p>
    <w:p w14:paraId="0B58FAB1" w14:textId="77777777" w:rsidR="00626150" w:rsidRPr="00826BDD" w:rsidRDefault="00626150" w:rsidP="003B1653">
      <w:pPr>
        <w:pStyle w:val="NormalBulletIndent"/>
        <w:numPr>
          <w:ilvl w:val="0"/>
          <w:numId w:val="23"/>
        </w:numPr>
        <w:ind w:left="357" w:hanging="357"/>
        <w:rPr>
          <w:szCs w:val="22"/>
        </w:rPr>
      </w:pPr>
      <w:r w:rsidRPr="003241C8">
        <w:rPr>
          <w:rFonts w:asciiTheme="minorHAnsi" w:hAnsiTheme="minorHAnsi" w:cs="Tahoma"/>
        </w:rPr>
        <w:t>Joint pathways have been agreed with WAST for chronic conditions such as diabetes, falls and respiratory.  Where patients can be kept at home the paramedics will pass information into the GP and District Nurse and a visit will be made to the patient within 48 hours.</w:t>
      </w:r>
    </w:p>
    <w:p w14:paraId="2BF17210" w14:textId="77777777" w:rsidR="000D2DBB" w:rsidRPr="003D0778" w:rsidRDefault="000D2DBB" w:rsidP="000D2DBB">
      <w:pPr>
        <w:rPr>
          <w:szCs w:val="22"/>
        </w:rPr>
      </w:pPr>
    </w:p>
    <w:p w14:paraId="4D0362DB" w14:textId="77777777" w:rsidR="00626150" w:rsidRDefault="00626150" w:rsidP="000D2DBB">
      <w:pPr>
        <w:rPr>
          <w:rFonts w:asciiTheme="minorHAnsi" w:hAnsiTheme="minorHAnsi"/>
          <w:szCs w:val="22"/>
        </w:rPr>
      </w:pPr>
      <w:r w:rsidRPr="00823259">
        <w:rPr>
          <w:rFonts w:asciiTheme="minorHAnsi" w:hAnsiTheme="minorHAnsi" w:cs="Arial"/>
          <w:b/>
          <w:szCs w:val="22"/>
        </w:rPr>
        <w:t>Ambulances Services</w:t>
      </w:r>
    </w:p>
    <w:p w14:paraId="0A2BB605" w14:textId="2BACD11B" w:rsidR="000D2DBB" w:rsidRPr="003D0778" w:rsidRDefault="00626150" w:rsidP="000D2DBB">
      <w:pPr>
        <w:rPr>
          <w:rFonts w:asciiTheme="minorHAnsi" w:hAnsiTheme="minorHAnsi"/>
          <w:szCs w:val="22"/>
        </w:rPr>
      </w:pPr>
      <w:r w:rsidRPr="00823259">
        <w:rPr>
          <w:rFonts w:asciiTheme="minorHAnsi" w:hAnsiTheme="minorHAnsi" w:cs="Arial"/>
          <w:szCs w:val="22"/>
        </w:rPr>
        <w:t>The Deputy Chief Operating Officer/Assistant Director of Operations (Medicine) will continue to work closely with the</w:t>
      </w:r>
      <w:r>
        <w:rPr>
          <w:rFonts w:asciiTheme="minorHAnsi" w:hAnsiTheme="minorHAnsi" w:cs="Arial"/>
          <w:szCs w:val="22"/>
        </w:rPr>
        <w:t xml:space="preserve"> Ambulance Operations Manager </w:t>
      </w:r>
      <w:r w:rsidRPr="00823259">
        <w:rPr>
          <w:rFonts w:asciiTheme="minorHAnsi" w:hAnsiTheme="minorHAnsi" w:cs="Arial"/>
          <w:szCs w:val="22"/>
        </w:rPr>
        <w:t>at the Welsh Ambulance Services NHS Trust (WAST) to</w:t>
      </w:r>
      <w:r w:rsidR="000D2DBB" w:rsidRPr="003D0778">
        <w:rPr>
          <w:rFonts w:asciiTheme="minorHAnsi" w:hAnsiTheme="minorHAnsi"/>
          <w:szCs w:val="22"/>
        </w:rPr>
        <w:t>:</w:t>
      </w:r>
    </w:p>
    <w:p w14:paraId="49F2A23A" w14:textId="046B237B" w:rsidR="000D2DBB" w:rsidRPr="003D0778" w:rsidRDefault="00626150" w:rsidP="009539D9">
      <w:pPr>
        <w:pStyle w:val="NormaBullet"/>
        <w:rPr>
          <w:szCs w:val="22"/>
        </w:rPr>
      </w:pPr>
      <w:r w:rsidRPr="00823259">
        <w:rPr>
          <w:rFonts w:asciiTheme="minorHAnsi" w:hAnsiTheme="minorHAnsi" w:cs="Arial"/>
          <w:szCs w:val="22"/>
        </w:rPr>
        <w:lastRenderedPageBreak/>
        <w:t>Maximise use of alternative pathways of care to prevent conveyance to Emergency Departments</w:t>
      </w:r>
      <w:r w:rsidR="000D2DBB" w:rsidRPr="003D0778">
        <w:rPr>
          <w:szCs w:val="22"/>
        </w:rPr>
        <w:t>.</w:t>
      </w:r>
    </w:p>
    <w:p w14:paraId="7C465EB0" w14:textId="35BD9E9A" w:rsidR="000D2DBB" w:rsidRPr="003D0778" w:rsidRDefault="00626150" w:rsidP="009539D9">
      <w:pPr>
        <w:pStyle w:val="NormaBullet"/>
        <w:rPr>
          <w:szCs w:val="22"/>
        </w:rPr>
      </w:pPr>
      <w:r w:rsidRPr="00823259">
        <w:rPr>
          <w:rFonts w:asciiTheme="minorHAnsi" w:hAnsiTheme="minorHAnsi" w:cs="Arial"/>
          <w:szCs w:val="22"/>
        </w:rPr>
        <w:t>Facilitate flows through the unscheduled care system</w:t>
      </w:r>
      <w:r w:rsidR="000D2DBB" w:rsidRPr="003D0778">
        <w:rPr>
          <w:szCs w:val="22"/>
        </w:rPr>
        <w:t>.</w:t>
      </w:r>
    </w:p>
    <w:p w14:paraId="32AB7B0D" w14:textId="6542E9B2" w:rsidR="000D2DBB" w:rsidRPr="003D0778" w:rsidRDefault="00626150" w:rsidP="009539D9">
      <w:pPr>
        <w:pStyle w:val="NormaBullet"/>
        <w:rPr>
          <w:szCs w:val="22"/>
        </w:rPr>
      </w:pPr>
      <w:r w:rsidRPr="00823259">
        <w:rPr>
          <w:rFonts w:asciiTheme="minorHAnsi" w:hAnsiTheme="minorHAnsi" w:cs="Arial"/>
          <w:szCs w:val="22"/>
        </w:rPr>
        <w:t>Safely avoid hospital admission</w:t>
      </w:r>
      <w:r w:rsidR="000D2DBB" w:rsidRPr="003D0778">
        <w:rPr>
          <w:szCs w:val="22"/>
        </w:rPr>
        <w:t>.</w:t>
      </w:r>
    </w:p>
    <w:p w14:paraId="779C77F6" w14:textId="00F56EF8" w:rsidR="000D2DBB" w:rsidRDefault="00626150" w:rsidP="009539D9">
      <w:pPr>
        <w:pStyle w:val="NormaBullet"/>
        <w:rPr>
          <w:szCs w:val="22"/>
        </w:rPr>
      </w:pPr>
      <w:r w:rsidRPr="00823259">
        <w:rPr>
          <w:rFonts w:asciiTheme="minorHAnsi" w:hAnsiTheme="minorHAnsi" w:cs="Arial"/>
          <w:szCs w:val="22"/>
        </w:rPr>
        <w:t xml:space="preserve">Maintain the good performance </w:t>
      </w:r>
      <w:r>
        <w:rPr>
          <w:rFonts w:asciiTheme="minorHAnsi" w:hAnsiTheme="minorHAnsi" w:cs="Arial"/>
          <w:szCs w:val="22"/>
        </w:rPr>
        <w:t xml:space="preserve">(red) </w:t>
      </w:r>
      <w:r w:rsidRPr="00823259">
        <w:rPr>
          <w:rFonts w:asciiTheme="minorHAnsi" w:hAnsiTheme="minorHAnsi" w:cs="Arial"/>
          <w:szCs w:val="22"/>
        </w:rPr>
        <w:t xml:space="preserve">against the ambulance response </w:t>
      </w:r>
      <w:proofErr w:type="gramStart"/>
      <w:r w:rsidRPr="00823259">
        <w:rPr>
          <w:rFonts w:asciiTheme="minorHAnsi" w:hAnsiTheme="minorHAnsi" w:cs="Arial"/>
          <w:szCs w:val="22"/>
        </w:rPr>
        <w:t>times</w:t>
      </w:r>
      <w:proofErr w:type="gramEnd"/>
      <w:r w:rsidRPr="00823259">
        <w:rPr>
          <w:rFonts w:asciiTheme="minorHAnsi" w:hAnsiTheme="minorHAnsi" w:cs="Arial"/>
          <w:szCs w:val="22"/>
        </w:rPr>
        <w:t xml:space="preserve"> targets</w:t>
      </w:r>
      <w:r w:rsidR="000D2DBB" w:rsidRPr="003D0778">
        <w:rPr>
          <w:szCs w:val="22"/>
        </w:rPr>
        <w:t>.</w:t>
      </w:r>
    </w:p>
    <w:p w14:paraId="501229D8" w14:textId="77777777" w:rsidR="00626150" w:rsidRDefault="00626150" w:rsidP="00626150">
      <w:pPr>
        <w:pStyle w:val="NormaBullet"/>
        <w:numPr>
          <w:ilvl w:val="0"/>
          <w:numId w:val="0"/>
        </w:numPr>
        <w:ind w:left="360" w:hanging="360"/>
        <w:rPr>
          <w:szCs w:val="22"/>
        </w:rPr>
      </w:pPr>
    </w:p>
    <w:p w14:paraId="105FBA3A" w14:textId="77777777" w:rsidR="00626150" w:rsidRDefault="00626150" w:rsidP="00626150">
      <w:pPr>
        <w:rPr>
          <w:rFonts w:asciiTheme="minorHAnsi" w:hAnsiTheme="minorHAnsi" w:cs="Arial"/>
          <w:szCs w:val="22"/>
        </w:rPr>
      </w:pPr>
      <w:r w:rsidRPr="00823259">
        <w:rPr>
          <w:rFonts w:asciiTheme="minorHAnsi" w:hAnsiTheme="minorHAnsi" w:cs="Arial"/>
          <w:szCs w:val="22"/>
        </w:rPr>
        <w:t>In summary, out specific areas of work will include:</w:t>
      </w:r>
    </w:p>
    <w:p w14:paraId="4377ED54" w14:textId="77777777" w:rsidR="00626150" w:rsidRPr="00C10B0E" w:rsidRDefault="00626150" w:rsidP="003B1653">
      <w:pPr>
        <w:pStyle w:val="ListParagraph"/>
        <w:numPr>
          <w:ilvl w:val="0"/>
          <w:numId w:val="41"/>
        </w:numPr>
        <w:ind w:left="360"/>
        <w:rPr>
          <w:rFonts w:asciiTheme="minorHAnsi" w:hAnsiTheme="minorHAnsi" w:cs="Arial"/>
          <w:szCs w:val="22"/>
        </w:rPr>
      </w:pPr>
      <w:r>
        <w:rPr>
          <w:rFonts w:asciiTheme="minorHAnsi" w:hAnsiTheme="minorHAnsi" w:cs="Arial"/>
          <w:szCs w:val="22"/>
        </w:rPr>
        <w:t>Following establishment of CTMUHB in April 2019, WAST will now need to change their operational management boundaries to align with the new health board arrangements. Commencing April 2020 WAST will be developing the required work streams to take forward this work.</w:t>
      </w:r>
    </w:p>
    <w:p w14:paraId="6AD89A70" w14:textId="77777777" w:rsidR="00626150" w:rsidRPr="00823259" w:rsidRDefault="00626150" w:rsidP="003B1653">
      <w:pPr>
        <w:pStyle w:val="ListParagraph"/>
        <w:numPr>
          <w:ilvl w:val="0"/>
          <w:numId w:val="40"/>
        </w:numPr>
        <w:spacing w:after="160" w:line="254" w:lineRule="auto"/>
        <w:ind w:left="360"/>
        <w:rPr>
          <w:rFonts w:asciiTheme="minorHAnsi" w:hAnsiTheme="minorHAnsi"/>
          <w:szCs w:val="22"/>
        </w:rPr>
      </w:pPr>
      <w:r w:rsidRPr="00823259">
        <w:rPr>
          <w:rFonts w:asciiTheme="minorHAnsi" w:hAnsiTheme="minorHAnsi"/>
          <w:szCs w:val="22"/>
        </w:rPr>
        <w:t>Review of the current pathways of care between WAST and CTMUHB in a programme of work that will review, refresh and improve options for patients.  In particular focusing on more robust alternate pathways for conveyance.</w:t>
      </w:r>
    </w:p>
    <w:p w14:paraId="12A99C3F" w14:textId="77777777" w:rsidR="00626150" w:rsidRDefault="00626150" w:rsidP="003B1653">
      <w:pPr>
        <w:numPr>
          <w:ilvl w:val="0"/>
          <w:numId w:val="40"/>
        </w:numPr>
        <w:ind w:left="360"/>
        <w:rPr>
          <w:rFonts w:asciiTheme="minorHAnsi" w:hAnsiTheme="minorHAnsi"/>
          <w:szCs w:val="22"/>
        </w:rPr>
      </w:pPr>
      <w:r w:rsidRPr="00C10B0E">
        <w:rPr>
          <w:rFonts w:asciiTheme="minorHAnsi" w:hAnsiTheme="minorHAnsi"/>
          <w:szCs w:val="22"/>
        </w:rPr>
        <w:t>Development of a Standard Operating Procedure with CTMUHB Patient Access Team to utilise transport options other than default WAST resources for GP admissions</w:t>
      </w:r>
    </w:p>
    <w:p w14:paraId="0FDBE38C" w14:textId="77777777" w:rsidR="00626150" w:rsidRPr="00C10B0E" w:rsidRDefault="00626150" w:rsidP="003B1653">
      <w:pPr>
        <w:numPr>
          <w:ilvl w:val="0"/>
          <w:numId w:val="40"/>
        </w:numPr>
        <w:ind w:left="360"/>
        <w:rPr>
          <w:rFonts w:asciiTheme="minorHAnsi" w:hAnsiTheme="minorHAnsi"/>
          <w:szCs w:val="22"/>
        </w:rPr>
      </w:pPr>
      <w:r w:rsidRPr="00C10B0E">
        <w:rPr>
          <w:rFonts w:asciiTheme="minorHAnsi" w:hAnsiTheme="minorHAnsi"/>
          <w:szCs w:val="22"/>
        </w:rPr>
        <w:t xml:space="preserve">Develop secondary triage of calls suitable for referral to established patient pathways in </w:t>
      </w:r>
      <w:r>
        <w:rPr>
          <w:rFonts w:asciiTheme="minorHAnsi" w:hAnsiTheme="minorHAnsi"/>
          <w:szCs w:val="22"/>
        </w:rPr>
        <w:t xml:space="preserve">partnership with CTMUHB and Local Authorities. </w:t>
      </w:r>
    </w:p>
    <w:p w14:paraId="01B5305B" w14:textId="77777777" w:rsidR="00626150" w:rsidRPr="00823259" w:rsidRDefault="00626150" w:rsidP="003B1653">
      <w:pPr>
        <w:numPr>
          <w:ilvl w:val="0"/>
          <w:numId w:val="40"/>
        </w:numPr>
        <w:ind w:left="360"/>
        <w:rPr>
          <w:rFonts w:asciiTheme="minorHAnsi" w:hAnsiTheme="minorHAnsi"/>
          <w:szCs w:val="22"/>
        </w:rPr>
      </w:pPr>
      <w:r w:rsidRPr="00823259">
        <w:rPr>
          <w:rFonts w:asciiTheme="minorHAnsi" w:hAnsiTheme="minorHAnsi"/>
          <w:szCs w:val="22"/>
        </w:rPr>
        <w:t>In conjunction with CTM</w:t>
      </w:r>
      <w:r>
        <w:rPr>
          <w:rFonts w:asciiTheme="minorHAnsi" w:hAnsiTheme="minorHAnsi"/>
          <w:szCs w:val="22"/>
        </w:rPr>
        <w:t>U</w:t>
      </w:r>
      <w:r w:rsidRPr="00823259">
        <w:rPr>
          <w:rFonts w:asciiTheme="minorHAnsi" w:hAnsiTheme="minorHAnsi"/>
          <w:szCs w:val="22"/>
        </w:rPr>
        <w:t xml:space="preserve">HB explore developing the SICAT (Single </w:t>
      </w:r>
      <w:r>
        <w:rPr>
          <w:rFonts w:asciiTheme="minorHAnsi" w:hAnsiTheme="minorHAnsi"/>
          <w:szCs w:val="22"/>
        </w:rPr>
        <w:t>Integrated Clinical Assessment a</w:t>
      </w:r>
      <w:r w:rsidRPr="00823259">
        <w:rPr>
          <w:rFonts w:asciiTheme="minorHAnsi" w:hAnsiTheme="minorHAnsi"/>
          <w:szCs w:val="22"/>
        </w:rPr>
        <w:t>nd Triage) model across South East Wales.</w:t>
      </w:r>
    </w:p>
    <w:p w14:paraId="1F0CB2E8" w14:textId="77777777" w:rsidR="00626150" w:rsidRPr="00823259" w:rsidRDefault="00626150" w:rsidP="003B1653">
      <w:pPr>
        <w:numPr>
          <w:ilvl w:val="0"/>
          <w:numId w:val="40"/>
        </w:numPr>
        <w:ind w:left="360"/>
        <w:rPr>
          <w:rFonts w:asciiTheme="minorHAnsi" w:hAnsiTheme="minorHAnsi"/>
          <w:szCs w:val="22"/>
        </w:rPr>
      </w:pPr>
      <w:r w:rsidRPr="00823259">
        <w:rPr>
          <w:rFonts w:asciiTheme="minorHAnsi" w:hAnsiTheme="minorHAnsi"/>
          <w:szCs w:val="22"/>
        </w:rPr>
        <w:t>Develop a Respiratory Pathway with CTUHB Primary Care Team or Local Authority A @ home service to support patient in their own home and negating the need to admit to DGH unnecessarily.</w:t>
      </w:r>
    </w:p>
    <w:p w14:paraId="45382954" w14:textId="77777777" w:rsidR="00626150" w:rsidRPr="00A32CB3" w:rsidRDefault="00626150" w:rsidP="003B1653">
      <w:pPr>
        <w:numPr>
          <w:ilvl w:val="0"/>
          <w:numId w:val="40"/>
        </w:numPr>
        <w:ind w:left="360"/>
        <w:rPr>
          <w:rFonts w:asciiTheme="minorHAnsi" w:hAnsiTheme="minorHAnsi"/>
          <w:szCs w:val="22"/>
        </w:rPr>
      </w:pPr>
      <w:r w:rsidRPr="00823259">
        <w:rPr>
          <w:rFonts w:asciiTheme="minorHAnsi" w:hAnsiTheme="minorHAnsi"/>
          <w:szCs w:val="22"/>
        </w:rPr>
        <w:t>Develop a D&amp;V Pathway with CTUHB Primary Care Team or LA @ home service to support patient in their own home and negating the need to admit to DGH unnecessarily.</w:t>
      </w:r>
    </w:p>
    <w:p w14:paraId="63DC2AB8" w14:textId="77777777" w:rsidR="00626150" w:rsidRPr="003D0778" w:rsidRDefault="00626150" w:rsidP="00626150">
      <w:pPr>
        <w:pStyle w:val="NormaBullet"/>
        <w:numPr>
          <w:ilvl w:val="0"/>
          <w:numId w:val="0"/>
        </w:numPr>
        <w:ind w:left="360" w:hanging="360"/>
        <w:rPr>
          <w:szCs w:val="22"/>
        </w:rPr>
      </w:pPr>
    </w:p>
    <w:p w14:paraId="13EC8C6D" w14:textId="77777777" w:rsidR="00626150" w:rsidRPr="003D0778" w:rsidRDefault="00626150" w:rsidP="00626150">
      <w:pPr>
        <w:rPr>
          <w:rFonts w:asciiTheme="minorHAnsi" w:hAnsiTheme="minorHAnsi"/>
          <w:b/>
          <w:szCs w:val="22"/>
        </w:rPr>
      </w:pPr>
      <w:r w:rsidRPr="003D0778">
        <w:rPr>
          <w:rFonts w:asciiTheme="minorHAnsi" w:hAnsiTheme="minorHAnsi"/>
          <w:b/>
          <w:szCs w:val="22"/>
        </w:rPr>
        <w:t>Ward Based Care</w:t>
      </w:r>
    </w:p>
    <w:p w14:paraId="74D3E838" w14:textId="77777777" w:rsidR="00626150" w:rsidRPr="003D0778" w:rsidRDefault="00626150" w:rsidP="00626150">
      <w:pPr>
        <w:rPr>
          <w:rFonts w:asciiTheme="minorHAnsi" w:hAnsiTheme="minorHAnsi"/>
          <w:szCs w:val="22"/>
        </w:rPr>
      </w:pPr>
      <w:r w:rsidRPr="003D0778">
        <w:rPr>
          <w:rFonts w:asciiTheme="minorHAnsi" w:hAnsiTheme="minorHAnsi"/>
          <w:szCs w:val="22"/>
        </w:rPr>
        <w:t>Many of the bottle necks and delays within the system occur during the early part of the day and weekend discharge rates are minimal.  Plans are already being implemented to:</w:t>
      </w:r>
    </w:p>
    <w:p w14:paraId="00809626" w14:textId="77777777" w:rsidR="00626150" w:rsidRPr="003D0778" w:rsidRDefault="00626150" w:rsidP="00626150">
      <w:pPr>
        <w:pStyle w:val="NormaBullet"/>
        <w:rPr>
          <w:szCs w:val="22"/>
        </w:rPr>
      </w:pPr>
      <w:r w:rsidRPr="003D0778">
        <w:rPr>
          <w:szCs w:val="22"/>
        </w:rPr>
        <w:t>Continue the daily multidisciplinary board rounds on D</w:t>
      </w:r>
      <w:r>
        <w:rPr>
          <w:szCs w:val="22"/>
        </w:rPr>
        <w:t xml:space="preserve">istrict </w:t>
      </w:r>
      <w:r w:rsidRPr="003D0778">
        <w:rPr>
          <w:szCs w:val="22"/>
        </w:rPr>
        <w:t>G</w:t>
      </w:r>
      <w:r>
        <w:rPr>
          <w:szCs w:val="22"/>
        </w:rPr>
        <w:t xml:space="preserve">eneral </w:t>
      </w:r>
      <w:r w:rsidRPr="003D0778">
        <w:rPr>
          <w:szCs w:val="22"/>
        </w:rPr>
        <w:t>H</w:t>
      </w:r>
      <w:r>
        <w:rPr>
          <w:szCs w:val="22"/>
        </w:rPr>
        <w:t>ospital (DGH)</w:t>
      </w:r>
      <w:r w:rsidRPr="003D0778">
        <w:rPr>
          <w:szCs w:val="22"/>
        </w:rPr>
        <w:t xml:space="preserve"> sites.</w:t>
      </w:r>
    </w:p>
    <w:p w14:paraId="600CCF33" w14:textId="77777777" w:rsidR="00626150" w:rsidRPr="003D0778" w:rsidRDefault="00626150" w:rsidP="00626150">
      <w:pPr>
        <w:pStyle w:val="NormaBullet"/>
        <w:rPr>
          <w:szCs w:val="22"/>
        </w:rPr>
      </w:pPr>
      <w:r w:rsidRPr="003D0778">
        <w:rPr>
          <w:szCs w:val="22"/>
        </w:rPr>
        <w:t>Monitor the implementation of the anticipated day of discharge model on all hospital sites in line with the frailty model.</w:t>
      </w:r>
    </w:p>
    <w:p w14:paraId="6675B57D" w14:textId="77777777" w:rsidR="00626150" w:rsidRPr="003D0778" w:rsidRDefault="00626150" w:rsidP="00626150">
      <w:pPr>
        <w:pStyle w:val="NormaBullet"/>
        <w:rPr>
          <w:szCs w:val="22"/>
        </w:rPr>
      </w:pPr>
      <w:r w:rsidRPr="003D0778">
        <w:rPr>
          <w:szCs w:val="22"/>
        </w:rPr>
        <w:t>Monitor implementation of criteria led discharge across all hospital sites.</w:t>
      </w:r>
    </w:p>
    <w:p w14:paraId="4CC0592C" w14:textId="77777777" w:rsidR="00626150" w:rsidRPr="003D0778" w:rsidRDefault="00626150" w:rsidP="00626150">
      <w:pPr>
        <w:pStyle w:val="NormaBullet"/>
        <w:rPr>
          <w:szCs w:val="22"/>
        </w:rPr>
      </w:pPr>
      <w:r w:rsidRPr="003D0778">
        <w:rPr>
          <w:szCs w:val="22"/>
        </w:rPr>
        <w:t>Utilise the discharge lounges facilities on each DGH site.</w:t>
      </w:r>
    </w:p>
    <w:p w14:paraId="0A29C1E2" w14:textId="77777777" w:rsidR="00626150" w:rsidRPr="003D0778" w:rsidRDefault="00626150" w:rsidP="00626150">
      <w:pPr>
        <w:pStyle w:val="NormaBullet"/>
        <w:rPr>
          <w:szCs w:val="22"/>
        </w:rPr>
      </w:pPr>
      <w:r w:rsidRPr="003D0778">
        <w:rPr>
          <w:szCs w:val="22"/>
        </w:rPr>
        <w:t>Audit and monitor the live bed management/patient transfer system.</w:t>
      </w:r>
    </w:p>
    <w:p w14:paraId="7EFFA6DB" w14:textId="77777777" w:rsidR="00626150" w:rsidRPr="003D0778" w:rsidRDefault="00626150" w:rsidP="00626150">
      <w:pPr>
        <w:pStyle w:val="NormaBullet"/>
        <w:rPr>
          <w:szCs w:val="22"/>
        </w:rPr>
      </w:pPr>
      <w:r w:rsidRPr="003D0778">
        <w:rPr>
          <w:szCs w:val="22"/>
        </w:rPr>
        <w:t>Continue with daily deep dives at each of the community hospitals.</w:t>
      </w:r>
    </w:p>
    <w:p w14:paraId="7548A7A3" w14:textId="77777777" w:rsidR="00E95113" w:rsidRDefault="00E95113" w:rsidP="000D2DBB">
      <w:pPr>
        <w:rPr>
          <w:rFonts w:asciiTheme="minorHAnsi" w:hAnsiTheme="minorHAnsi"/>
          <w:b/>
          <w:szCs w:val="22"/>
        </w:rPr>
      </w:pPr>
    </w:p>
    <w:p w14:paraId="15309155" w14:textId="77777777" w:rsidR="000D2DBB" w:rsidRPr="003D0778" w:rsidRDefault="000D2DBB" w:rsidP="000D2DBB">
      <w:pPr>
        <w:rPr>
          <w:rFonts w:asciiTheme="minorHAnsi" w:hAnsiTheme="minorHAnsi"/>
          <w:b/>
          <w:szCs w:val="22"/>
        </w:rPr>
      </w:pPr>
      <w:r w:rsidRPr="003D0778">
        <w:rPr>
          <w:rFonts w:asciiTheme="minorHAnsi" w:hAnsiTheme="minorHAnsi"/>
          <w:b/>
          <w:szCs w:val="22"/>
        </w:rPr>
        <w:t>Supporting the Emergency Department</w:t>
      </w:r>
    </w:p>
    <w:p w14:paraId="64DD0C6A" w14:textId="77777777" w:rsidR="00626150" w:rsidRPr="003D0778" w:rsidRDefault="00626150" w:rsidP="00626150">
      <w:pPr>
        <w:rPr>
          <w:rFonts w:asciiTheme="minorHAnsi" w:hAnsiTheme="minorHAnsi"/>
          <w:szCs w:val="22"/>
        </w:rPr>
      </w:pPr>
      <w:r w:rsidRPr="003D0778">
        <w:rPr>
          <w:rFonts w:asciiTheme="minorHAnsi" w:hAnsiTheme="minorHAnsi"/>
          <w:szCs w:val="22"/>
        </w:rPr>
        <w:t>A range of actions are already underway to improve system performance in the acute part of the unscheduled care pathway and these include:</w:t>
      </w:r>
    </w:p>
    <w:p w14:paraId="0F32308D" w14:textId="77777777" w:rsidR="00626150" w:rsidRPr="003D0778" w:rsidRDefault="00626150" w:rsidP="00626150">
      <w:pPr>
        <w:pStyle w:val="NormaBullet"/>
        <w:rPr>
          <w:color w:val="000000" w:themeColor="text1"/>
          <w:szCs w:val="22"/>
        </w:rPr>
      </w:pPr>
      <w:r w:rsidRPr="003D0778">
        <w:rPr>
          <w:color w:val="000000" w:themeColor="text1"/>
          <w:szCs w:val="22"/>
        </w:rPr>
        <w:t>Establishment of Ambulatory Emergency Surgical Unit (AESU) in Princess of Wales Hospital</w:t>
      </w:r>
      <w:r>
        <w:rPr>
          <w:color w:val="000000" w:themeColor="text1"/>
          <w:szCs w:val="22"/>
        </w:rPr>
        <w:t xml:space="preserve"> (POW)</w:t>
      </w:r>
      <w:r w:rsidRPr="003D0778">
        <w:rPr>
          <w:color w:val="000000" w:themeColor="text1"/>
          <w:szCs w:val="22"/>
        </w:rPr>
        <w:t xml:space="preserve"> to improve performance within the Emergency Department in re-routing patients from ED to the AESU, improve patient flow and improve 4 hour target compliance. </w:t>
      </w:r>
    </w:p>
    <w:p w14:paraId="137D563C" w14:textId="77777777" w:rsidR="00626150" w:rsidRPr="0040789E" w:rsidRDefault="00626150" w:rsidP="00626150">
      <w:pPr>
        <w:pStyle w:val="NormaBullet"/>
        <w:rPr>
          <w:szCs w:val="22"/>
        </w:rPr>
      </w:pPr>
      <w:r w:rsidRPr="003D0778">
        <w:rPr>
          <w:color w:val="000000" w:themeColor="text1"/>
          <w:szCs w:val="22"/>
        </w:rPr>
        <w:t xml:space="preserve">Establishment of a frailty at front door service in </w:t>
      </w:r>
      <w:r>
        <w:rPr>
          <w:color w:val="000000" w:themeColor="text1"/>
          <w:szCs w:val="22"/>
        </w:rPr>
        <w:t>POW</w:t>
      </w:r>
      <w:r w:rsidRPr="003D0778">
        <w:rPr>
          <w:color w:val="000000" w:themeColor="text1"/>
          <w:szCs w:val="22"/>
        </w:rPr>
        <w:t xml:space="preserve"> Hospital with multi-disciplinary front door assessment service to deliver comprehensive geriatric assessment for older patients attending the </w:t>
      </w:r>
      <w:r>
        <w:rPr>
          <w:color w:val="000000" w:themeColor="text1"/>
          <w:szCs w:val="22"/>
        </w:rPr>
        <w:t>POW</w:t>
      </w:r>
      <w:r w:rsidRPr="003D0778">
        <w:rPr>
          <w:color w:val="000000" w:themeColor="text1"/>
          <w:szCs w:val="22"/>
        </w:rPr>
        <w:t xml:space="preserve"> Acute Medical Unit and ED to ensure all suitable patients have an early assessment and follow the appropriate pathway to meet their needs.</w:t>
      </w:r>
    </w:p>
    <w:p w14:paraId="4A61FA70" w14:textId="77777777" w:rsidR="00626150" w:rsidRDefault="00626150" w:rsidP="00626150">
      <w:pPr>
        <w:pStyle w:val="NormaBullet"/>
        <w:rPr>
          <w:szCs w:val="22"/>
        </w:rPr>
      </w:pPr>
      <w:r w:rsidRPr="003D0778">
        <w:rPr>
          <w:szCs w:val="22"/>
        </w:rPr>
        <w:t>Ambulatory care facilities</w:t>
      </w:r>
      <w:r>
        <w:rPr>
          <w:szCs w:val="22"/>
        </w:rPr>
        <w:t>, including</w:t>
      </w:r>
      <w:r w:rsidRPr="003D0778">
        <w:rPr>
          <w:szCs w:val="22"/>
        </w:rPr>
        <w:t xml:space="preserve"> </w:t>
      </w:r>
      <w:r w:rsidRPr="003D0778">
        <w:rPr>
          <w:color w:val="000000" w:themeColor="text1"/>
          <w:szCs w:val="22"/>
        </w:rPr>
        <w:t>Age Connect Morgannwg early discharge support service</w:t>
      </w:r>
      <w:r>
        <w:rPr>
          <w:color w:val="000000" w:themeColor="text1"/>
          <w:szCs w:val="22"/>
        </w:rPr>
        <w:t>,</w:t>
      </w:r>
      <w:r w:rsidRPr="003D0778">
        <w:rPr>
          <w:color w:val="000000" w:themeColor="text1"/>
          <w:szCs w:val="22"/>
        </w:rPr>
        <w:t xml:space="preserve"> </w:t>
      </w:r>
      <w:r w:rsidRPr="003D0778">
        <w:rPr>
          <w:szCs w:val="22"/>
        </w:rPr>
        <w:t xml:space="preserve">are aligned with the emergency departments on </w:t>
      </w:r>
      <w:r>
        <w:rPr>
          <w:szCs w:val="22"/>
        </w:rPr>
        <w:t>all</w:t>
      </w:r>
      <w:r w:rsidRPr="003D0778">
        <w:rPr>
          <w:szCs w:val="22"/>
        </w:rPr>
        <w:t xml:space="preserve"> acute sites.</w:t>
      </w:r>
    </w:p>
    <w:p w14:paraId="2BD16ED5" w14:textId="77777777" w:rsidR="00626150" w:rsidRPr="003D0778" w:rsidRDefault="00626150" w:rsidP="00626150">
      <w:pPr>
        <w:pStyle w:val="NormaBullet"/>
        <w:rPr>
          <w:szCs w:val="22"/>
        </w:rPr>
      </w:pPr>
      <w:r>
        <w:rPr>
          <w:szCs w:val="22"/>
        </w:rPr>
        <w:t xml:space="preserve">Following a meeting with Welsh Government joining other Emergency Departments in Wales to host the British Red Cross “Well Being and Home Safe Service” which is a volunteer led service.  The service will be operational from December 2019 at Prince Charles and Royal Glamorgan Hospitals, 10 hours a day 7 days a week. The service has been operational at Princess of Wales Hospital over the last years as part of a pilot project. </w:t>
      </w:r>
    </w:p>
    <w:p w14:paraId="1C95BA8C" w14:textId="77777777" w:rsidR="00626150" w:rsidRPr="003D0778" w:rsidRDefault="00626150" w:rsidP="00626150">
      <w:pPr>
        <w:pStyle w:val="NormaBullet"/>
        <w:rPr>
          <w:szCs w:val="22"/>
        </w:rPr>
      </w:pPr>
      <w:r w:rsidRPr="003D0778">
        <w:rPr>
          <w:szCs w:val="22"/>
        </w:rPr>
        <w:t>Psychiatric liaison and crisis resolution services</w:t>
      </w:r>
      <w:r>
        <w:rPr>
          <w:szCs w:val="22"/>
        </w:rPr>
        <w:t>.</w:t>
      </w:r>
    </w:p>
    <w:p w14:paraId="3722462E" w14:textId="77777777" w:rsidR="00626150" w:rsidRPr="003D0778" w:rsidRDefault="00626150" w:rsidP="00626150">
      <w:pPr>
        <w:pStyle w:val="NormaBullet"/>
        <w:rPr>
          <w:color w:val="000000" w:themeColor="text1"/>
          <w:szCs w:val="22"/>
        </w:rPr>
      </w:pPr>
      <w:r w:rsidRPr="003D0778">
        <w:rPr>
          <w:color w:val="000000" w:themeColor="text1"/>
          <w:szCs w:val="22"/>
        </w:rPr>
        <w:lastRenderedPageBreak/>
        <w:t>Review on a case by case basis those patients who remain in the emergency department over 12 hours to understand the reasons and highlight issues within the patient pathway.</w:t>
      </w:r>
    </w:p>
    <w:p w14:paraId="38EB2AD4" w14:textId="77777777" w:rsidR="00626150" w:rsidRPr="003D0778" w:rsidRDefault="00626150" w:rsidP="00626150">
      <w:pPr>
        <w:pStyle w:val="NormaBullet"/>
        <w:rPr>
          <w:szCs w:val="22"/>
        </w:rPr>
      </w:pPr>
      <w:r w:rsidRPr="003D0778">
        <w:rPr>
          <w:szCs w:val="22"/>
        </w:rPr>
        <w:t>Dedicated space on each DGH site to protect minor injuries stream.</w:t>
      </w:r>
    </w:p>
    <w:p w14:paraId="30D6D1DF" w14:textId="77777777" w:rsidR="00626150" w:rsidRPr="003D0778" w:rsidRDefault="00626150" w:rsidP="00626150">
      <w:pPr>
        <w:pStyle w:val="NormaBullet"/>
        <w:rPr>
          <w:color w:val="000000" w:themeColor="text1"/>
          <w:szCs w:val="22"/>
        </w:rPr>
      </w:pPr>
      <w:r w:rsidRPr="003D0778">
        <w:rPr>
          <w:color w:val="000000" w:themeColor="text1"/>
          <w:szCs w:val="22"/>
        </w:rPr>
        <w:t>Further develop Consultant in Acute Medicine model to improve cross cover and depth of Consultant cover and in-reach into the ED to cover medical intake.</w:t>
      </w:r>
    </w:p>
    <w:p w14:paraId="3C3E1D19" w14:textId="77777777" w:rsidR="00626150" w:rsidRDefault="00626150" w:rsidP="00626150">
      <w:pPr>
        <w:pStyle w:val="NormaBullet"/>
        <w:rPr>
          <w:color w:val="000000" w:themeColor="text1"/>
          <w:szCs w:val="22"/>
        </w:rPr>
      </w:pPr>
      <w:r w:rsidRPr="003D0778">
        <w:rPr>
          <w:color w:val="000000" w:themeColor="text1"/>
          <w:szCs w:val="22"/>
        </w:rPr>
        <w:t xml:space="preserve">Increase senior decision maker medical workforce and develop robust models for practitioner and nursing workforce to ensure sustainable emergency medicine model. </w:t>
      </w:r>
    </w:p>
    <w:p w14:paraId="35EF0DB1" w14:textId="77777777" w:rsidR="00626150" w:rsidRDefault="00626150" w:rsidP="00626150">
      <w:pPr>
        <w:pStyle w:val="NormaBullet"/>
        <w:rPr>
          <w:color w:val="000000" w:themeColor="text1"/>
          <w:szCs w:val="22"/>
        </w:rPr>
      </w:pPr>
      <w:r>
        <w:rPr>
          <w:color w:val="000000" w:themeColor="text1"/>
          <w:szCs w:val="22"/>
        </w:rPr>
        <w:t>Welsh Government has allocated funding to all UHBs for a frequent attenders service. Two Case Managers and admin assistants have been funded until the end of the financial year.   Clinically led frequent attenders meetings are now held on a regularly basis on each site.</w:t>
      </w:r>
    </w:p>
    <w:p w14:paraId="2EED0F53" w14:textId="77777777" w:rsidR="00626150" w:rsidRPr="00626150" w:rsidRDefault="00626150" w:rsidP="00626150">
      <w:pPr>
        <w:pStyle w:val="NormaBullet"/>
        <w:rPr>
          <w:rFonts w:asciiTheme="minorHAnsi" w:hAnsiTheme="minorHAnsi"/>
          <w:color w:val="000000" w:themeColor="text1"/>
          <w:szCs w:val="22"/>
        </w:rPr>
      </w:pPr>
      <w:r w:rsidRPr="0029374E">
        <w:rPr>
          <w:rFonts w:asciiTheme="minorHAnsi" w:hAnsiTheme="minorHAnsi"/>
        </w:rPr>
        <w:t>As mentioned previously the SW@HT service including a skill mix of social workers, occupational therapists, occupational therapy technicians and physiotherapists, working seven days a week from 8am to 8pm, will undertake assessment at EDs and support individuals to be discharged home. SW@HT will access a four hour response from social care and the nursing @home service to ensure appropriate support can be provide in the community to ensure a safe timely discharge;</w:t>
      </w:r>
    </w:p>
    <w:p w14:paraId="78E358F9" w14:textId="77777777" w:rsidR="00626150" w:rsidRDefault="00626150" w:rsidP="00626150">
      <w:pPr>
        <w:pStyle w:val="NormaBullet"/>
        <w:numPr>
          <w:ilvl w:val="0"/>
          <w:numId w:val="0"/>
        </w:numPr>
        <w:ind w:left="360" w:hanging="360"/>
        <w:rPr>
          <w:rFonts w:asciiTheme="minorHAnsi" w:hAnsiTheme="minorHAnsi"/>
        </w:rPr>
      </w:pPr>
    </w:p>
    <w:p w14:paraId="5CB18524" w14:textId="77777777" w:rsidR="00626150" w:rsidRPr="00B36DE2" w:rsidRDefault="00626150" w:rsidP="00626150">
      <w:pPr>
        <w:rPr>
          <w:rFonts w:asciiTheme="minorHAnsi" w:hAnsiTheme="minorHAnsi"/>
          <w:b/>
          <w:color w:val="000000"/>
        </w:rPr>
      </w:pPr>
      <w:r w:rsidRPr="00B36DE2">
        <w:rPr>
          <w:rFonts w:asciiTheme="minorHAnsi" w:hAnsiTheme="minorHAnsi"/>
          <w:b/>
          <w:color w:val="000000"/>
        </w:rPr>
        <w:t>Discharge and Locality Based Care</w:t>
      </w:r>
    </w:p>
    <w:p w14:paraId="214D9889" w14:textId="77777777" w:rsidR="00626150" w:rsidRDefault="00626150" w:rsidP="00626150">
      <w:pPr>
        <w:rPr>
          <w:rFonts w:asciiTheme="minorHAnsi" w:hAnsiTheme="minorHAnsi"/>
          <w:color w:val="000000"/>
        </w:rPr>
      </w:pPr>
      <w:r>
        <w:rPr>
          <w:rFonts w:asciiTheme="minorHAnsi" w:hAnsiTheme="minorHAnsi"/>
          <w:color w:val="000000"/>
        </w:rPr>
        <w:t>As mentioned above, as one of the Transformational Fund requirements, one element of current community health service provision which requests a key development in the shift to “out of hospital” care to date, is our @Home Single Point of Access which includes a range of clinical interventions supported by Triage:</w:t>
      </w:r>
    </w:p>
    <w:p w14:paraId="38E18D2C" w14:textId="77777777" w:rsidR="00626150" w:rsidRDefault="00626150" w:rsidP="003B1653">
      <w:pPr>
        <w:pStyle w:val="ListParagraph"/>
        <w:numPr>
          <w:ilvl w:val="0"/>
          <w:numId w:val="42"/>
        </w:numPr>
        <w:rPr>
          <w:rFonts w:asciiTheme="minorHAnsi" w:hAnsiTheme="minorHAnsi"/>
          <w:color w:val="000000"/>
        </w:rPr>
      </w:pPr>
      <w:r>
        <w:rPr>
          <w:rFonts w:asciiTheme="minorHAnsi" w:hAnsiTheme="minorHAnsi"/>
          <w:color w:val="000000"/>
        </w:rPr>
        <w:t>Cons</w:t>
      </w:r>
      <w:r w:rsidRPr="00A32CB3">
        <w:rPr>
          <w:rFonts w:asciiTheme="minorHAnsi" w:hAnsiTheme="minorHAnsi"/>
          <w:color w:val="000000"/>
        </w:rPr>
        <w:t xml:space="preserve">ultant </w:t>
      </w:r>
      <w:r>
        <w:rPr>
          <w:rFonts w:asciiTheme="minorHAnsi" w:hAnsiTheme="minorHAnsi"/>
          <w:color w:val="000000"/>
        </w:rPr>
        <w:t>led assessment (72 hour)</w:t>
      </w:r>
    </w:p>
    <w:p w14:paraId="3FF19CD0" w14:textId="77777777" w:rsidR="00626150" w:rsidRDefault="00626150" w:rsidP="003B1653">
      <w:pPr>
        <w:pStyle w:val="ListParagraph"/>
        <w:numPr>
          <w:ilvl w:val="0"/>
          <w:numId w:val="42"/>
        </w:numPr>
        <w:rPr>
          <w:rFonts w:asciiTheme="minorHAnsi" w:hAnsiTheme="minorHAnsi"/>
          <w:color w:val="000000"/>
        </w:rPr>
      </w:pPr>
      <w:r>
        <w:rPr>
          <w:rFonts w:asciiTheme="minorHAnsi" w:hAnsiTheme="minorHAnsi"/>
          <w:color w:val="000000"/>
        </w:rPr>
        <w:t>Initial Registered Nurse Response (4 hour)</w:t>
      </w:r>
    </w:p>
    <w:p w14:paraId="3319AA82" w14:textId="77777777" w:rsidR="00626150" w:rsidRDefault="00626150" w:rsidP="003B1653">
      <w:pPr>
        <w:pStyle w:val="ListParagraph"/>
        <w:numPr>
          <w:ilvl w:val="0"/>
          <w:numId w:val="42"/>
        </w:numPr>
        <w:rPr>
          <w:rFonts w:asciiTheme="minorHAnsi" w:hAnsiTheme="minorHAnsi"/>
          <w:color w:val="000000"/>
        </w:rPr>
      </w:pPr>
      <w:r>
        <w:rPr>
          <w:rFonts w:asciiTheme="minorHAnsi" w:hAnsiTheme="minorHAnsi"/>
          <w:color w:val="000000"/>
        </w:rPr>
        <w:t>Community IV intervention (same day)</w:t>
      </w:r>
    </w:p>
    <w:p w14:paraId="7AAF19FC" w14:textId="77777777" w:rsidR="00626150" w:rsidRDefault="00626150" w:rsidP="003B1653">
      <w:pPr>
        <w:pStyle w:val="ListParagraph"/>
        <w:numPr>
          <w:ilvl w:val="0"/>
          <w:numId w:val="42"/>
        </w:numPr>
        <w:rPr>
          <w:rFonts w:asciiTheme="minorHAnsi" w:hAnsiTheme="minorHAnsi"/>
          <w:color w:val="000000"/>
        </w:rPr>
      </w:pPr>
      <w:r>
        <w:rPr>
          <w:rFonts w:asciiTheme="minorHAnsi" w:hAnsiTheme="minorHAnsi"/>
          <w:color w:val="000000"/>
        </w:rPr>
        <w:t>Community replacement fluids e.g subcutaneous.</w:t>
      </w:r>
    </w:p>
    <w:p w14:paraId="2A84D3CE" w14:textId="77777777" w:rsidR="00626150" w:rsidRDefault="00626150" w:rsidP="00626150">
      <w:pPr>
        <w:rPr>
          <w:rFonts w:asciiTheme="minorHAnsi" w:hAnsiTheme="minorHAnsi"/>
          <w:color w:val="000000"/>
        </w:rPr>
      </w:pPr>
    </w:p>
    <w:p w14:paraId="44BE5808" w14:textId="77777777" w:rsidR="00626150" w:rsidRPr="00A32CB3" w:rsidRDefault="00626150" w:rsidP="00626150">
      <w:pPr>
        <w:rPr>
          <w:rFonts w:asciiTheme="minorHAnsi" w:hAnsiTheme="minorHAnsi"/>
          <w:color w:val="000000"/>
        </w:rPr>
      </w:pPr>
      <w:r>
        <w:rPr>
          <w:rFonts w:asciiTheme="minorHAnsi" w:hAnsiTheme="minorHAnsi"/>
          <w:color w:val="000000"/>
        </w:rPr>
        <w:t>These services help bridge the gap between core primary/community and secondary care services and support our district nursing and GP colleagues in complex assessment and care in the community.</w:t>
      </w:r>
    </w:p>
    <w:p w14:paraId="66A9AFDD" w14:textId="77777777" w:rsidR="000D2DBB" w:rsidRPr="003D0778" w:rsidRDefault="000D2DBB" w:rsidP="000D2DBB">
      <w:pPr>
        <w:rPr>
          <w:bCs/>
          <w:szCs w:val="22"/>
        </w:rPr>
      </w:pPr>
    </w:p>
    <w:p w14:paraId="20C8560F" w14:textId="77777777" w:rsidR="00E02C36" w:rsidRDefault="000D2DBB" w:rsidP="00E02C36">
      <w:pPr>
        <w:rPr>
          <w:rFonts w:asciiTheme="minorHAnsi" w:hAnsiTheme="minorHAnsi"/>
          <w:color w:val="943634" w:themeColor="accent2" w:themeShade="BF"/>
          <w:szCs w:val="22"/>
        </w:rPr>
      </w:pPr>
      <w:r w:rsidRPr="003D0778">
        <w:rPr>
          <w:rFonts w:asciiTheme="minorHAnsi" w:hAnsiTheme="minorHAnsi"/>
          <w:b/>
          <w:bCs/>
          <w:szCs w:val="22"/>
        </w:rPr>
        <w:t>Summary of other key areas of work particularly over the Winter Period</w:t>
      </w:r>
    </w:p>
    <w:p w14:paraId="42A2E245" w14:textId="409A3040" w:rsidR="00E02C36" w:rsidRDefault="00E02C36" w:rsidP="00E02C36">
      <w:pPr>
        <w:rPr>
          <w:rStyle w:val="Hyperlink"/>
          <w:rFonts w:asciiTheme="minorHAnsi" w:eastAsiaTheme="majorEastAsia" w:hAnsiTheme="minorHAnsi" w:cs="Tahoma"/>
          <w:color w:val="943634" w:themeColor="accent2" w:themeShade="BF"/>
          <w:szCs w:val="22"/>
        </w:rPr>
      </w:pPr>
      <w:r w:rsidRPr="00626150">
        <w:rPr>
          <w:rFonts w:asciiTheme="minorHAnsi" w:hAnsiTheme="minorHAnsi"/>
          <w:color w:val="943634" w:themeColor="accent2" w:themeShade="BF"/>
          <w:szCs w:val="22"/>
        </w:rPr>
        <w:t xml:space="preserve">Further information on these initiatives is detailed within our </w:t>
      </w:r>
      <w:hyperlink r:id="rId66" w:history="1">
        <w:r w:rsidRPr="00626150">
          <w:rPr>
            <w:rStyle w:val="Hyperlink"/>
            <w:rFonts w:asciiTheme="minorHAnsi" w:eastAsiaTheme="majorEastAsia" w:hAnsiTheme="minorHAnsi" w:cs="Tahoma"/>
            <w:color w:val="943634" w:themeColor="accent2" w:themeShade="BF"/>
            <w:szCs w:val="22"/>
          </w:rPr>
          <w:t>Winter Plan 2018/2019</w:t>
        </w:r>
      </w:hyperlink>
      <w:r w:rsidRPr="00626150">
        <w:rPr>
          <w:rStyle w:val="Hyperlink"/>
          <w:rFonts w:asciiTheme="minorHAnsi" w:eastAsiaTheme="majorEastAsia" w:hAnsiTheme="minorHAnsi" w:cs="Tahoma"/>
          <w:color w:val="943634" w:themeColor="accent2" w:themeShade="BF"/>
          <w:szCs w:val="22"/>
        </w:rPr>
        <w:t>.</w:t>
      </w:r>
    </w:p>
    <w:p w14:paraId="744F1F82" w14:textId="77777777" w:rsidR="000D2DBB" w:rsidRPr="003D0778" w:rsidRDefault="000D2DBB" w:rsidP="000D2DBB">
      <w:pPr>
        <w:rPr>
          <w:rFonts w:asciiTheme="minorHAnsi" w:hAnsiTheme="minorHAnsi"/>
          <w:b/>
          <w:bCs/>
          <w:szCs w:val="22"/>
        </w:rPr>
      </w:pPr>
    </w:p>
    <w:p w14:paraId="1A78AE66" w14:textId="77777777" w:rsidR="000D2DBB" w:rsidRPr="003D0778" w:rsidRDefault="000D2DBB" w:rsidP="000D2DBB">
      <w:pPr>
        <w:rPr>
          <w:rFonts w:asciiTheme="minorHAnsi" w:hAnsiTheme="minorHAnsi"/>
          <w:szCs w:val="22"/>
        </w:rPr>
      </w:pPr>
      <w:r w:rsidRPr="003D0778">
        <w:rPr>
          <w:rFonts w:asciiTheme="minorHAnsi" w:hAnsiTheme="minorHAnsi"/>
          <w:szCs w:val="22"/>
        </w:rPr>
        <w:t>Work on patient flow across the whole healthcare system continues with implementation of the following interventions:</w:t>
      </w:r>
    </w:p>
    <w:p w14:paraId="574C4ACA" w14:textId="77777777" w:rsidR="00626150" w:rsidRPr="003D0778" w:rsidRDefault="00626150" w:rsidP="00626150">
      <w:pPr>
        <w:pStyle w:val="NormaBullet"/>
        <w:rPr>
          <w:szCs w:val="22"/>
        </w:rPr>
      </w:pPr>
      <w:r w:rsidRPr="003D0778">
        <w:rPr>
          <w:szCs w:val="22"/>
        </w:rPr>
        <w:t>Implementation of revised local escalation protocols.</w:t>
      </w:r>
    </w:p>
    <w:p w14:paraId="24DE021F" w14:textId="77777777" w:rsidR="00626150" w:rsidRPr="003D0778" w:rsidRDefault="00626150" w:rsidP="00626150">
      <w:pPr>
        <w:pStyle w:val="NormaBullet"/>
        <w:rPr>
          <w:szCs w:val="22"/>
        </w:rPr>
      </w:pPr>
      <w:r w:rsidRPr="003D0778">
        <w:rPr>
          <w:szCs w:val="22"/>
        </w:rPr>
        <w:t>Improved use of Welsh Ambulance Service pathways and operational efficiency measures.</w:t>
      </w:r>
    </w:p>
    <w:p w14:paraId="740437D3" w14:textId="77777777" w:rsidR="00626150" w:rsidRDefault="00626150" w:rsidP="00626150">
      <w:pPr>
        <w:pStyle w:val="NormaBullet"/>
        <w:rPr>
          <w:szCs w:val="22"/>
        </w:rPr>
      </w:pPr>
      <w:r w:rsidRPr="003D0778">
        <w:rPr>
          <w:szCs w:val="22"/>
        </w:rPr>
        <w:t>Local Authority preparedness.</w:t>
      </w:r>
    </w:p>
    <w:p w14:paraId="60DE8E50" w14:textId="77777777" w:rsidR="00626150" w:rsidRDefault="00626150" w:rsidP="00626150">
      <w:pPr>
        <w:pStyle w:val="NormaBullet"/>
        <w:rPr>
          <w:szCs w:val="22"/>
        </w:rPr>
      </w:pPr>
      <w:r>
        <w:rPr>
          <w:szCs w:val="22"/>
        </w:rPr>
        <w:t>Robust planning for the Christmas and New Year s</w:t>
      </w:r>
      <w:r w:rsidRPr="003B4651">
        <w:rPr>
          <w:szCs w:val="22"/>
        </w:rPr>
        <w:t>ervice provision</w:t>
      </w:r>
    </w:p>
    <w:p w14:paraId="55068C38" w14:textId="77777777" w:rsidR="00626150" w:rsidRPr="003B4651" w:rsidRDefault="00626150" w:rsidP="00626150">
      <w:pPr>
        <w:pStyle w:val="NormaBullet"/>
        <w:rPr>
          <w:szCs w:val="22"/>
        </w:rPr>
      </w:pPr>
      <w:r>
        <w:rPr>
          <w:szCs w:val="22"/>
        </w:rPr>
        <w:t>Increased focus on the implementation of the Seasonal flu campaign</w:t>
      </w:r>
    </w:p>
    <w:p w14:paraId="773E3587" w14:textId="77777777" w:rsidR="00626150" w:rsidRPr="003D0778" w:rsidRDefault="00626150" w:rsidP="00626150">
      <w:pPr>
        <w:pStyle w:val="NormaBullet"/>
        <w:rPr>
          <w:szCs w:val="22"/>
        </w:rPr>
      </w:pPr>
      <w:r w:rsidRPr="003D0778">
        <w:rPr>
          <w:szCs w:val="22"/>
        </w:rPr>
        <w:t>Zero tolerance of ambulance delays.</w:t>
      </w:r>
    </w:p>
    <w:p w14:paraId="28987F8B" w14:textId="77777777" w:rsidR="00626150" w:rsidRPr="003D0778" w:rsidRDefault="00626150" w:rsidP="00626150">
      <w:pPr>
        <w:pStyle w:val="NormaBullet"/>
        <w:rPr>
          <w:szCs w:val="22"/>
        </w:rPr>
      </w:pPr>
      <w:r w:rsidRPr="003D0778">
        <w:rPr>
          <w:szCs w:val="22"/>
        </w:rPr>
        <w:t>Daily deep dives by senior nursing team.</w:t>
      </w:r>
    </w:p>
    <w:p w14:paraId="7D61C8F1" w14:textId="77777777" w:rsidR="00626150" w:rsidRPr="003D0778" w:rsidRDefault="00626150" w:rsidP="00626150">
      <w:pPr>
        <w:pStyle w:val="NormaBullet"/>
        <w:rPr>
          <w:szCs w:val="22"/>
        </w:rPr>
      </w:pPr>
      <w:r w:rsidRPr="003D0778">
        <w:rPr>
          <w:szCs w:val="22"/>
        </w:rPr>
        <w:t>Twice daily site based flow meetings.</w:t>
      </w:r>
    </w:p>
    <w:p w14:paraId="2B66B066" w14:textId="77777777" w:rsidR="00626150" w:rsidRPr="003D0778" w:rsidRDefault="00626150" w:rsidP="00626150">
      <w:pPr>
        <w:pStyle w:val="NormaBullet"/>
        <w:rPr>
          <w:szCs w:val="22"/>
        </w:rPr>
      </w:pPr>
      <w:r w:rsidRPr="003D0778">
        <w:rPr>
          <w:szCs w:val="22"/>
        </w:rPr>
        <w:t>Continued implementation of daily board rounds.</w:t>
      </w:r>
    </w:p>
    <w:p w14:paraId="1D8A13CC" w14:textId="77777777" w:rsidR="00626150" w:rsidRPr="003D0778" w:rsidRDefault="00626150" w:rsidP="00626150">
      <w:pPr>
        <w:pStyle w:val="NormaBullet"/>
        <w:rPr>
          <w:szCs w:val="22"/>
        </w:rPr>
      </w:pPr>
      <w:r w:rsidRPr="003D0778">
        <w:rPr>
          <w:szCs w:val="22"/>
        </w:rPr>
        <w:t>Planning anticipated dates of discharge.</w:t>
      </w:r>
    </w:p>
    <w:p w14:paraId="55262B4F" w14:textId="77777777" w:rsidR="00626150" w:rsidRPr="003D0778" w:rsidRDefault="00626150" w:rsidP="00626150">
      <w:pPr>
        <w:pStyle w:val="NormaBullet"/>
        <w:rPr>
          <w:szCs w:val="22"/>
        </w:rPr>
      </w:pPr>
      <w:r w:rsidRPr="003D0778">
        <w:rPr>
          <w:szCs w:val="22"/>
        </w:rPr>
        <w:t>Live bed management system.</w:t>
      </w:r>
    </w:p>
    <w:p w14:paraId="34586A5D" w14:textId="77777777" w:rsidR="00626150" w:rsidRPr="003D0778" w:rsidRDefault="00626150" w:rsidP="00626150">
      <w:pPr>
        <w:pStyle w:val="NormaBullet"/>
        <w:rPr>
          <w:szCs w:val="22"/>
        </w:rPr>
      </w:pPr>
      <w:r w:rsidRPr="003D0778">
        <w:rPr>
          <w:szCs w:val="22"/>
        </w:rPr>
        <w:t>Robust implementation of Choice Protocol.</w:t>
      </w:r>
    </w:p>
    <w:p w14:paraId="3EF54482" w14:textId="77777777" w:rsidR="00626150" w:rsidRDefault="00626150" w:rsidP="00626150">
      <w:pPr>
        <w:pStyle w:val="NormaBullet"/>
        <w:rPr>
          <w:szCs w:val="22"/>
        </w:rPr>
      </w:pPr>
      <w:r w:rsidRPr="003D0778">
        <w:rPr>
          <w:szCs w:val="22"/>
        </w:rPr>
        <w:t>C</w:t>
      </w:r>
      <w:r>
        <w:rPr>
          <w:szCs w:val="22"/>
        </w:rPr>
        <w:t xml:space="preserve">ontinued strengthening of the Primary Care </w:t>
      </w:r>
      <w:proofErr w:type="gramStart"/>
      <w:r>
        <w:rPr>
          <w:szCs w:val="22"/>
        </w:rPr>
        <w:t>Out</w:t>
      </w:r>
      <w:proofErr w:type="gramEnd"/>
      <w:r>
        <w:rPr>
          <w:szCs w:val="22"/>
        </w:rPr>
        <w:t xml:space="preserve"> of Hour</w:t>
      </w:r>
      <w:r w:rsidRPr="003D0778">
        <w:rPr>
          <w:szCs w:val="22"/>
        </w:rPr>
        <w:t>s service.</w:t>
      </w:r>
      <w:r>
        <w:rPr>
          <w:szCs w:val="22"/>
        </w:rPr>
        <w:t xml:space="preserve"> </w:t>
      </w:r>
    </w:p>
    <w:p w14:paraId="6251F715" w14:textId="77777777" w:rsidR="00626150" w:rsidRDefault="00626150" w:rsidP="00626150">
      <w:pPr>
        <w:pStyle w:val="NormaBullet"/>
        <w:rPr>
          <w:szCs w:val="22"/>
        </w:rPr>
      </w:pPr>
      <w:r>
        <w:rPr>
          <w:szCs w:val="22"/>
        </w:rPr>
        <w:t>Implementation of a communication plan aimed at promoting local and national winter health messages.</w:t>
      </w:r>
    </w:p>
    <w:p w14:paraId="76FBFBEE" w14:textId="77777777" w:rsidR="00E02C36" w:rsidRDefault="00E02C36" w:rsidP="00E02C36">
      <w:pPr>
        <w:pStyle w:val="NormaBullet"/>
        <w:numPr>
          <w:ilvl w:val="0"/>
          <w:numId w:val="0"/>
        </w:numPr>
        <w:rPr>
          <w:szCs w:val="22"/>
        </w:rPr>
      </w:pPr>
    </w:p>
    <w:p w14:paraId="6460A6AE" w14:textId="77777777" w:rsidR="00E334A5" w:rsidRDefault="00E334A5" w:rsidP="00E02C36">
      <w:pPr>
        <w:pStyle w:val="NormaBullet"/>
        <w:numPr>
          <w:ilvl w:val="0"/>
          <w:numId w:val="0"/>
        </w:numPr>
        <w:rPr>
          <w:szCs w:val="22"/>
        </w:rPr>
      </w:pPr>
    </w:p>
    <w:p w14:paraId="6AE75AAB" w14:textId="77777777" w:rsidR="00E334A5" w:rsidRDefault="00E334A5" w:rsidP="00E02C36">
      <w:pPr>
        <w:pStyle w:val="NormaBullet"/>
        <w:numPr>
          <w:ilvl w:val="0"/>
          <w:numId w:val="0"/>
        </w:numPr>
        <w:rPr>
          <w:szCs w:val="22"/>
        </w:rPr>
      </w:pPr>
    </w:p>
    <w:p w14:paraId="488E3CD2" w14:textId="77777777" w:rsidR="00E334A5" w:rsidRDefault="00E334A5" w:rsidP="00E02C36">
      <w:pPr>
        <w:pStyle w:val="NormaBullet"/>
        <w:numPr>
          <w:ilvl w:val="0"/>
          <w:numId w:val="0"/>
        </w:numPr>
        <w:rPr>
          <w:szCs w:val="22"/>
        </w:rPr>
      </w:pPr>
    </w:p>
    <w:p w14:paraId="13C010F2" w14:textId="77777777" w:rsidR="00E334A5" w:rsidRDefault="00E334A5" w:rsidP="00E02C36">
      <w:pPr>
        <w:pStyle w:val="NormaBullet"/>
        <w:numPr>
          <w:ilvl w:val="0"/>
          <w:numId w:val="0"/>
        </w:numPr>
        <w:rPr>
          <w:szCs w:val="22"/>
        </w:rPr>
      </w:pPr>
    </w:p>
    <w:p w14:paraId="4A56C06C" w14:textId="77777777" w:rsidR="00E334A5" w:rsidRDefault="00E334A5" w:rsidP="00E02C36">
      <w:pPr>
        <w:pStyle w:val="NormaBullet"/>
        <w:numPr>
          <w:ilvl w:val="0"/>
          <w:numId w:val="0"/>
        </w:numPr>
        <w:rPr>
          <w:szCs w:val="22"/>
        </w:rPr>
      </w:pPr>
    </w:p>
    <w:p w14:paraId="3BFCDE9C" w14:textId="69CC1EC3" w:rsidR="00E02C36" w:rsidRDefault="00E02C36" w:rsidP="00E02C36">
      <w:pPr>
        <w:rPr>
          <w:rFonts w:asciiTheme="minorHAnsi" w:hAnsiTheme="minorHAnsi"/>
          <w:b/>
          <w:bCs/>
        </w:rPr>
      </w:pPr>
      <w:r>
        <w:rPr>
          <w:rFonts w:asciiTheme="minorHAnsi" w:hAnsiTheme="minorHAnsi"/>
          <w:bCs/>
          <w:noProof/>
        </w:rPr>
        <w:lastRenderedPageBreak/>
        <mc:AlternateContent>
          <mc:Choice Requires="wps">
            <w:drawing>
              <wp:anchor distT="0" distB="0" distL="114300" distR="114300" simplePos="0" relativeHeight="252823552" behindDoc="1" locked="0" layoutInCell="1" allowOverlap="1" wp14:anchorId="02C704A3" wp14:editId="5B2BAE22">
                <wp:simplePos x="0" y="0"/>
                <wp:positionH relativeFrom="margin">
                  <wp:posOffset>-78740</wp:posOffset>
                </wp:positionH>
                <wp:positionV relativeFrom="paragraph">
                  <wp:posOffset>130810</wp:posOffset>
                </wp:positionV>
                <wp:extent cx="6713220" cy="696685"/>
                <wp:effectExtent l="0" t="38100" r="30480" b="65405"/>
                <wp:wrapNone/>
                <wp:docPr id="61" name="Right Arrow 61"/>
                <wp:cNvGraphicFramePr/>
                <a:graphic xmlns:a="http://schemas.openxmlformats.org/drawingml/2006/main">
                  <a:graphicData uri="http://schemas.microsoft.com/office/word/2010/wordprocessingShape">
                    <wps:wsp>
                      <wps:cNvSpPr/>
                      <wps:spPr>
                        <a:xfrm>
                          <a:off x="0" y="0"/>
                          <a:ext cx="6713220" cy="696685"/>
                        </a:xfrm>
                        <a:prstGeom prst="rightArrow">
                          <a:avLst>
                            <a:gd name="adj1" fmla="val 50000"/>
                            <a:gd name="adj2" fmla="val 29881"/>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8FD387" id="Right Arrow 61" o:spid="_x0000_s1026" type="#_x0000_t13" style="position:absolute;margin-left:-6.2pt;margin-top:10.3pt;width:528.6pt;height:54.85pt;z-index:-2504929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" adj="20930" fillcolor="#eaf1dd [662]" strokecolor="#76923c [2406]" strokeweight="2pt">
                <w10:wrap anchorx="margin"/>
              </v:shape>
            </w:pict>
          </mc:Fallback>
        </mc:AlternateContent>
      </w:r>
      <w:r w:rsidRPr="000327BE">
        <w:rPr>
          <w:rFonts w:asciiTheme="minorHAnsi" w:hAnsiTheme="minorHAnsi"/>
          <w:b/>
          <w:bCs/>
        </w:rPr>
        <w:t>Milestones</w:t>
      </w:r>
    </w:p>
    <w:p w14:paraId="130A36EF" w14:textId="1835FA32" w:rsidR="00E02C36" w:rsidRPr="000327BE" w:rsidRDefault="00E02C36" w:rsidP="00E02C36">
      <w:pPr>
        <w:rPr>
          <w:rFonts w:asciiTheme="minorHAnsi" w:hAnsiTheme="minorHAnsi"/>
          <w:b/>
          <w:bCs/>
        </w:rPr>
      </w:pPr>
    </w:p>
    <w:tbl>
      <w:tblPr>
        <w:tblStyle w:val="TableGrid"/>
        <w:tblW w:w="0" w:type="auto"/>
        <w:tblLook w:val="04A0" w:firstRow="1" w:lastRow="0" w:firstColumn="1" w:lastColumn="0" w:noHBand="0" w:noVBand="1"/>
      </w:tblPr>
      <w:tblGrid>
        <w:gridCol w:w="4531"/>
        <w:gridCol w:w="3544"/>
        <w:gridCol w:w="1893"/>
      </w:tblGrid>
      <w:tr w:rsidR="00E02C36" w14:paraId="54D403EB" w14:textId="77777777" w:rsidTr="00E02C36">
        <w:tc>
          <w:tcPr>
            <w:tcW w:w="4531" w:type="dxa"/>
          </w:tcPr>
          <w:p w14:paraId="420E2201" w14:textId="77777777" w:rsidR="00E02C36" w:rsidRDefault="00E02C36" w:rsidP="00E02C36">
            <w:pPr>
              <w:jc w:val="center"/>
              <w:rPr>
                <w:rFonts w:asciiTheme="minorHAnsi" w:hAnsiTheme="minorHAnsi"/>
                <w:bCs/>
              </w:rPr>
            </w:pPr>
            <w:r>
              <w:rPr>
                <w:rFonts w:asciiTheme="minorHAnsi" w:hAnsiTheme="minorHAnsi"/>
                <w:bCs/>
              </w:rPr>
              <w:t>Year 1</w:t>
            </w:r>
          </w:p>
          <w:p w14:paraId="333B6332" w14:textId="77777777" w:rsidR="00E02C36" w:rsidRDefault="00E02C36" w:rsidP="00E02C36">
            <w:pPr>
              <w:jc w:val="center"/>
              <w:rPr>
                <w:rFonts w:asciiTheme="minorHAnsi" w:hAnsiTheme="minorHAnsi"/>
                <w:bCs/>
              </w:rPr>
            </w:pPr>
          </w:p>
        </w:tc>
        <w:tc>
          <w:tcPr>
            <w:tcW w:w="3544" w:type="dxa"/>
          </w:tcPr>
          <w:p w14:paraId="62D46694" w14:textId="77777777" w:rsidR="00E02C36" w:rsidRDefault="00E02C36" w:rsidP="00E02C36">
            <w:pPr>
              <w:jc w:val="center"/>
              <w:rPr>
                <w:rFonts w:asciiTheme="minorHAnsi" w:hAnsiTheme="minorHAnsi"/>
                <w:bCs/>
              </w:rPr>
            </w:pPr>
            <w:r>
              <w:rPr>
                <w:rFonts w:asciiTheme="minorHAnsi" w:hAnsiTheme="minorHAnsi"/>
                <w:bCs/>
              </w:rPr>
              <w:t>Year 2</w:t>
            </w:r>
          </w:p>
        </w:tc>
        <w:tc>
          <w:tcPr>
            <w:tcW w:w="1893" w:type="dxa"/>
          </w:tcPr>
          <w:p w14:paraId="30F8D36F" w14:textId="0CEBD7BE" w:rsidR="00E02C36" w:rsidRDefault="00E02C36" w:rsidP="00E02C36">
            <w:pPr>
              <w:jc w:val="center"/>
              <w:rPr>
                <w:rFonts w:asciiTheme="minorHAnsi" w:hAnsiTheme="minorHAnsi"/>
                <w:bCs/>
              </w:rPr>
            </w:pPr>
            <w:r>
              <w:rPr>
                <w:rFonts w:asciiTheme="minorHAnsi" w:hAnsiTheme="minorHAnsi"/>
                <w:bCs/>
              </w:rPr>
              <w:t>Year 3</w:t>
            </w:r>
          </w:p>
        </w:tc>
      </w:tr>
      <w:tr w:rsidR="00E02C36" w14:paraId="71D2C46D" w14:textId="77777777" w:rsidTr="00E02C36">
        <w:tc>
          <w:tcPr>
            <w:tcW w:w="4531" w:type="dxa"/>
          </w:tcPr>
          <w:p w14:paraId="64A729DB" w14:textId="77777777" w:rsidR="00E02C36" w:rsidRPr="000327BE" w:rsidRDefault="00E02C36" w:rsidP="00E02C36">
            <w:pPr>
              <w:rPr>
                <w:rFonts w:asciiTheme="minorHAnsi" w:hAnsiTheme="minorHAnsi"/>
                <w:b/>
                <w:bCs/>
              </w:rPr>
            </w:pPr>
            <w:r>
              <w:rPr>
                <w:rFonts w:asciiTheme="minorHAnsi" w:hAnsiTheme="minorHAnsi"/>
                <w:b/>
                <w:bCs/>
              </w:rPr>
              <w:t>Regional Transformation</w:t>
            </w:r>
          </w:p>
          <w:p w14:paraId="7BFDAE71" w14:textId="77777777" w:rsidR="00E02C36" w:rsidRDefault="00E02C36" w:rsidP="00E02C36">
            <w:pPr>
              <w:rPr>
                <w:rFonts w:asciiTheme="minorHAnsi" w:hAnsiTheme="minorHAnsi"/>
                <w:bCs/>
              </w:rPr>
            </w:pPr>
            <w:r w:rsidRPr="00E02C36">
              <w:rPr>
                <w:rFonts w:asciiTheme="minorHAnsi" w:hAnsiTheme="minorHAnsi"/>
                <w:bCs/>
              </w:rPr>
              <w:t>Q1–Q4 Continue the full implementation and evaluation of the Transformation Programmes funded out of the transformational funding.</w:t>
            </w:r>
          </w:p>
          <w:p w14:paraId="58E89BB7" w14:textId="77777777" w:rsidR="00E02C36" w:rsidRPr="00E02C36" w:rsidRDefault="00E02C36" w:rsidP="00E02C36">
            <w:pPr>
              <w:rPr>
                <w:rFonts w:asciiTheme="minorHAnsi" w:hAnsiTheme="minorHAnsi"/>
                <w:bCs/>
              </w:rPr>
            </w:pPr>
          </w:p>
          <w:p w14:paraId="4E1A16DE" w14:textId="77777777" w:rsidR="00E02C36" w:rsidRDefault="00E02C36" w:rsidP="00E02C36">
            <w:pPr>
              <w:rPr>
                <w:rFonts w:asciiTheme="minorHAnsi" w:hAnsiTheme="minorHAnsi"/>
                <w:b/>
                <w:bCs/>
              </w:rPr>
            </w:pPr>
            <w:r>
              <w:rPr>
                <w:rFonts w:asciiTheme="minorHAnsi" w:hAnsiTheme="minorHAnsi"/>
                <w:b/>
                <w:bCs/>
              </w:rPr>
              <w:t>Implementation of the SWP</w:t>
            </w:r>
          </w:p>
          <w:p w14:paraId="59EC1930" w14:textId="77777777" w:rsidR="00E02C36" w:rsidRDefault="00E02C36" w:rsidP="00E02C36">
            <w:pPr>
              <w:rPr>
                <w:rFonts w:asciiTheme="minorHAnsi" w:hAnsiTheme="minorHAnsi"/>
                <w:bCs/>
              </w:rPr>
            </w:pPr>
            <w:r>
              <w:rPr>
                <w:rFonts w:asciiTheme="minorHAnsi" w:hAnsiTheme="minorHAnsi"/>
                <w:bCs/>
              </w:rPr>
              <w:t>Q1 Continued implementation of the Communication &amp; Engagement Plan.</w:t>
            </w:r>
          </w:p>
          <w:p w14:paraId="518F3EC6" w14:textId="77777777" w:rsidR="00E02C36" w:rsidRDefault="00E02C36" w:rsidP="00E02C36">
            <w:pPr>
              <w:rPr>
                <w:rFonts w:asciiTheme="minorHAnsi" w:hAnsiTheme="minorHAnsi"/>
                <w:bCs/>
              </w:rPr>
            </w:pPr>
            <w:r>
              <w:rPr>
                <w:rFonts w:asciiTheme="minorHAnsi" w:hAnsiTheme="minorHAnsi"/>
                <w:bCs/>
              </w:rPr>
              <w:t>Q1 High level approval of detailed service models.</w:t>
            </w:r>
          </w:p>
          <w:p w14:paraId="7F6800D3" w14:textId="77777777" w:rsidR="00E02C36" w:rsidRDefault="00E02C36" w:rsidP="00E02C36">
            <w:pPr>
              <w:rPr>
                <w:rFonts w:asciiTheme="minorHAnsi" w:hAnsiTheme="minorHAnsi"/>
                <w:bCs/>
              </w:rPr>
            </w:pPr>
            <w:r>
              <w:rPr>
                <w:rFonts w:asciiTheme="minorHAnsi" w:hAnsiTheme="minorHAnsi"/>
                <w:bCs/>
              </w:rPr>
              <w:t>Q1 Business case approval.</w:t>
            </w:r>
          </w:p>
          <w:p w14:paraId="53F4A91E" w14:textId="77777777" w:rsidR="00E02C36" w:rsidRDefault="00E02C36" w:rsidP="00E02C36">
            <w:pPr>
              <w:rPr>
                <w:rFonts w:asciiTheme="minorHAnsi" w:hAnsiTheme="minorHAnsi"/>
                <w:bCs/>
              </w:rPr>
            </w:pPr>
            <w:r>
              <w:rPr>
                <w:rFonts w:asciiTheme="minorHAnsi" w:hAnsiTheme="minorHAnsi"/>
                <w:bCs/>
              </w:rPr>
              <w:t xml:space="preserve">Q2 – Q4 (September 2020) Implementation of emergency medicine service model, completion of acute medicine beacon site model, paediatric assessment unit at RGH and transfer of consultant led inpatient paediatric services to PCH by September 2020. </w:t>
            </w:r>
          </w:p>
          <w:p w14:paraId="6EAA911F" w14:textId="77777777" w:rsidR="00E02C36" w:rsidRPr="00CF74FE" w:rsidRDefault="00E02C36" w:rsidP="00E02C36">
            <w:pPr>
              <w:rPr>
                <w:rFonts w:asciiTheme="minorHAnsi" w:hAnsiTheme="minorHAnsi"/>
                <w:bCs/>
              </w:rPr>
            </w:pPr>
          </w:p>
          <w:p w14:paraId="6C08D783" w14:textId="77777777" w:rsidR="00E02C36" w:rsidRPr="00664D9F" w:rsidRDefault="00E02C36" w:rsidP="00E02C36">
            <w:pPr>
              <w:rPr>
                <w:rFonts w:asciiTheme="minorHAnsi" w:hAnsiTheme="minorHAnsi"/>
                <w:b/>
                <w:bCs/>
              </w:rPr>
            </w:pPr>
            <w:r w:rsidRPr="00664D9F">
              <w:rPr>
                <w:rFonts w:asciiTheme="minorHAnsi" w:hAnsiTheme="minorHAnsi"/>
                <w:b/>
                <w:bCs/>
              </w:rPr>
              <w:t>Stroke</w:t>
            </w:r>
          </w:p>
          <w:p w14:paraId="2A40A0D8" w14:textId="77777777" w:rsidR="00E02C36" w:rsidRPr="00E02C36" w:rsidRDefault="00E02C36" w:rsidP="00E02C36">
            <w:pPr>
              <w:rPr>
                <w:rFonts w:asciiTheme="minorHAnsi" w:hAnsiTheme="minorHAnsi"/>
                <w:bCs/>
              </w:rPr>
            </w:pPr>
            <w:r w:rsidRPr="00E02C36">
              <w:rPr>
                <w:rFonts w:asciiTheme="minorHAnsi" w:hAnsiTheme="minorHAnsi"/>
                <w:bCs/>
              </w:rPr>
              <w:t xml:space="preserve">Q1 Implementation of the Stroke Service Improvement Plan which will include the scoping work for HASU development. </w:t>
            </w:r>
          </w:p>
          <w:p w14:paraId="043E9568" w14:textId="77777777" w:rsidR="00E02C36" w:rsidRPr="00E02C36" w:rsidRDefault="00E02C36" w:rsidP="00E02C36">
            <w:pPr>
              <w:rPr>
                <w:rFonts w:asciiTheme="minorHAnsi" w:hAnsiTheme="minorHAnsi"/>
                <w:bCs/>
              </w:rPr>
            </w:pPr>
          </w:p>
          <w:p w14:paraId="73ED1DC8" w14:textId="77777777" w:rsidR="00E02C36" w:rsidRPr="00664D9F" w:rsidRDefault="00E02C36" w:rsidP="00E02C36">
            <w:pPr>
              <w:rPr>
                <w:rFonts w:asciiTheme="minorHAnsi" w:hAnsiTheme="minorHAnsi"/>
                <w:b/>
                <w:bCs/>
              </w:rPr>
            </w:pPr>
            <w:r w:rsidRPr="00664D9F">
              <w:rPr>
                <w:rFonts w:asciiTheme="minorHAnsi" w:hAnsiTheme="minorHAnsi"/>
                <w:b/>
                <w:bCs/>
              </w:rPr>
              <w:t>Winter Planning &amp; Managing periods of increased demand</w:t>
            </w:r>
          </w:p>
          <w:p w14:paraId="6A9C7BB6" w14:textId="77777777" w:rsidR="00E02C36" w:rsidRPr="00E02C36" w:rsidRDefault="00E02C36" w:rsidP="00E02C36">
            <w:pPr>
              <w:rPr>
                <w:rFonts w:asciiTheme="minorHAnsi" w:hAnsiTheme="minorHAnsi"/>
                <w:bCs/>
              </w:rPr>
            </w:pPr>
            <w:r w:rsidRPr="00E02C36">
              <w:rPr>
                <w:rFonts w:asciiTheme="minorHAnsi" w:hAnsiTheme="minorHAnsi"/>
                <w:bCs/>
              </w:rPr>
              <w:t>Q1 Undertake a review/ evaluation of Winter 2019/2020 and consider lessons learnt.</w:t>
            </w:r>
          </w:p>
          <w:p w14:paraId="1042F147" w14:textId="77777777" w:rsidR="00E02C36" w:rsidRDefault="00E02C36" w:rsidP="00E02C36">
            <w:pPr>
              <w:rPr>
                <w:rFonts w:asciiTheme="minorHAnsi" w:hAnsiTheme="minorHAnsi"/>
                <w:bCs/>
              </w:rPr>
            </w:pPr>
            <w:r w:rsidRPr="00E02C36">
              <w:rPr>
                <w:rFonts w:asciiTheme="minorHAnsi" w:hAnsiTheme="minorHAnsi"/>
                <w:bCs/>
              </w:rPr>
              <w:t>Q2 Commence Winter Planning preparedness for Winter 2020/2021.</w:t>
            </w:r>
          </w:p>
          <w:p w14:paraId="7639E6EE" w14:textId="77777777" w:rsidR="00E02C36" w:rsidRPr="00E02C36" w:rsidRDefault="00E02C36" w:rsidP="00E02C36">
            <w:pPr>
              <w:rPr>
                <w:rFonts w:asciiTheme="minorHAnsi" w:hAnsiTheme="minorHAnsi"/>
                <w:bCs/>
              </w:rPr>
            </w:pPr>
          </w:p>
          <w:p w14:paraId="68D85E29" w14:textId="77777777" w:rsidR="00E02C36" w:rsidRPr="00BB3EC5" w:rsidRDefault="00E02C36" w:rsidP="00E02C36">
            <w:pPr>
              <w:rPr>
                <w:rFonts w:asciiTheme="minorHAnsi" w:hAnsiTheme="minorHAnsi"/>
                <w:b/>
                <w:bCs/>
              </w:rPr>
            </w:pPr>
            <w:r w:rsidRPr="00BB3EC5">
              <w:rPr>
                <w:rFonts w:asciiTheme="minorHAnsi" w:hAnsiTheme="minorHAnsi"/>
                <w:b/>
                <w:bCs/>
              </w:rPr>
              <w:t>Major Trauma</w:t>
            </w:r>
          </w:p>
          <w:p w14:paraId="4FA12B54" w14:textId="77777777" w:rsidR="00E02C36" w:rsidRPr="00E02C36" w:rsidRDefault="00E02C36" w:rsidP="00E02C36">
            <w:pPr>
              <w:rPr>
                <w:rFonts w:asciiTheme="minorHAnsi" w:hAnsiTheme="minorHAnsi"/>
                <w:bCs/>
              </w:rPr>
            </w:pPr>
            <w:r w:rsidRPr="00E02C36">
              <w:rPr>
                <w:rFonts w:asciiTheme="minorHAnsi" w:hAnsiTheme="minorHAnsi"/>
                <w:bCs/>
              </w:rPr>
              <w:t xml:space="preserve">Year 1 </w:t>
            </w:r>
            <w:proofErr w:type="gramStart"/>
            <w:r w:rsidRPr="00E02C36">
              <w:rPr>
                <w:rFonts w:asciiTheme="minorHAnsi" w:hAnsiTheme="minorHAnsi"/>
                <w:bCs/>
              </w:rPr>
              <w:t>-  As</w:t>
            </w:r>
            <w:proofErr w:type="gramEnd"/>
            <w:r w:rsidRPr="00E02C36">
              <w:rPr>
                <w:rFonts w:asciiTheme="minorHAnsi" w:hAnsiTheme="minorHAnsi"/>
                <w:bCs/>
              </w:rPr>
              <w:t xml:space="preserve"> part of the Network plan for South &amp; West Wales &amp; South Powys, implementation of major trauma model across CTMUHB. Trauma Units to be operational in PCH &amp; POWH by 1</w:t>
            </w:r>
            <w:r w:rsidRPr="00E02C36">
              <w:rPr>
                <w:rFonts w:asciiTheme="minorHAnsi" w:hAnsiTheme="minorHAnsi"/>
                <w:bCs/>
                <w:vertAlign w:val="superscript"/>
              </w:rPr>
              <w:t>st</w:t>
            </w:r>
            <w:r w:rsidRPr="00E02C36">
              <w:rPr>
                <w:rFonts w:asciiTheme="minorHAnsi" w:hAnsiTheme="minorHAnsi"/>
                <w:bCs/>
              </w:rPr>
              <w:t xml:space="preserve"> April 2020. To include recruitment of TARN &amp; Rehab Coordinators, Major Trauma Practitioners &amp; </w:t>
            </w:r>
          </w:p>
          <w:p w14:paraId="75080696" w14:textId="77777777" w:rsidR="00E02C36" w:rsidRPr="00E02C36" w:rsidRDefault="00E02C36" w:rsidP="00E02C36">
            <w:pPr>
              <w:rPr>
                <w:rFonts w:asciiTheme="minorHAnsi" w:hAnsiTheme="minorHAnsi"/>
                <w:bCs/>
              </w:rPr>
            </w:pPr>
            <w:r w:rsidRPr="00E02C36">
              <w:rPr>
                <w:rFonts w:asciiTheme="minorHAnsi" w:hAnsiTheme="minorHAnsi"/>
                <w:bCs/>
              </w:rPr>
              <w:t xml:space="preserve">Year 1 –   Network Programme Business Case will be developed to describe the schedule of business cases to be producing during Y1 &amp; Y2 in order to support subsequent developments of the programme. </w:t>
            </w:r>
          </w:p>
          <w:p w14:paraId="4FF196DC" w14:textId="77777777" w:rsidR="00E02C36" w:rsidRPr="00E02C36" w:rsidRDefault="00E02C36" w:rsidP="00E02C36">
            <w:pPr>
              <w:spacing w:line="20" w:lineRule="atLeast"/>
              <w:rPr>
                <w:rFonts w:cs="Arial"/>
              </w:rPr>
            </w:pPr>
            <w:r w:rsidRPr="00E02C36">
              <w:rPr>
                <w:rFonts w:asciiTheme="minorHAnsi" w:hAnsiTheme="minorHAnsi"/>
                <w:bCs/>
              </w:rPr>
              <w:t xml:space="preserve">Year 1 – Network to provide UHB’s with guidance on the phased approach to develop landing pad/rehab facility.  </w:t>
            </w:r>
            <w:r w:rsidRPr="00E02C36">
              <w:rPr>
                <w:rFonts w:cs="Arial"/>
              </w:rPr>
              <w:t>Major trauma practitioners /rehabilitation coordinators /therapists to form a team, supported by weekly visit by rehabilitation consultant.</w:t>
            </w:r>
          </w:p>
          <w:p w14:paraId="71BA70B5" w14:textId="785E08DD" w:rsidR="00E02C36" w:rsidRPr="00BB3EC5" w:rsidRDefault="00E02C36" w:rsidP="00E02C36">
            <w:pPr>
              <w:rPr>
                <w:rFonts w:asciiTheme="minorHAnsi" w:hAnsiTheme="minorHAnsi"/>
                <w:bCs/>
              </w:rPr>
            </w:pPr>
            <w:r w:rsidRPr="00E02C36">
              <w:rPr>
                <w:rFonts w:cs="Arial"/>
              </w:rPr>
              <w:t>Develop model for landing pad/rehabilitation facility</w:t>
            </w:r>
          </w:p>
        </w:tc>
        <w:tc>
          <w:tcPr>
            <w:tcW w:w="3544" w:type="dxa"/>
          </w:tcPr>
          <w:p w14:paraId="1882D368" w14:textId="77777777" w:rsidR="00E02C36" w:rsidRPr="00E02C36" w:rsidRDefault="00E02C36" w:rsidP="00E02C36">
            <w:pPr>
              <w:rPr>
                <w:rFonts w:asciiTheme="minorHAnsi" w:hAnsiTheme="minorHAnsi"/>
                <w:bCs/>
              </w:rPr>
            </w:pPr>
            <w:r w:rsidRPr="00E02C36">
              <w:rPr>
                <w:rFonts w:asciiTheme="minorHAnsi" w:hAnsiTheme="minorHAnsi"/>
                <w:bCs/>
              </w:rPr>
              <w:t>Continue the evaluation of the Transformation Programmes.</w:t>
            </w:r>
          </w:p>
          <w:p w14:paraId="6DF4F5CD" w14:textId="77777777" w:rsidR="00E02C36" w:rsidRDefault="00E02C36" w:rsidP="00E02C36">
            <w:pPr>
              <w:rPr>
                <w:rFonts w:asciiTheme="minorHAnsi" w:hAnsiTheme="minorHAnsi"/>
                <w:bCs/>
              </w:rPr>
            </w:pPr>
          </w:p>
          <w:p w14:paraId="69869C13" w14:textId="77777777" w:rsidR="00E02C36" w:rsidRDefault="00E02C36" w:rsidP="00E02C36">
            <w:pPr>
              <w:rPr>
                <w:rFonts w:asciiTheme="minorHAnsi" w:hAnsiTheme="minorHAnsi"/>
                <w:bCs/>
              </w:rPr>
            </w:pPr>
          </w:p>
          <w:p w14:paraId="6C1E869A" w14:textId="77777777" w:rsidR="00E02C36" w:rsidRDefault="00E02C36" w:rsidP="00E02C36">
            <w:pPr>
              <w:rPr>
                <w:rFonts w:asciiTheme="minorHAnsi" w:hAnsiTheme="minorHAnsi"/>
                <w:bCs/>
              </w:rPr>
            </w:pPr>
          </w:p>
          <w:p w14:paraId="6A1EABE4" w14:textId="77777777" w:rsidR="00E02C36" w:rsidRDefault="00E02C36" w:rsidP="00E02C36">
            <w:pPr>
              <w:rPr>
                <w:rFonts w:asciiTheme="minorHAnsi" w:hAnsiTheme="minorHAnsi"/>
                <w:bCs/>
              </w:rPr>
            </w:pPr>
          </w:p>
          <w:p w14:paraId="35B5440A" w14:textId="77777777" w:rsidR="00E02C36" w:rsidRDefault="00E02C36" w:rsidP="00E02C36">
            <w:pPr>
              <w:rPr>
                <w:rFonts w:asciiTheme="minorHAnsi" w:hAnsiTheme="minorHAnsi"/>
                <w:bCs/>
              </w:rPr>
            </w:pPr>
          </w:p>
          <w:p w14:paraId="05FFF0EE" w14:textId="77777777" w:rsidR="00E02C36" w:rsidRDefault="00E02C36" w:rsidP="00E02C36">
            <w:pPr>
              <w:rPr>
                <w:rFonts w:asciiTheme="minorHAnsi" w:hAnsiTheme="minorHAnsi"/>
                <w:bCs/>
              </w:rPr>
            </w:pPr>
          </w:p>
          <w:p w14:paraId="46CA7DE7" w14:textId="77777777" w:rsidR="00E02C36" w:rsidRPr="00E02C36" w:rsidRDefault="00E02C36" w:rsidP="00E02C36">
            <w:pPr>
              <w:rPr>
                <w:rFonts w:asciiTheme="minorHAnsi" w:hAnsiTheme="minorHAnsi"/>
                <w:bCs/>
              </w:rPr>
            </w:pPr>
            <w:r w:rsidRPr="00E02C36">
              <w:rPr>
                <w:rFonts w:asciiTheme="minorHAnsi" w:hAnsiTheme="minorHAnsi"/>
                <w:bCs/>
              </w:rPr>
              <w:t>Commence post implementation evaluation.</w:t>
            </w:r>
          </w:p>
          <w:p w14:paraId="614CDD89" w14:textId="77777777" w:rsidR="00E02C36" w:rsidRDefault="00E02C36" w:rsidP="00E02C36">
            <w:pPr>
              <w:rPr>
                <w:rFonts w:asciiTheme="minorHAnsi" w:hAnsiTheme="minorHAnsi"/>
                <w:bCs/>
              </w:rPr>
            </w:pPr>
          </w:p>
          <w:p w14:paraId="5CDBA9B5" w14:textId="77777777" w:rsidR="00E02C36" w:rsidRDefault="00E02C36" w:rsidP="00E02C36">
            <w:pPr>
              <w:rPr>
                <w:rFonts w:asciiTheme="minorHAnsi" w:hAnsiTheme="minorHAnsi"/>
                <w:bCs/>
              </w:rPr>
            </w:pPr>
          </w:p>
          <w:p w14:paraId="720A75E5" w14:textId="77777777" w:rsidR="00E02C36" w:rsidRDefault="00E02C36" w:rsidP="00E02C36">
            <w:pPr>
              <w:rPr>
                <w:rFonts w:asciiTheme="minorHAnsi" w:hAnsiTheme="minorHAnsi"/>
                <w:bCs/>
              </w:rPr>
            </w:pPr>
          </w:p>
          <w:p w14:paraId="1659B6AC" w14:textId="77777777" w:rsidR="00E02C36" w:rsidRDefault="00E02C36" w:rsidP="00E02C36">
            <w:pPr>
              <w:rPr>
                <w:rFonts w:asciiTheme="minorHAnsi" w:hAnsiTheme="minorHAnsi"/>
                <w:bCs/>
              </w:rPr>
            </w:pPr>
          </w:p>
          <w:p w14:paraId="0AC1AE4B" w14:textId="77777777" w:rsidR="00E02C36" w:rsidRPr="00CF74FE" w:rsidRDefault="00E02C36" w:rsidP="00E02C36">
            <w:pPr>
              <w:rPr>
                <w:rFonts w:asciiTheme="minorHAnsi" w:hAnsiTheme="minorHAnsi"/>
                <w:bCs/>
              </w:rPr>
            </w:pPr>
          </w:p>
          <w:p w14:paraId="4186BE71" w14:textId="77777777" w:rsidR="00E02C36" w:rsidRDefault="00E02C36" w:rsidP="00E02C36">
            <w:pPr>
              <w:rPr>
                <w:rFonts w:asciiTheme="minorHAnsi" w:hAnsiTheme="minorHAnsi"/>
                <w:bCs/>
              </w:rPr>
            </w:pPr>
          </w:p>
          <w:p w14:paraId="208E43B5" w14:textId="77777777" w:rsidR="00E02C36" w:rsidRDefault="00E02C36" w:rsidP="00E02C36">
            <w:pPr>
              <w:rPr>
                <w:rFonts w:asciiTheme="minorHAnsi" w:hAnsiTheme="minorHAnsi"/>
                <w:bCs/>
              </w:rPr>
            </w:pPr>
          </w:p>
          <w:p w14:paraId="3375CACA" w14:textId="0CC82A88" w:rsidR="00E02C36" w:rsidRDefault="00E02C36" w:rsidP="00E02C36">
            <w:pPr>
              <w:rPr>
                <w:rFonts w:asciiTheme="minorHAnsi" w:hAnsiTheme="minorHAnsi"/>
                <w:bCs/>
              </w:rPr>
            </w:pPr>
            <w:r w:rsidRPr="00E02C36">
              <w:rPr>
                <w:rFonts w:asciiTheme="minorHAnsi" w:hAnsiTheme="minorHAnsi"/>
                <w:bCs/>
              </w:rPr>
              <w:t xml:space="preserve">Q1 Review and implement year 2 of the Stroke Service Improvement plan, the scale of service change dependent on the outcome of the HASU service scoping work. </w:t>
            </w:r>
          </w:p>
          <w:p w14:paraId="1934D474" w14:textId="77777777" w:rsidR="00E02C36" w:rsidRPr="00E02C36" w:rsidRDefault="00E02C36" w:rsidP="00E02C36">
            <w:pPr>
              <w:rPr>
                <w:rFonts w:asciiTheme="minorHAnsi" w:hAnsiTheme="minorHAnsi"/>
                <w:bCs/>
              </w:rPr>
            </w:pPr>
            <w:r w:rsidRPr="00E02C36">
              <w:rPr>
                <w:rFonts w:asciiTheme="minorHAnsi" w:hAnsiTheme="minorHAnsi"/>
                <w:bCs/>
              </w:rPr>
              <w:t>Q1 Undertake a review/evaluation of Winter 2020/2021 as part of the rolling cycle to plan to meet increased demand.  Development of a plan within Q2 in line with Welsh Governments requirements. Q3 Winter Plan implementation.</w:t>
            </w:r>
          </w:p>
          <w:p w14:paraId="1AC72E73" w14:textId="77777777" w:rsidR="00E02C36" w:rsidRDefault="00E02C36" w:rsidP="00E02C36">
            <w:pPr>
              <w:rPr>
                <w:rFonts w:asciiTheme="minorHAnsi" w:hAnsiTheme="minorHAnsi"/>
                <w:bCs/>
              </w:rPr>
            </w:pPr>
          </w:p>
          <w:p w14:paraId="265D36F1" w14:textId="77777777" w:rsidR="00E02C36" w:rsidRDefault="00E02C36" w:rsidP="00E02C36">
            <w:pPr>
              <w:rPr>
                <w:rFonts w:asciiTheme="minorHAnsi" w:hAnsiTheme="minorHAnsi"/>
                <w:bCs/>
              </w:rPr>
            </w:pPr>
          </w:p>
          <w:p w14:paraId="3AFFF5DB" w14:textId="77777777" w:rsidR="00E02C36" w:rsidRDefault="00E02C36" w:rsidP="00E02C36">
            <w:pPr>
              <w:rPr>
                <w:rFonts w:asciiTheme="minorHAnsi" w:hAnsiTheme="minorHAnsi"/>
                <w:bCs/>
              </w:rPr>
            </w:pPr>
            <w:r>
              <w:rPr>
                <w:rFonts w:asciiTheme="minorHAnsi" w:hAnsiTheme="minorHAnsi"/>
                <w:bCs/>
              </w:rPr>
              <w:t>Years 2 &amp; 3 – Major Trauma therapy/rehab/</w:t>
            </w:r>
          </w:p>
          <w:p w14:paraId="0887AF06" w14:textId="77777777" w:rsidR="00E02C36" w:rsidRDefault="00E02C36" w:rsidP="00E02C36">
            <w:pPr>
              <w:rPr>
                <w:rFonts w:asciiTheme="minorHAnsi" w:hAnsiTheme="minorHAnsi"/>
                <w:bCs/>
              </w:rPr>
            </w:pPr>
            <w:proofErr w:type="gramStart"/>
            <w:r>
              <w:rPr>
                <w:rFonts w:asciiTheme="minorHAnsi" w:hAnsiTheme="minorHAnsi"/>
                <w:bCs/>
              </w:rPr>
              <w:t>neuropsychology</w:t>
            </w:r>
            <w:proofErr w:type="gramEnd"/>
            <w:r>
              <w:rPr>
                <w:rFonts w:asciiTheme="minorHAnsi" w:hAnsiTheme="minorHAnsi"/>
                <w:bCs/>
              </w:rPr>
              <w:t xml:space="preserve"> requirements to be delivered.  </w:t>
            </w:r>
          </w:p>
          <w:p w14:paraId="58523233" w14:textId="77777777" w:rsidR="00E02C36" w:rsidRDefault="00E02C36" w:rsidP="00E02C36">
            <w:pPr>
              <w:rPr>
                <w:rFonts w:asciiTheme="minorHAnsi" w:hAnsiTheme="minorHAnsi"/>
                <w:bCs/>
              </w:rPr>
            </w:pPr>
            <w:r>
              <w:rPr>
                <w:rFonts w:asciiTheme="minorHAnsi" w:hAnsiTheme="minorHAnsi"/>
                <w:bCs/>
              </w:rPr>
              <w:t>Year 2 – Business Case for Orthogeriatric requirements to be developed.</w:t>
            </w:r>
          </w:p>
          <w:p w14:paraId="645CB122" w14:textId="77777777" w:rsidR="00E02C36" w:rsidRPr="00664D9F" w:rsidRDefault="00E02C36" w:rsidP="00E02C36">
            <w:pPr>
              <w:rPr>
                <w:rFonts w:asciiTheme="minorHAnsi" w:hAnsiTheme="minorHAnsi"/>
                <w:bCs/>
              </w:rPr>
            </w:pPr>
          </w:p>
        </w:tc>
        <w:tc>
          <w:tcPr>
            <w:tcW w:w="1893" w:type="dxa"/>
          </w:tcPr>
          <w:p w14:paraId="530440B0" w14:textId="77777777" w:rsidR="00E02C36" w:rsidRDefault="00E02C36" w:rsidP="00E02C36">
            <w:pPr>
              <w:rPr>
                <w:rFonts w:asciiTheme="minorHAnsi" w:hAnsiTheme="minorHAnsi"/>
                <w:bCs/>
              </w:rPr>
            </w:pPr>
          </w:p>
          <w:p w14:paraId="653289E2" w14:textId="77777777" w:rsidR="00E02C36" w:rsidRDefault="00E02C36" w:rsidP="00E02C36">
            <w:pPr>
              <w:rPr>
                <w:rFonts w:asciiTheme="minorHAnsi" w:hAnsiTheme="minorHAnsi"/>
                <w:bCs/>
              </w:rPr>
            </w:pPr>
          </w:p>
          <w:p w14:paraId="5EE09D28" w14:textId="77777777" w:rsidR="00E02C36" w:rsidRDefault="00E02C36" w:rsidP="00E02C36">
            <w:pPr>
              <w:rPr>
                <w:rFonts w:asciiTheme="minorHAnsi" w:hAnsiTheme="minorHAnsi"/>
                <w:bCs/>
              </w:rPr>
            </w:pPr>
          </w:p>
          <w:p w14:paraId="69FA039C" w14:textId="77777777" w:rsidR="00E02C36" w:rsidRDefault="00E02C36" w:rsidP="00E02C36">
            <w:pPr>
              <w:rPr>
                <w:rFonts w:asciiTheme="minorHAnsi" w:hAnsiTheme="minorHAnsi"/>
                <w:bCs/>
              </w:rPr>
            </w:pPr>
          </w:p>
          <w:p w14:paraId="37697015" w14:textId="77777777" w:rsidR="00E02C36" w:rsidRDefault="00E02C36" w:rsidP="00E02C36">
            <w:pPr>
              <w:rPr>
                <w:rFonts w:asciiTheme="minorHAnsi" w:hAnsiTheme="minorHAnsi"/>
                <w:bCs/>
              </w:rPr>
            </w:pPr>
          </w:p>
          <w:p w14:paraId="62FDAB7F" w14:textId="77777777" w:rsidR="00E02C36" w:rsidRDefault="00E02C36" w:rsidP="00E02C36">
            <w:pPr>
              <w:rPr>
                <w:rFonts w:asciiTheme="minorHAnsi" w:hAnsiTheme="minorHAnsi"/>
                <w:bCs/>
              </w:rPr>
            </w:pPr>
          </w:p>
          <w:p w14:paraId="38A9071F" w14:textId="77777777" w:rsidR="00E02C36" w:rsidRDefault="00E02C36" w:rsidP="00E02C36">
            <w:pPr>
              <w:rPr>
                <w:rFonts w:asciiTheme="minorHAnsi" w:hAnsiTheme="minorHAnsi"/>
                <w:bCs/>
              </w:rPr>
            </w:pPr>
          </w:p>
          <w:p w14:paraId="4782FDE3" w14:textId="77777777" w:rsidR="00E02C36" w:rsidRDefault="00E02C36" w:rsidP="00E02C36">
            <w:pPr>
              <w:rPr>
                <w:rFonts w:asciiTheme="minorHAnsi" w:hAnsiTheme="minorHAnsi"/>
                <w:bCs/>
              </w:rPr>
            </w:pPr>
          </w:p>
          <w:p w14:paraId="0752CE33" w14:textId="77777777" w:rsidR="00E02C36" w:rsidRDefault="00E02C36" w:rsidP="00E02C36">
            <w:pPr>
              <w:rPr>
                <w:rFonts w:asciiTheme="minorHAnsi" w:hAnsiTheme="minorHAnsi"/>
                <w:bCs/>
              </w:rPr>
            </w:pPr>
          </w:p>
          <w:p w14:paraId="0EBD411D" w14:textId="77777777" w:rsidR="00E02C36" w:rsidRDefault="00E02C36" w:rsidP="00E02C36">
            <w:pPr>
              <w:rPr>
                <w:rFonts w:asciiTheme="minorHAnsi" w:hAnsiTheme="minorHAnsi"/>
                <w:bCs/>
              </w:rPr>
            </w:pPr>
          </w:p>
          <w:p w14:paraId="0D77AD0F" w14:textId="77777777" w:rsidR="00E02C36" w:rsidRDefault="00E02C36" w:rsidP="00E02C36">
            <w:pPr>
              <w:rPr>
                <w:rFonts w:asciiTheme="minorHAnsi" w:hAnsiTheme="minorHAnsi"/>
                <w:bCs/>
              </w:rPr>
            </w:pPr>
          </w:p>
          <w:p w14:paraId="4336E2C7" w14:textId="77777777" w:rsidR="00E02C36" w:rsidRDefault="00E02C36" w:rsidP="00E02C36">
            <w:pPr>
              <w:rPr>
                <w:rFonts w:asciiTheme="minorHAnsi" w:hAnsiTheme="minorHAnsi"/>
                <w:bCs/>
              </w:rPr>
            </w:pPr>
          </w:p>
          <w:p w14:paraId="2BA6CD54" w14:textId="77777777" w:rsidR="00E02C36" w:rsidRDefault="00E02C36" w:rsidP="00E02C36">
            <w:pPr>
              <w:rPr>
                <w:rFonts w:asciiTheme="minorHAnsi" w:hAnsiTheme="minorHAnsi"/>
                <w:bCs/>
              </w:rPr>
            </w:pPr>
          </w:p>
          <w:p w14:paraId="391FCB9C" w14:textId="77777777" w:rsidR="00E02C36" w:rsidRDefault="00E02C36" w:rsidP="00E02C36">
            <w:pPr>
              <w:rPr>
                <w:rFonts w:asciiTheme="minorHAnsi" w:hAnsiTheme="minorHAnsi"/>
                <w:bCs/>
              </w:rPr>
            </w:pPr>
          </w:p>
          <w:p w14:paraId="13D2ED13" w14:textId="77777777" w:rsidR="00E02C36" w:rsidRDefault="00E02C36" w:rsidP="00E02C36">
            <w:pPr>
              <w:rPr>
                <w:rFonts w:asciiTheme="minorHAnsi" w:hAnsiTheme="minorHAnsi"/>
                <w:bCs/>
              </w:rPr>
            </w:pPr>
          </w:p>
          <w:p w14:paraId="1DDDBDBB" w14:textId="77777777" w:rsidR="00E02C36" w:rsidRDefault="00E02C36" w:rsidP="00E02C36">
            <w:pPr>
              <w:rPr>
                <w:rFonts w:asciiTheme="minorHAnsi" w:hAnsiTheme="minorHAnsi"/>
                <w:bCs/>
              </w:rPr>
            </w:pPr>
          </w:p>
          <w:p w14:paraId="5EC481E1" w14:textId="77777777" w:rsidR="00E02C36" w:rsidRDefault="00E02C36" w:rsidP="00E02C36">
            <w:pPr>
              <w:rPr>
                <w:rFonts w:asciiTheme="minorHAnsi" w:hAnsiTheme="minorHAnsi"/>
                <w:bCs/>
              </w:rPr>
            </w:pPr>
          </w:p>
          <w:p w14:paraId="33B77180" w14:textId="77777777" w:rsidR="00E02C36" w:rsidRDefault="00E02C36" w:rsidP="00E02C36">
            <w:pPr>
              <w:rPr>
                <w:rFonts w:asciiTheme="minorHAnsi" w:hAnsiTheme="minorHAnsi"/>
                <w:bCs/>
              </w:rPr>
            </w:pPr>
          </w:p>
          <w:p w14:paraId="1F8A1065" w14:textId="77777777" w:rsidR="00E02C36" w:rsidRDefault="00E02C36" w:rsidP="00E02C36">
            <w:pPr>
              <w:rPr>
                <w:rFonts w:asciiTheme="minorHAnsi" w:hAnsiTheme="minorHAnsi"/>
                <w:bCs/>
              </w:rPr>
            </w:pPr>
          </w:p>
          <w:p w14:paraId="0EA3C4D1" w14:textId="77777777" w:rsidR="00E02C36" w:rsidRDefault="00E02C36" w:rsidP="00E02C36">
            <w:pPr>
              <w:rPr>
                <w:rFonts w:asciiTheme="minorHAnsi" w:hAnsiTheme="minorHAnsi"/>
                <w:bCs/>
              </w:rPr>
            </w:pPr>
          </w:p>
          <w:p w14:paraId="3BC23C66" w14:textId="77777777" w:rsidR="00E02C36" w:rsidRDefault="00E02C36" w:rsidP="00E02C36">
            <w:pPr>
              <w:rPr>
                <w:rFonts w:asciiTheme="minorHAnsi" w:hAnsiTheme="minorHAnsi"/>
                <w:bCs/>
              </w:rPr>
            </w:pPr>
          </w:p>
          <w:p w14:paraId="3C0E76FC" w14:textId="77777777" w:rsidR="00E02C36" w:rsidRDefault="00E02C36" w:rsidP="00E02C36">
            <w:pPr>
              <w:rPr>
                <w:rFonts w:asciiTheme="minorHAnsi" w:hAnsiTheme="minorHAnsi"/>
                <w:bCs/>
              </w:rPr>
            </w:pPr>
          </w:p>
          <w:p w14:paraId="534E8A61" w14:textId="77777777" w:rsidR="00E02C36" w:rsidRDefault="00E02C36" w:rsidP="00E02C36">
            <w:pPr>
              <w:rPr>
                <w:rFonts w:asciiTheme="minorHAnsi" w:hAnsiTheme="minorHAnsi"/>
                <w:bCs/>
              </w:rPr>
            </w:pPr>
            <w:r>
              <w:rPr>
                <w:rFonts w:asciiTheme="minorHAnsi" w:hAnsiTheme="minorHAnsi"/>
                <w:bCs/>
              </w:rPr>
              <w:t>Continuation of Winter Planning cycle as described.</w:t>
            </w:r>
          </w:p>
          <w:p w14:paraId="6E890E15" w14:textId="77777777" w:rsidR="00E02C36" w:rsidRDefault="00E02C36" w:rsidP="00E02C36">
            <w:pPr>
              <w:rPr>
                <w:rFonts w:asciiTheme="minorHAnsi" w:hAnsiTheme="minorHAnsi"/>
                <w:bCs/>
              </w:rPr>
            </w:pPr>
          </w:p>
          <w:p w14:paraId="1884F040" w14:textId="77777777" w:rsidR="00E02C36" w:rsidRDefault="00E02C36" w:rsidP="00E02C36">
            <w:pPr>
              <w:rPr>
                <w:rFonts w:asciiTheme="minorHAnsi" w:hAnsiTheme="minorHAnsi"/>
                <w:bCs/>
              </w:rPr>
            </w:pPr>
          </w:p>
          <w:p w14:paraId="3F0186DD" w14:textId="77777777" w:rsidR="00E02C36" w:rsidRDefault="00E02C36" w:rsidP="00E02C36">
            <w:pPr>
              <w:rPr>
                <w:rFonts w:asciiTheme="minorHAnsi" w:hAnsiTheme="minorHAnsi"/>
                <w:bCs/>
              </w:rPr>
            </w:pPr>
          </w:p>
          <w:p w14:paraId="389FAE4B" w14:textId="77777777" w:rsidR="00E02C36" w:rsidRDefault="00E02C36" w:rsidP="00E02C36">
            <w:pPr>
              <w:rPr>
                <w:rFonts w:asciiTheme="minorHAnsi" w:hAnsiTheme="minorHAnsi"/>
                <w:bCs/>
              </w:rPr>
            </w:pPr>
          </w:p>
          <w:p w14:paraId="1AEE22E2" w14:textId="77777777" w:rsidR="00E02C36" w:rsidRDefault="00E02C36" w:rsidP="00E02C36">
            <w:pPr>
              <w:rPr>
                <w:rFonts w:asciiTheme="minorHAnsi" w:hAnsiTheme="minorHAnsi"/>
                <w:bCs/>
              </w:rPr>
            </w:pPr>
          </w:p>
          <w:p w14:paraId="61118667" w14:textId="77777777" w:rsidR="00E02C36" w:rsidRDefault="00E02C36" w:rsidP="00E02C36">
            <w:pPr>
              <w:rPr>
                <w:rFonts w:asciiTheme="minorHAnsi" w:hAnsiTheme="minorHAnsi"/>
                <w:bCs/>
              </w:rPr>
            </w:pPr>
          </w:p>
          <w:p w14:paraId="3CBCF744" w14:textId="77777777" w:rsidR="00E02C36" w:rsidRDefault="00E02C36" w:rsidP="00E02C36">
            <w:pPr>
              <w:rPr>
                <w:rFonts w:asciiTheme="minorHAnsi" w:hAnsiTheme="minorHAnsi"/>
                <w:bCs/>
              </w:rPr>
            </w:pPr>
            <w:r>
              <w:rPr>
                <w:rFonts w:asciiTheme="minorHAnsi" w:hAnsiTheme="minorHAnsi"/>
                <w:bCs/>
              </w:rPr>
              <w:t>Years 3&amp;4 – Orthogeriatric requirements to be delivered.</w:t>
            </w:r>
          </w:p>
          <w:p w14:paraId="5DAF8C8D" w14:textId="77777777" w:rsidR="00E02C36" w:rsidRPr="00B93E25" w:rsidRDefault="00E02C36" w:rsidP="00E02C36">
            <w:pPr>
              <w:rPr>
                <w:rFonts w:cs="Arial"/>
              </w:rPr>
            </w:pPr>
            <w:r>
              <w:rPr>
                <w:rFonts w:cs="Arial"/>
              </w:rPr>
              <w:t xml:space="preserve">Year 3 - </w:t>
            </w:r>
            <w:r w:rsidRPr="00B93E25">
              <w:rPr>
                <w:rFonts w:cs="Arial"/>
              </w:rPr>
              <w:t>Delivery of dedicated landing pad within existing infrastructure OR new infrastructure depending upon</w:t>
            </w:r>
            <w:r>
              <w:rPr>
                <w:rFonts w:cs="Arial"/>
              </w:rPr>
              <w:t xml:space="preserve"> local service developments </w:t>
            </w:r>
            <w:r w:rsidRPr="00B93E25">
              <w:rPr>
                <w:rFonts w:cs="Arial"/>
              </w:rPr>
              <w:t>circumstances.</w:t>
            </w:r>
          </w:p>
          <w:p w14:paraId="32AFD4F7" w14:textId="77777777" w:rsidR="00E02C36" w:rsidRPr="00B93E25" w:rsidRDefault="00E02C36" w:rsidP="00E02C36">
            <w:pPr>
              <w:ind w:left="18" w:hanging="18"/>
              <w:rPr>
                <w:rFonts w:cs="Arial"/>
              </w:rPr>
            </w:pPr>
          </w:p>
          <w:p w14:paraId="5978293C" w14:textId="60EE3D33" w:rsidR="00E02C36" w:rsidRPr="00E02C36" w:rsidRDefault="00E02C36" w:rsidP="00E02C36">
            <w:pPr>
              <w:spacing w:line="20" w:lineRule="atLeast"/>
              <w:rPr>
                <w:rFonts w:cs="Arial"/>
              </w:rPr>
            </w:pPr>
            <w:r w:rsidRPr="00B93E25">
              <w:rPr>
                <w:rFonts w:cs="Arial"/>
              </w:rPr>
              <w:t>Delivery of nursing staffing requirements.</w:t>
            </w:r>
          </w:p>
        </w:tc>
      </w:tr>
    </w:tbl>
    <w:p w14:paraId="48B5BE28" w14:textId="77777777" w:rsidR="00540D72" w:rsidRPr="003D0778" w:rsidRDefault="00540D72" w:rsidP="00ED716B">
      <w:pPr>
        <w:pStyle w:val="Heading3"/>
        <w:rPr>
          <w:szCs w:val="22"/>
        </w:rPr>
      </w:pPr>
      <w:bookmarkStart w:id="107" w:name="_Toc532463987"/>
      <w:r w:rsidRPr="003D0778">
        <w:rPr>
          <w:szCs w:val="22"/>
        </w:rPr>
        <w:t>Planned Care</w:t>
      </w:r>
      <w:bookmarkEnd w:id="107"/>
    </w:p>
    <w:p w14:paraId="252362C3" w14:textId="77777777" w:rsidR="00DE3193" w:rsidRPr="00195C09" w:rsidRDefault="00DE3193" w:rsidP="00DE3193">
      <w:pPr>
        <w:rPr>
          <w:rFonts w:asciiTheme="minorHAnsi" w:hAnsiTheme="minorHAnsi"/>
          <w:szCs w:val="22"/>
        </w:rPr>
      </w:pPr>
      <w:bookmarkStart w:id="108" w:name="_Toc532463990"/>
      <w:r w:rsidRPr="00195C09">
        <w:rPr>
          <w:rFonts w:asciiTheme="minorHAnsi" w:hAnsiTheme="minorHAnsi"/>
          <w:szCs w:val="22"/>
        </w:rPr>
        <w:t xml:space="preserve">The Health Board clearly recognises the benefit of early assessment and treatment on health outcomes and places a high priority on achieving the national access targets, which as part of the planned care system includes looking across primary care, community and hospital services.  Our primary and community care section demonstrates that we are committed to re-balancing planned care pathways and through our cluster plans we </w:t>
      </w:r>
      <w:r w:rsidRPr="00195C09">
        <w:rPr>
          <w:rFonts w:asciiTheme="minorHAnsi" w:hAnsiTheme="minorHAnsi"/>
          <w:szCs w:val="22"/>
        </w:rPr>
        <w:lastRenderedPageBreak/>
        <w:t xml:space="preserve">are seeking to develop appropriate components in primary and community care to reduce the reliance on secondary care; reflecting the principles of prudent healthcare.  </w:t>
      </w:r>
    </w:p>
    <w:p w14:paraId="59909B98" w14:textId="77777777" w:rsidR="00DE3193" w:rsidRPr="00195C09" w:rsidRDefault="00DE3193" w:rsidP="00DE3193">
      <w:pPr>
        <w:rPr>
          <w:rFonts w:asciiTheme="minorHAnsi" w:hAnsiTheme="minorHAnsi"/>
          <w:szCs w:val="22"/>
        </w:rPr>
      </w:pPr>
    </w:p>
    <w:p w14:paraId="1BADFE5F" w14:textId="77777777" w:rsidR="00DE3193" w:rsidRDefault="00DE3193" w:rsidP="00DE3193">
      <w:pPr>
        <w:rPr>
          <w:rFonts w:asciiTheme="minorHAnsi" w:hAnsiTheme="minorHAnsi"/>
          <w:szCs w:val="22"/>
        </w:rPr>
      </w:pPr>
      <w:r w:rsidRPr="00195C09">
        <w:rPr>
          <w:rFonts w:asciiTheme="minorHAnsi" w:hAnsiTheme="minorHAnsi"/>
          <w:szCs w:val="22"/>
        </w:rPr>
        <w:t xml:space="preserve">We continue to take positive steps to improve our performance, including implementing a range of ‘enabling’ measures that are linked to improving patient flow and process efficiency; all contribute to the development of a sustainable service model.  We remain committed to our journey of continuous improvement necessary to develop a sustainable service model for planned care. </w:t>
      </w:r>
    </w:p>
    <w:p w14:paraId="7D04486B" w14:textId="77777777" w:rsidR="00DE3193" w:rsidRDefault="00DE3193" w:rsidP="00DE3193">
      <w:pPr>
        <w:rPr>
          <w:rFonts w:asciiTheme="minorHAnsi" w:hAnsiTheme="minorHAnsi"/>
          <w:szCs w:val="22"/>
        </w:rPr>
      </w:pPr>
    </w:p>
    <w:p w14:paraId="285B1CC5" w14:textId="77777777" w:rsidR="00DE3193" w:rsidRDefault="00DE3193" w:rsidP="00DE3193">
      <w:pPr>
        <w:rPr>
          <w:rFonts w:asciiTheme="minorHAnsi" w:hAnsiTheme="minorHAnsi"/>
          <w:szCs w:val="22"/>
        </w:rPr>
      </w:pPr>
      <w:r>
        <w:rPr>
          <w:rFonts w:asciiTheme="minorHAnsi" w:hAnsiTheme="minorHAnsi"/>
          <w:szCs w:val="22"/>
        </w:rPr>
        <w:t xml:space="preserve">The Health Board has placed a strong emphasis on quality in the delivery of care and services for the populations we serve. This is within the context of the Quadruple Aim to ensure that people are supported to manage their own health and wellbeing and to live independently in their own homes for as long as possible, supported by targeted multi-professional integrated health and social care services that will meet their needs delivered by the right professional at the right time as locally as possible; and with strengthened patient and staff involvement and empowerment in the design and delivery of care and support across the organisation. It is imperative that we have an ongoing dialogue with patients and staff to continuously identify what constitutes high quality care and ensure that meaningful patient involvement is embedded in our quality improvement programmes. </w:t>
      </w:r>
    </w:p>
    <w:p w14:paraId="4A6B7A9F" w14:textId="77777777" w:rsidR="00DE3193" w:rsidRDefault="00DE3193" w:rsidP="00DE3193">
      <w:pPr>
        <w:rPr>
          <w:rFonts w:asciiTheme="minorHAnsi" w:hAnsiTheme="minorHAnsi"/>
          <w:szCs w:val="22"/>
        </w:rPr>
      </w:pPr>
    </w:p>
    <w:p w14:paraId="184C036D" w14:textId="77777777" w:rsidR="00DE3193" w:rsidRDefault="00DE3193" w:rsidP="00DE3193">
      <w:pPr>
        <w:rPr>
          <w:rFonts w:asciiTheme="minorHAnsi" w:hAnsiTheme="minorHAnsi"/>
          <w:szCs w:val="22"/>
        </w:rPr>
      </w:pPr>
      <w:r>
        <w:rPr>
          <w:rFonts w:asciiTheme="minorHAnsi" w:hAnsiTheme="minorHAnsi"/>
          <w:szCs w:val="22"/>
        </w:rPr>
        <w:t xml:space="preserve">We will continue to improve the ability of the organisation to listen to and learn from our patients and their families and ensure that the planning and delivery of services is based on a robust process centred around meaningful engagement, learning from patient experiences both positive and negative, in order that we can improve the experience of patients and their families. We will continue our approach to embed Patient Reported Outcome Measures (PROMS) to support the implementation of both a Prudent and Values Based Healthcare approach across the organisation to ensure that we deliver and monitor desired outcomes that matter to individuals. </w:t>
      </w:r>
    </w:p>
    <w:p w14:paraId="7E91AF10" w14:textId="77777777" w:rsidR="00DE3193" w:rsidRDefault="00DE3193" w:rsidP="00DE3193">
      <w:pPr>
        <w:rPr>
          <w:rFonts w:asciiTheme="minorHAnsi" w:hAnsiTheme="minorHAnsi"/>
          <w:szCs w:val="22"/>
        </w:rPr>
      </w:pPr>
    </w:p>
    <w:p w14:paraId="35F5F56C" w14:textId="77777777" w:rsidR="00DE3193" w:rsidRPr="00DE3193" w:rsidRDefault="00DE3193" w:rsidP="00DE3193">
      <w:pPr>
        <w:rPr>
          <w:rFonts w:asciiTheme="minorHAnsi" w:hAnsiTheme="minorHAnsi"/>
          <w:b/>
          <w:szCs w:val="22"/>
        </w:rPr>
      </w:pPr>
      <w:r w:rsidRPr="00DE3193">
        <w:rPr>
          <w:rFonts w:asciiTheme="minorHAnsi" w:hAnsiTheme="minorHAnsi"/>
          <w:b/>
          <w:szCs w:val="22"/>
        </w:rPr>
        <w:t>Children, Young People and Families</w:t>
      </w:r>
    </w:p>
    <w:p w14:paraId="37D4F1F3" w14:textId="77777777" w:rsidR="00DE3193" w:rsidRDefault="00DE3193" w:rsidP="00DE3193">
      <w:pPr>
        <w:rPr>
          <w:rFonts w:asciiTheme="minorHAnsi" w:hAnsiTheme="minorHAnsi"/>
          <w:szCs w:val="22"/>
        </w:rPr>
      </w:pPr>
      <w:r>
        <w:rPr>
          <w:rFonts w:asciiTheme="minorHAnsi" w:hAnsiTheme="minorHAnsi"/>
          <w:szCs w:val="22"/>
        </w:rPr>
        <w:t xml:space="preserve">We are planning to develop fully integrated health and well-being services where children, young people and their families will receive a range of services by the right person, at the time when we can make a real difference to their needs and at the pace that is most beneficial to them. </w:t>
      </w:r>
    </w:p>
    <w:p w14:paraId="7F52B637" w14:textId="77777777" w:rsidR="00DE3193" w:rsidRDefault="00DE3193" w:rsidP="00DE3193">
      <w:pPr>
        <w:rPr>
          <w:rFonts w:asciiTheme="minorHAnsi" w:hAnsiTheme="minorHAnsi"/>
          <w:szCs w:val="22"/>
        </w:rPr>
      </w:pPr>
    </w:p>
    <w:p w14:paraId="23254C00" w14:textId="77777777" w:rsidR="00DE3193" w:rsidRDefault="00DE3193" w:rsidP="00DE3193">
      <w:pPr>
        <w:rPr>
          <w:rFonts w:asciiTheme="minorHAnsi" w:hAnsiTheme="minorHAnsi"/>
          <w:szCs w:val="22"/>
        </w:rPr>
      </w:pPr>
      <w:r>
        <w:rPr>
          <w:rFonts w:asciiTheme="minorHAnsi" w:hAnsiTheme="minorHAnsi"/>
          <w:szCs w:val="22"/>
        </w:rPr>
        <w:t xml:space="preserve">Over the last year, the Health Board has implemented the centralisation of the Neonatal Unit to Prince Charles Hospital in line with the South Wales Programme. The newly built unit ensures care for new born infants in line with national guidelines and robust pathways have been put in place to ensure safe and effective care for those in need of the unit. Further work will be undertaken to strengthen therapies input within the Neonatal Unit to develop integrated and joint working processes. </w:t>
      </w:r>
    </w:p>
    <w:p w14:paraId="68E164C1" w14:textId="77777777" w:rsidR="00DE3193" w:rsidRDefault="00DE3193" w:rsidP="00DE3193">
      <w:pPr>
        <w:rPr>
          <w:rFonts w:asciiTheme="minorHAnsi" w:hAnsiTheme="minorHAnsi"/>
          <w:szCs w:val="22"/>
        </w:rPr>
      </w:pPr>
    </w:p>
    <w:p w14:paraId="29E32844" w14:textId="77777777" w:rsidR="00DE3193" w:rsidRDefault="00DE3193" w:rsidP="00DE3193">
      <w:pPr>
        <w:rPr>
          <w:rFonts w:asciiTheme="minorHAnsi" w:hAnsiTheme="minorHAnsi"/>
          <w:szCs w:val="22"/>
        </w:rPr>
      </w:pPr>
      <w:r>
        <w:rPr>
          <w:rFonts w:asciiTheme="minorHAnsi" w:hAnsiTheme="minorHAnsi"/>
          <w:szCs w:val="22"/>
        </w:rPr>
        <w:t xml:space="preserve">The provision of safe, sustainable paediatric services remains both a priority and a challenge for the Health Board through the ongoing full implementation of the South Wales Programme, whilst service delivery plans for paediatrics such as the Paediatric Assessment Unit in the Royal Glamorgan Hospital are being finalised. At the same time we must also consider the short and long term impact on other associated services such as Obstetrics and the Emergency Department. Regional Paediatric, Obstetric and Neonatal services remain central to our work and require strong links with our neighbouring Health Boards. </w:t>
      </w:r>
    </w:p>
    <w:p w14:paraId="0A8C7E9D" w14:textId="77777777" w:rsidR="00DE3193" w:rsidRDefault="00DE3193" w:rsidP="00DE3193">
      <w:pPr>
        <w:rPr>
          <w:rFonts w:asciiTheme="minorHAnsi" w:hAnsiTheme="minorHAnsi"/>
          <w:szCs w:val="22"/>
        </w:rPr>
      </w:pPr>
    </w:p>
    <w:p w14:paraId="4AE21291" w14:textId="77777777" w:rsidR="00DE3193" w:rsidRDefault="00DE3193" w:rsidP="00DE3193">
      <w:pPr>
        <w:rPr>
          <w:rFonts w:asciiTheme="minorHAnsi" w:hAnsiTheme="minorHAnsi"/>
          <w:szCs w:val="22"/>
        </w:rPr>
      </w:pPr>
      <w:r>
        <w:rPr>
          <w:rFonts w:asciiTheme="minorHAnsi" w:hAnsiTheme="minorHAnsi"/>
          <w:szCs w:val="22"/>
        </w:rPr>
        <w:t xml:space="preserve">We will continue to challenge existing practice and further develop ways of working differently with strong service pathways to enhance care and support for children and their families. </w:t>
      </w:r>
    </w:p>
    <w:p w14:paraId="5DEF3418" w14:textId="77777777" w:rsidR="00DE3193" w:rsidRDefault="00DE3193" w:rsidP="00DE3193">
      <w:pPr>
        <w:rPr>
          <w:rFonts w:asciiTheme="minorHAnsi" w:hAnsiTheme="minorHAnsi"/>
          <w:b/>
          <w:szCs w:val="22"/>
        </w:rPr>
      </w:pPr>
    </w:p>
    <w:p w14:paraId="7D20C506" w14:textId="77777777" w:rsidR="00E334A5" w:rsidRDefault="00E334A5" w:rsidP="00DE3193">
      <w:pPr>
        <w:rPr>
          <w:rFonts w:asciiTheme="minorHAnsi" w:hAnsiTheme="minorHAnsi"/>
          <w:b/>
          <w:szCs w:val="22"/>
        </w:rPr>
      </w:pPr>
    </w:p>
    <w:p w14:paraId="6D33768E" w14:textId="77777777" w:rsidR="00E334A5" w:rsidRDefault="00E334A5" w:rsidP="00DE3193">
      <w:pPr>
        <w:rPr>
          <w:rFonts w:asciiTheme="minorHAnsi" w:hAnsiTheme="minorHAnsi"/>
          <w:b/>
          <w:szCs w:val="22"/>
        </w:rPr>
      </w:pPr>
    </w:p>
    <w:p w14:paraId="6A581DB2" w14:textId="77777777" w:rsidR="00E334A5" w:rsidRDefault="00E334A5" w:rsidP="00DE3193">
      <w:pPr>
        <w:rPr>
          <w:rFonts w:asciiTheme="minorHAnsi" w:hAnsiTheme="minorHAnsi"/>
          <w:b/>
          <w:szCs w:val="22"/>
        </w:rPr>
      </w:pPr>
    </w:p>
    <w:p w14:paraId="51781619" w14:textId="77777777" w:rsidR="00E334A5" w:rsidRDefault="00E334A5" w:rsidP="00DE3193">
      <w:pPr>
        <w:rPr>
          <w:rFonts w:asciiTheme="minorHAnsi" w:hAnsiTheme="minorHAnsi"/>
          <w:b/>
          <w:szCs w:val="22"/>
        </w:rPr>
      </w:pPr>
    </w:p>
    <w:p w14:paraId="06F48E29" w14:textId="77777777" w:rsidR="00E334A5" w:rsidRDefault="00E334A5" w:rsidP="00DE3193">
      <w:pPr>
        <w:rPr>
          <w:rFonts w:asciiTheme="minorHAnsi" w:hAnsiTheme="minorHAnsi"/>
          <w:b/>
          <w:szCs w:val="22"/>
        </w:rPr>
      </w:pPr>
    </w:p>
    <w:p w14:paraId="6EFE5C89" w14:textId="77777777" w:rsidR="00E334A5" w:rsidRDefault="00E334A5" w:rsidP="00DE3193">
      <w:pPr>
        <w:rPr>
          <w:rFonts w:asciiTheme="minorHAnsi" w:hAnsiTheme="minorHAnsi"/>
          <w:b/>
          <w:szCs w:val="22"/>
        </w:rPr>
      </w:pPr>
    </w:p>
    <w:p w14:paraId="2F30E2F7" w14:textId="77777777" w:rsidR="00E334A5" w:rsidRDefault="00E334A5" w:rsidP="00DE3193">
      <w:pPr>
        <w:rPr>
          <w:rFonts w:asciiTheme="minorHAnsi" w:hAnsiTheme="minorHAnsi"/>
          <w:b/>
          <w:szCs w:val="22"/>
        </w:rPr>
      </w:pPr>
    </w:p>
    <w:p w14:paraId="017FE67D" w14:textId="77777777" w:rsidR="00E334A5" w:rsidRPr="00DE3193" w:rsidRDefault="00E334A5" w:rsidP="00DE3193">
      <w:pPr>
        <w:rPr>
          <w:rFonts w:asciiTheme="minorHAnsi" w:hAnsiTheme="minorHAnsi"/>
          <w:b/>
          <w:szCs w:val="22"/>
        </w:rPr>
      </w:pPr>
    </w:p>
    <w:p w14:paraId="3CAE5A61" w14:textId="6A2C9566" w:rsidR="00DE3193" w:rsidRPr="00DE3193" w:rsidRDefault="00DE3193" w:rsidP="00DE3193">
      <w:pPr>
        <w:rPr>
          <w:rFonts w:asciiTheme="minorHAnsi" w:hAnsiTheme="minorHAnsi"/>
          <w:b/>
          <w:bCs/>
        </w:rPr>
      </w:pPr>
      <w:r w:rsidRPr="00DE3193">
        <w:rPr>
          <w:rFonts w:asciiTheme="minorHAnsi" w:hAnsiTheme="minorHAnsi"/>
          <w:b/>
          <w:bCs/>
          <w:noProof/>
          <w:color w:val="000000" w:themeColor="text1"/>
        </w:rPr>
        <w:lastRenderedPageBreak/>
        <mc:AlternateContent>
          <mc:Choice Requires="wps">
            <w:drawing>
              <wp:anchor distT="0" distB="0" distL="114300" distR="114300" simplePos="0" relativeHeight="252825600" behindDoc="1" locked="0" layoutInCell="1" allowOverlap="1" wp14:anchorId="7A004D3E" wp14:editId="24EE8F83">
                <wp:simplePos x="0" y="0"/>
                <wp:positionH relativeFrom="margin">
                  <wp:posOffset>-93980</wp:posOffset>
                </wp:positionH>
                <wp:positionV relativeFrom="paragraph">
                  <wp:posOffset>93345</wp:posOffset>
                </wp:positionV>
                <wp:extent cx="6675120" cy="696595"/>
                <wp:effectExtent l="0" t="38100" r="30480" b="65405"/>
                <wp:wrapNone/>
                <wp:docPr id="62" name="Right Arrow 62"/>
                <wp:cNvGraphicFramePr/>
                <a:graphic xmlns:a="http://schemas.openxmlformats.org/drawingml/2006/main">
                  <a:graphicData uri="http://schemas.microsoft.com/office/word/2010/wordprocessingShape">
                    <wps:wsp>
                      <wps:cNvSpPr/>
                      <wps:spPr>
                        <a:xfrm>
                          <a:off x="0" y="0"/>
                          <a:ext cx="6675120" cy="696595"/>
                        </a:xfrm>
                        <a:prstGeom prst="rightArrow">
                          <a:avLst>
                            <a:gd name="adj1" fmla="val 50000"/>
                            <a:gd name="adj2" fmla="val 29881"/>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D71633" id="Right Arrow 62" o:spid="_x0000_s1026" type="#_x0000_t13" style="position:absolute;margin-left:-7.4pt;margin-top:7.35pt;width:525.6pt;height:54.85pt;z-index:-2504908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" adj="20926" fillcolor="#eaf1dd [662]" strokecolor="#76923c [2406]" strokeweight="2pt">
                <w10:wrap anchorx="margin"/>
              </v:shape>
            </w:pict>
          </mc:Fallback>
        </mc:AlternateContent>
      </w:r>
      <w:r w:rsidRPr="00DE3193">
        <w:rPr>
          <w:rFonts w:asciiTheme="minorHAnsi" w:hAnsiTheme="minorHAnsi"/>
          <w:b/>
          <w:bCs/>
        </w:rPr>
        <w:t>Milestones</w:t>
      </w:r>
    </w:p>
    <w:p w14:paraId="07CE1707" w14:textId="77777777" w:rsidR="00DE3193" w:rsidRDefault="00DE3193" w:rsidP="00DE3193">
      <w:pPr>
        <w:rPr>
          <w:rFonts w:asciiTheme="minorHAnsi" w:hAnsiTheme="minorHAnsi"/>
          <w:bCs/>
        </w:rPr>
      </w:pPr>
    </w:p>
    <w:tbl>
      <w:tblPr>
        <w:tblStyle w:val="TableGrid"/>
        <w:tblW w:w="9918" w:type="dxa"/>
        <w:tblLook w:val="04A0" w:firstRow="1" w:lastRow="0" w:firstColumn="1" w:lastColumn="0" w:noHBand="0" w:noVBand="1"/>
      </w:tblPr>
      <w:tblGrid>
        <w:gridCol w:w="4957"/>
        <w:gridCol w:w="2835"/>
        <w:gridCol w:w="2126"/>
      </w:tblGrid>
      <w:tr w:rsidR="00DE3193" w:rsidRPr="00F13A85" w14:paraId="54FD5000" w14:textId="77777777" w:rsidTr="00DE3193">
        <w:trPr>
          <w:trHeight w:val="2955"/>
        </w:trPr>
        <w:tc>
          <w:tcPr>
            <w:tcW w:w="4957" w:type="dxa"/>
          </w:tcPr>
          <w:p w14:paraId="6D459EBB" w14:textId="77777777" w:rsidR="00DE3193" w:rsidRDefault="00DE3193" w:rsidP="00AA4595">
            <w:pPr>
              <w:jc w:val="center"/>
              <w:rPr>
                <w:rFonts w:asciiTheme="minorHAnsi" w:hAnsiTheme="minorHAnsi"/>
                <w:bCs/>
                <w:color w:val="000000" w:themeColor="text1"/>
                <w:sz w:val="22"/>
              </w:rPr>
            </w:pPr>
            <w:r w:rsidRPr="008B31E4">
              <w:rPr>
                <w:rFonts w:asciiTheme="minorHAnsi" w:hAnsiTheme="minorHAnsi"/>
                <w:bCs/>
                <w:color w:val="000000" w:themeColor="text1"/>
                <w:sz w:val="22"/>
              </w:rPr>
              <w:t>Year 1</w:t>
            </w:r>
          </w:p>
          <w:p w14:paraId="01A3B0AB" w14:textId="77777777" w:rsidR="00DE3193" w:rsidRPr="008B31E4" w:rsidRDefault="00DE3193" w:rsidP="00AA4595">
            <w:pPr>
              <w:jc w:val="center"/>
              <w:rPr>
                <w:rFonts w:asciiTheme="minorHAnsi" w:hAnsiTheme="minorHAnsi"/>
                <w:bCs/>
                <w:color w:val="000000" w:themeColor="text1"/>
                <w:sz w:val="22"/>
              </w:rPr>
            </w:pPr>
          </w:p>
          <w:p w14:paraId="22E76A44" w14:textId="77777777" w:rsidR="00DE3193" w:rsidRPr="008B31E4" w:rsidRDefault="00DE3193" w:rsidP="00AA4595">
            <w:pPr>
              <w:jc w:val="left"/>
              <w:rPr>
                <w:rFonts w:asciiTheme="minorHAnsi" w:hAnsiTheme="minorHAnsi"/>
                <w:bCs/>
                <w:color w:val="000000" w:themeColor="text1"/>
                <w:sz w:val="22"/>
              </w:rPr>
            </w:pPr>
            <w:r w:rsidRPr="008B31E4">
              <w:rPr>
                <w:rFonts w:asciiTheme="minorHAnsi" w:hAnsiTheme="minorHAnsi"/>
                <w:b/>
                <w:bCs/>
                <w:color w:val="000000" w:themeColor="text1"/>
                <w:sz w:val="22"/>
              </w:rPr>
              <w:t>Q1</w:t>
            </w:r>
            <w:r w:rsidRPr="008B31E4">
              <w:rPr>
                <w:rFonts w:asciiTheme="minorHAnsi" w:hAnsiTheme="minorHAnsi"/>
                <w:bCs/>
                <w:color w:val="000000" w:themeColor="text1"/>
                <w:sz w:val="22"/>
              </w:rPr>
              <w:t>: Bid produced for therapist input in the N</w:t>
            </w:r>
            <w:r>
              <w:rPr>
                <w:rFonts w:asciiTheme="minorHAnsi" w:hAnsiTheme="minorHAnsi"/>
                <w:bCs/>
                <w:color w:val="000000" w:themeColor="text1"/>
                <w:sz w:val="22"/>
              </w:rPr>
              <w:t>eonatal Unit.</w:t>
            </w:r>
          </w:p>
          <w:p w14:paraId="22E46FC6" w14:textId="77777777" w:rsidR="00DE3193" w:rsidRPr="008B31E4" w:rsidRDefault="00DE3193" w:rsidP="00AA4595">
            <w:pPr>
              <w:jc w:val="left"/>
              <w:rPr>
                <w:rFonts w:asciiTheme="minorHAnsi" w:hAnsiTheme="minorHAnsi"/>
                <w:bCs/>
                <w:color w:val="000000" w:themeColor="text1"/>
                <w:sz w:val="22"/>
              </w:rPr>
            </w:pPr>
            <w:r w:rsidRPr="008B31E4">
              <w:rPr>
                <w:rFonts w:asciiTheme="minorHAnsi" w:hAnsiTheme="minorHAnsi"/>
                <w:b/>
                <w:bCs/>
                <w:color w:val="000000" w:themeColor="text1"/>
                <w:sz w:val="22"/>
              </w:rPr>
              <w:t>Q1</w:t>
            </w:r>
            <w:r w:rsidRPr="008B31E4">
              <w:rPr>
                <w:rFonts w:asciiTheme="minorHAnsi" w:hAnsiTheme="minorHAnsi"/>
                <w:bCs/>
                <w:color w:val="000000" w:themeColor="text1"/>
                <w:sz w:val="22"/>
              </w:rPr>
              <w:t xml:space="preserve"> Paed</w:t>
            </w:r>
            <w:r>
              <w:rPr>
                <w:rFonts w:asciiTheme="minorHAnsi" w:hAnsiTheme="minorHAnsi"/>
                <w:bCs/>
                <w:color w:val="000000" w:themeColor="text1"/>
                <w:sz w:val="22"/>
              </w:rPr>
              <w:t>iatric Neurology clinics run.</w:t>
            </w:r>
          </w:p>
          <w:p w14:paraId="30A0B3D5" w14:textId="77777777" w:rsidR="00DE3193" w:rsidRPr="008B31E4" w:rsidRDefault="00DE3193" w:rsidP="00AA4595">
            <w:pPr>
              <w:jc w:val="left"/>
              <w:rPr>
                <w:rFonts w:asciiTheme="minorHAnsi" w:hAnsiTheme="minorHAnsi"/>
                <w:bCs/>
                <w:color w:val="000000" w:themeColor="text1"/>
                <w:sz w:val="22"/>
              </w:rPr>
            </w:pPr>
            <w:r w:rsidRPr="008B31E4">
              <w:rPr>
                <w:rFonts w:asciiTheme="minorHAnsi" w:hAnsiTheme="minorHAnsi"/>
                <w:b/>
                <w:bCs/>
                <w:color w:val="000000" w:themeColor="text1"/>
                <w:sz w:val="22"/>
              </w:rPr>
              <w:t>Q1</w:t>
            </w:r>
            <w:r w:rsidRPr="008B31E4">
              <w:rPr>
                <w:rFonts w:asciiTheme="minorHAnsi" w:hAnsiTheme="minorHAnsi"/>
                <w:bCs/>
                <w:color w:val="000000" w:themeColor="text1"/>
                <w:sz w:val="22"/>
              </w:rPr>
              <w:t>: Work on P</w:t>
            </w:r>
            <w:r>
              <w:rPr>
                <w:rFonts w:asciiTheme="minorHAnsi" w:hAnsiTheme="minorHAnsi"/>
                <w:bCs/>
                <w:color w:val="000000" w:themeColor="text1"/>
                <w:sz w:val="22"/>
              </w:rPr>
              <w:t xml:space="preserve">aediatric </w:t>
            </w:r>
            <w:r w:rsidRPr="008B31E4">
              <w:rPr>
                <w:rFonts w:asciiTheme="minorHAnsi" w:hAnsiTheme="minorHAnsi"/>
                <w:bCs/>
                <w:color w:val="000000" w:themeColor="text1"/>
                <w:sz w:val="22"/>
              </w:rPr>
              <w:t>A</w:t>
            </w:r>
            <w:r>
              <w:rPr>
                <w:rFonts w:asciiTheme="minorHAnsi" w:hAnsiTheme="minorHAnsi"/>
                <w:bCs/>
                <w:color w:val="000000" w:themeColor="text1"/>
                <w:sz w:val="22"/>
              </w:rPr>
              <w:t xml:space="preserve">ssessment </w:t>
            </w:r>
            <w:r w:rsidRPr="008B31E4">
              <w:rPr>
                <w:rFonts w:asciiTheme="minorHAnsi" w:hAnsiTheme="minorHAnsi"/>
                <w:bCs/>
                <w:color w:val="000000" w:themeColor="text1"/>
                <w:sz w:val="22"/>
              </w:rPr>
              <w:t>U</w:t>
            </w:r>
            <w:r>
              <w:rPr>
                <w:rFonts w:asciiTheme="minorHAnsi" w:hAnsiTheme="minorHAnsi"/>
                <w:bCs/>
                <w:color w:val="000000" w:themeColor="text1"/>
                <w:sz w:val="22"/>
              </w:rPr>
              <w:t>nit</w:t>
            </w:r>
            <w:r w:rsidRPr="008B31E4">
              <w:rPr>
                <w:rFonts w:asciiTheme="minorHAnsi" w:hAnsiTheme="minorHAnsi"/>
                <w:bCs/>
                <w:color w:val="000000" w:themeColor="text1"/>
                <w:sz w:val="22"/>
              </w:rPr>
              <w:t xml:space="preserve"> interdependencies with A&amp;E, Obs</w:t>
            </w:r>
            <w:r>
              <w:rPr>
                <w:rFonts w:asciiTheme="minorHAnsi" w:hAnsiTheme="minorHAnsi"/>
                <w:bCs/>
                <w:color w:val="000000" w:themeColor="text1"/>
                <w:sz w:val="22"/>
              </w:rPr>
              <w:t>tetrics</w:t>
            </w:r>
            <w:r w:rsidRPr="008B31E4">
              <w:rPr>
                <w:rFonts w:asciiTheme="minorHAnsi" w:hAnsiTheme="minorHAnsi"/>
                <w:bCs/>
                <w:color w:val="000000" w:themeColor="text1"/>
                <w:sz w:val="22"/>
              </w:rPr>
              <w:t xml:space="preserve"> and Gynae</w:t>
            </w:r>
            <w:r>
              <w:rPr>
                <w:rFonts w:asciiTheme="minorHAnsi" w:hAnsiTheme="minorHAnsi"/>
                <w:bCs/>
                <w:color w:val="000000" w:themeColor="text1"/>
                <w:sz w:val="22"/>
              </w:rPr>
              <w:t>cology.</w:t>
            </w:r>
          </w:p>
          <w:p w14:paraId="201FAF00" w14:textId="77777777" w:rsidR="00DE3193" w:rsidRPr="008B31E4" w:rsidRDefault="00DE3193" w:rsidP="00AA4595">
            <w:pPr>
              <w:jc w:val="left"/>
              <w:rPr>
                <w:rFonts w:asciiTheme="minorHAnsi" w:hAnsiTheme="minorHAnsi"/>
                <w:bCs/>
                <w:color w:val="000000" w:themeColor="text1"/>
                <w:sz w:val="22"/>
              </w:rPr>
            </w:pPr>
            <w:r w:rsidRPr="008B31E4">
              <w:rPr>
                <w:rFonts w:asciiTheme="minorHAnsi" w:hAnsiTheme="minorHAnsi"/>
                <w:b/>
                <w:bCs/>
                <w:color w:val="000000" w:themeColor="text1"/>
                <w:sz w:val="22"/>
              </w:rPr>
              <w:t>Q2</w:t>
            </w:r>
            <w:r w:rsidRPr="008B31E4">
              <w:rPr>
                <w:rFonts w:asciiTheme="minorHAnsi" w:hAnsiTheme="minorHAnsi"/>
                <w:bCs/>
                <w:color w:val="000000" w:themeColor="text1"/>
                <w:sz w:val="22"/>
              </w:rPr>
              <w:t>: Bid complete for therapist input into N</w:t>
            </w:r>
            <w:r>
              <w:rPr>
                <w:rFonts w:asciiTheme="minorHAnsi" w:hAnsiTheme="minorHAnsi"/>
                <w:bCs/>
                <w:color w:val="000000" w:themeColor="text1"/>
                <w:sz w:val="22"/>
              </w:rPr>
              <w:t>eonatal Unit for approval.</w:t>
            </w:r>
          </w:p>
          <w:p w14:paraId="7A894473" w14:textId="77777777" w:rsidR="00DE3193" w:rsidRPr="008B31E4" w:rsidRDefault="00DE3193" w:rsidP="00AA4595">
            <w:pPr>
              <w:jc w:val="left"/>
              <w:rPr>
                <w:rFonts w:asciiTheme="minorHAnsi" w:hAnsiTheme="minorHAnsi"/>
                <w:bCs/>
                <w:color w:val="000000" w:themeColor="text1"/>
                <w:sz w:val="22"/>
              </w:rPr>
            </w:pPr>
            <w:r w:rsidRPr="008B31E4">
              <w:rPr>
                <w:rFonts w:asciiTheme="minorHAnsi" w:hAnsiTheme="minorHAnsi"/>
                <w:b/>
                <w:bCs/>
                <w:color w:val="000000" w:themeColor="text1"/>
                <w:sz w:val="22"/>
              </w:rPr>
              <w:t>Q2</w:t>
            </w:r>
            <w:r w:rsidRPr="008B31E4">
              <w:rPr>
                <w:rFonts w:asciiTheme="minorHAnsi" w:hAnsiTheme="minorHAnsi"/>
                <w:bCs/>
                <w:color w:val="000000" w:themeColor="text1"/>
                <w:sz w:val="22"/>
              </w:rPr>
              <w:t>: Implementation of P</w:t>
            </w:r>
            <w:r>
              <w:rPr>
                <w:rFonts w:asciiTheme="minorHAnsi" w:hAnsiTheme="minorHAnsi"/>
                <w:bCs/>
                <w:color w:val="000000" w:themeColor="text1"/>
                <w:sz w:val="22"/>
              </w:rPr>
              <w:t xml:space="preserve">aediatric Assessment Unit </w:t>
            </w:r>
            <w:r w:rsidRPr="008B31E4">
              <w:rPr>
                <w:rFonts w:asciiTheme="minorHAnsi" w:hAnsiTheme="minorHAnsi"/>
                <w:bCs/>
                <w:color w:val="000000" w:themeColor="text1"/>
                <w:sz w:val="22"/>
              </w:rPr>
              <w:t>in</w:t>
            </w:r>
            <w:r>
              <w:rPr>
                <w:rFonts w:asciiTheme="minorHAnsi" w:hAnsiTheme="minorHAnsi"/>
                <w:bCs/>
                <w:color w:val="000000" w:themeColor="text1"/>
                <w:sz w:val="22"/>
              </w:rPr>
              <w:t xml:space="preserve"> Royal Glamorgan Hospital RGH.</w:t>
            </w:r>
          </w:p>
          <w:p w14:paraId="7F13EB7B" w14:textId="77777777" w:rsidR="00DE3193" w:rsidRPr="008B31E4" w:rsidRDefault="00DE3193" w:rsidP="00AA4595">
            <w:pPr>
              <w:jc w:val="left"/>
              <w:rPr>
                <w:rFonts w:asciiTheme="minorHAnsi" w:hAnsiTheme="minorHAnsi"/>
                <w:bCs/>
                <w:color w:val="000000" w:themeColor="text1"/>
                <w:sz w:val="22"/>
              </w:rPr>
            </w:pPr>
            <w:r w:rsidRPr="008B31E4">
              <w:rPr>
                <w:rFonts w:asciiTheme="minorHAnsi" w:hAnsiTheme="minorHAnsi"/>
                <w:b/>
                <w:bCs/>
                <w:color w:val="000000" w:themeColor="text1"/>
                <w:sz w:val="22"/>
              </w:rPr>
              <w:t>Q3</w:t>
            </w:r>
            <w:r w:rsidRPr="008B31E4">
              <w:rPr>
                <w:rFonts w:asciiTheme="minorHAnsi" w:hAnsiTheme="minorHAnsi"/>
                <w:bCs/>
                <w:color w:val="000000" w:themeColor="text1"/>
                <w:sz w:val="22"/>
              </w:rPr>
              <w:t>: Recruitment of Therapists for N</w:t>
            </w:r>
            <w:r>
              <w:rPr>
                <w:rFonts w:asciiTheme="minorHAnsi" w:hAnsiTheme="minorHAnsi"/>
                <w:bCs/>
                <w:color w:val="000000" w:themeColor="text1"/>
                <w:sz w:val="22"/>
              </w:rPr>
              <w:t>eonatal Unit.</w:t>
            </w:r>
          </w:p>
        </w:tc>
        <w:tc>
          <w:tcPr>
            <w:tcW w:w="2835" w:type="dxa"/>
          </w:tcPr>
          <w:p w14:paraId="6F6F5674" w14:textId="77777777" w:rsidR="00DE3193" w:rsidRDefault="00DE3193" w:rsidP="00AA4595">
            <w:pPr>
              <w:jc w:val="center"/>
              <w:rPr>
                <w:rFonts w:asciiTheme="minorHAnsi" w:hAnsiTheme="minorHAnsi"/>
                <w:bCs/>
                <w:color w:val="000000" w:themeColor="text1"/>
                <w:sz w:val="22"/>
              </w:rPr>
            </w:pPr>
            <w:r w:rsidRPr="008B31E4">
              <w:rPr>
                <w:rFonts w:asciiTheme="minorHAnsi" w:hAnsiTheme="minorHAnsi"/>
                <w:bCs/>
                <w:color w:val="000000" w:themeColor="text1"/>
                <w:sz w:val="22"/>
              </w:rPr>
              <w:t>Year 2</w:t>
            </w:r>
          </w:p>
          <w:p w14:paraId="38BE8FE9" w14:textId="77777777" w:rsidR="00DE3193" w:rsidRPr="008B31E4" w:rsidRDefault="00DE3193" w:rsidP="00AA4595">
            <w:pPr>
              <w:jc w:val="center"/>
              <w:rPr>
                <w:rFonts w:asciiTheme="minorHAnsi" w:hAnsiTheme="minorHAnsi"/>
                <w:bCs/>
                <w:color w:val="000000" w:themeColor="text1"/>
                <w:sz w:val="22"/>
              </w:rPr>
            </w:pPr>
          </w:p>
          <w:p w14:paraId="1D54811A" w14:textId="77777777" w:rsidR="00DE3193" w:rsidRPr="008B31E4" w:rsidRDefault="00DE3193" w:rsidP="00AA4595">
            <w:pPr>
              <w:jc w:val="left"/>
              <w:rPr>
                <w:rFonts w:asciiTheme="minorHAnsi" w:hAnsiTheme="minorHAnsi"/>
                <w:bCs/>
                <w:color w:val="000000" w:themeColor="text1"/>
                <w:sz w:val="22"/>
              </w:rPr>
            </w:pPr>
            <w:r w:rsidRPr="008B31E4">
              <w:rPr>
                <w:rFonts w:asciiTheme="minorHAnsi" w:hAnsiTheme="minorHAnsi"/>
                <w:b/>
                <w:bCs/>
                <w:color w:val="000000" w:themeColor="text1"/>
                <w:sz w:val="22"/>
              </w:rPr>
              <w:t>Q1</w:t>
            </w:r>
            <w:r w:rsidRPr="008B31E4">
              <w:rPr>
                <w:rFonts w:asciiTheme="minorHAnsi" w:hAnsiTheme="minorHAnsi"/>
                <w:bCs/>
                <w:color w:val="000000" w:themeColor="text1"/>
                <w:sz w:val="22"/>
              </w:rPr>
              <w:t>: Evaluation of P</w:t>
            </w:r>
            <w:r>
              <w:rPr>
                <w:rFonts w:asciiTheme="minorHAnsi" w:hAnsiTheme="minorHAnsi"/>
                <w:bCs/>
                <w:color w:val="000000" w:themeColor="text1"/>
                <w:sz w:val="22"/>
              </w:rPr>
              <w:t xml:space="preserve">aediatric Assessment Unit </w:t>
            </w:r>
            <w:r w:rsidRPr="008B31E4">
              <w:rPr>
                <w:rFonts w:asciiTheme="minorHAnsi" w:hAnsiTheme="minorHAnsi"/>
                <w:bCs/>
                <w:color w:val="000000" w:themeColor="text1"/>
                <w:sz w:val="22"/>
              </w:rPr>
              <w:t>in R</w:t>
            </w:r>
            <w:r>
              <w:rPr>
                <w:rFonts w:asciiTheme="minorHAnsi" w:hAnsiTheme="minorHAnsi"/>
                <w:bCs/>
                <w:color w:val="000000" w:themeColor="text1"/>
                <w:sz w:val="22"/>
              </w:rPr>
              <w:t xml:space="preserve">oyal Glamorgan Hospital. </w:t>
            </w:r>
          </w:p>
          <w:p w14:paraId="4DE977B8" w14:textId="77777777" w:rsidR="00DE3193" w:rsidRPr="008B31E4" w:rsidRDefault="00DE3193" w:rsidP="00AA4595">
            <w:pPr>
              <w:jc w:val="left"/>
              <w:rPr>
                <w:rFonts w:asciiTheme="minorHAnsi" w:hAnsiTheme="minorHAnsi"/>
                <w:bCs/>
                <w:color w:val="000000" w:themeColor="text1"/>
                <w:sz w:val="22"/>
              </w:rPr>
            </w:pPr>
            <w:r w:rsidRPr="008B31E4">
              <w:rPr>
                <w:rFonts w:asciiTheme="minorHAnsi" w:hAnsiTheme="minorHAnsi"/>
                <w:b/>
                <w:bCs/>
                <w:color w:val="000000" w:themeColor="text1"/>
                <w:sz w:val="22"/>
              </w:rPr>
              <w:t>Q1-4</w:t>
            </w:r>
            <w:r w:rsidRPr="008B31E4">
              <w:rPr>
                <w:rFonts w:asciiTheme="minorHAnsi" w:hAnsiTheme="minorHAnsi"/>
                <w:bCs/>
                <w:color w:val="000000" w:themeColor="text1"/>
                <w:sz w:val="22"/>
              </w:rPr>
              <w:t xml:space="preserve"> Continue to run Paed</w:t>
            </w:r>
            <w:r>
              <w:rPr>
                <w:rFonts w:asciiTheme="minorHAnsi" w:hAnsiTheme="minorHAnsi"/>
                <w:bCs/>
                <w:color w:val="000000" w:themeColor="text1"/>
                <w:sz w:val="22"/>
              </w:rPr>
              <w:t xml:space="preserve">iatric Neurology </w:t>
            </w:r>
            <w:r w:rsidRPr="008B31E4">
              <w:rPr>
                <w:rFonts w:asciiTheme="minorHAnsi" w:hAnsiTheme="minorHAnsi"/>
                <w:bCs/>
                <w:color w:val="000000" w:themeColor="text1"/>
                <w:sz w:val="22"/>
              </w:rPr>
              <w:t>clinics in P</w:t>
            </w:r>
            <w:r>
              <w:rPr>
                <w:rFonts w:asciiTheme="minorHAnsi" w:hAnsiTheme="minorHAnsi"/>
                <w:bCs/>
                <w:color w:val="000000" w:themeColor="text1"/>
                <w:sz w:val="22"/>
              </w:rPr>
              <w:t xml:space="preserve">rincess of Wales Hospital. </w:t>
            </w:r>
          </w:p>
          <w:p w14:paraId="10A2AD4E" w14:textId="77777777" w:rsidR="00DE3193" w:rsidRPr="008B31E4" w:rsidRDefault="00DE3193" w:rsidP="00AA4595">
            <w:pPr>
              <w:jc w:val="center"/>
              <w:rPr>
                <w:rFonts w:asciiTheme="minorHAnsi" w:hAnsiTheme="minorHAnsi"/>
                <w:bCs/>
                <w:color w:val="000000" w:themeColor="text1"/>
                <w:sz w:val="22"/>
              </w:rPr>
            </w:pPr>
          </w:p>
        </w:tc>
        <w:tc>
          <w:tcPr>
            <w:tcW w:w="2126" w:type="dxa"/>
          </w:tcPr>
          <w:p w14:paraId="50886E13" w14:textId="77777777" w:rsidR="00DE3193" w:rsidRDefault="00DE3193" w:rsidP="00AA4595">
            <w:pPr>
              <w:jc w:val="center"/>
              <w:rPr>
                <w:rFonts w:asciiTheme="minorHAnsi" w:hAnsiTheme="minorHAnsi"/>
                <w:bCs/>
                <w:color w:val="000000" w:themeColor="text1"/>
                <w:sz w:val="22"/>
              </w:rPr>
            </w:pPr>
            <w:r w:rsidRPr="008B31E4">
              <w:rPr>
                <w:rFonts w:asciiTheme="minorHAnsi" w:hAnsiTheme="minorHAnsi"/>
                <w:bCs/>
                <w:color w:val="000000" w:themeColor="text1"/>
                <w:sz w:val="22"/>
              </w:rPr>
              <w:t>Year 3</w:t>
            </w:r>
          </w:p>
          <w:p w14:paraId="2A05BA08" w14:textId="77777777" w:rsidR="00DE3193" w:rsidRPr="008B31E4" w:rsidRDefault="00DE3193" w:rsidP="00AA4595">
            <w:pPr>
              <w:jc w:val="center"/>
              <w:rPr>
                <w:rFonts w:asciiTheme="minorHAnsi" w:hAnsiTheme="minorHAnsi"/>
                <w:bCs/>
                <w:color w:val="000000" w:themeColor="text1"/>
                <w:sz w:val="22"/>
              </w:rPr>
            </w:pPr>
          </w:p>
          <w:p w14:paraId="1CF3B93A" w14:textId="77777777" w:rsidR="00DE3193" w:rsidRPr="008B31E4" w:rsidRDefault="00DE3193" w:rsidP="00AA4595">
            <w:pPr>
              <w:jc w:val="left"/>
              <w:rPr>
                <w:rFonts w:asciiTheme="minorHAnsi" w:hAnsiTheme="minorHAnsi"/>
                <w:bCs/>
                <w:color w:val="000000" w:themeColor="text1"/>
                <w:sz w:val="22"/>
              </w:rPr>
            </w:pPr>
            <w:r w:rsidRPr="008B31E4">
              <w:rPr>
                <w:rFonts w:asciiTheme="minorHAnsi" w:hAnsiTheme="minorHAnsi"/>
                <w:b/>
                <w:bCs/>
                <w:color w:val="000000" w:themeColor="text1"/>
                <w:sz w:val="22"/>
              </w:rPr>
              <w:t>Q1:</w:t>
            </w:r>
            <w:r w:rsidRPr="008B31E4">
              <w:rPr>
                <w:rFonts w:asciiTheme="minorHAnsi" w:hAnsiTheme="minorHAnsi"/>
                <w:bCs/>
                <w:color w:val="000000" w:themeColor="text1"/>
                <w:sz w:val="22"/>
              </w:rPr>
              <w:t xml:space="preserve"> Realisation of benefits of P</w:t>
            </w:r>
            <w:r>
              <w:rPr>
                <w:rFonts w:asciiTheme="minorHAnsi" w:hAnsiTheme="minorHAnsi"/>
                <w:bCs/>
                <w:color w:val="000000" w:themeColor="text1"/>
                <w:sz w:val="22"/>
              </w:rPr>
              <w:t xml:space="preserve">aediatric Assessment Unit in Royal Glamorgan Hospital. </w:t>
            </w:r>
            <w:r w:rsidRPr="008B31E4">
              <w:rPr>
                <w:rFonts w:asciiTheme="minorHAnsi" w:hAnsiTheme="minorHAnsi"/>
                <w:bCs/>
                <w:color w:val="000000" w:themeColor="text1"/>
                <w:sz w:val="22"/>
              </w:rPr>
              <w:t xml:space="preserve"> </w:t>
            </w:r>
          </w:p>
          <w:p w14:paraId="4D15B63E" w14:textId="77777777" w:rsidR="00DE3193" w:rsidRPr="008B31E4" w:rsidRDefault="00DE3193" w:rsidP="00AA4595">
            <w:pPr>
              <w:jc w:val="left"/>
              <w:rPr>
                <w:rFonts w:asciiTheme="minorHAnsi" w:hAnsiTheme="minorHAnsi"/>
                <w:bCs/>
                <w:color w:val="000000" w:themeColor="text1"/>
                <w:sz w:val="22"/>
              </w:rPr>
            </w:pPr>
            <w:r w:rsidRPr="008B31E4">
              <w:rPr>
                <w:rFonts w:asciiTheme="minorHAnsi" w:hAnsiTheme="minorHAnsi"/>
                <w:b/>
                <w:bCs/>
                <w:color w:val="000000" w:themeColor="text1"/>
                <w:sz w:val="22"/>
              </w:rPr>
              <w:t>Q1-4:</w:t>
            </w:r>
            <w:r w:rsidRPr="008B31E4">
              <w:rPr>
                <w:rFonts w:asciiTheme="minorHAnsi" w:hAnsiTheme="minorHAnsi"/>
                <w:bCs/>
                <w:color w:val="000000" w:themeColor="text1"/>
                <w:sz w:val="22"/>
              </w:rPr>
              <w:t xml:space="preserve"> Continue to run Paed</w:t>
            </w:r>
            <w:r>
              <w:rPr>
                <w:rFonts w:asciiTheme="minorHAnsi" w:hAnsiTheme="minorHAnsi"/>
                <w:bCs/>
                <w:color w:val="000000" w:themeColor="text1"/>
                <w:sz w:val="22"/>
              </w:rPr>
              <w:t xml:space="preserve">iatric </w:t>
            </w:r>
            <w:r w:rsidRPr="008B31E4">
              <w:rPr>
                <w:rFonts w:asciiTheme="minorHAnsi" w:hAnsiTheme="minorHAnsi"/>
                <w:bCs/>
                <w:color w:val="000000" w:themeColor="text1"/>
                <w:sz w:val="22"/>
              </w:rPr>
              <w:t>Neuro</w:t>
            </w:r>
            <w:r>
              <w:rPr>
                <w:rFonts w:asciiTheme="minorHAnsi" w:hAnsiTheme="minorHAnsi"/>
                <w:bCs/>
                <w:color w:val="000000" w:themeColor="text1"/>
                <w:sz w:val="22"/>
              </w:rPr>
              <w:t>logy</w:t>
            </w:r>
            <w:r w:rsidRPr="008B31E4">
              <w:rPr>
                <w:rFonts w:asciiTheme="minorHAnsi" w:hAnsiTheme="minorHAnsi"/>
                <w:bCs/>
                <w:color w:val="000000" w:themeColor="text1"/>
                <w:sz w:val="22"/>
              </w:rPr>
              <w:t xml:space="preserve"> </w:t>
            </w:r>
            <w:r>
              <w:rPr>
                <w:rFonts w:asciiTheme="minorHAnsi" w:hAnsiTheme="minorHAnsi"/>
                <w:bCs/>
                <w:color w:val="000000" w:themeColor="text1"/>
                <w:sz w:val="22"/>
              </w:rPr>
              <w:t xml:space="preserve">clinics in Princess of Wales Hospital. </w:t>
            </w:r>
          </w:p>
        </w:tc>
      </w:tr>
    </w:tbl>
    <w:p w14:paraId="14F2E3EC" w14:textId="77777777" w:rsidR="00DE3193" w:rsidRDefault="00DE3193" w:rsidP="00DE3193">
      <w:pPr>
        <w:rPr>
          <w:rFonts w:asciiTheme="minorHAnsi" w:hAnsiTheme="minorHAnsi"/>
          <w:bCs/>
        </w:rPr>
      </w:pPr>
    </w:p>
    <w:p w14:paraId="451E98FE" w14:textId="77777777" w:rsidR="00DE3193" w:rsidRPr="00DE3193" w:rsidRDefault="00DE3193" w:rsidP="00DE3193">
      <w:pPr>
        <w:rPr>
          <w:rFonts w:asciiTheme="minorHAnsi" w:hAnsiTheme="minorHAnsi"/>
          <w:b/>
          <w:bCs/>
        </w:rPr>
      </w:pPr>
      <w:r w:rsidRPr="00DE3193">
        <w:rPr>
          <w:rFonts w:asciiTheme="minorHAnsi" w:hAnsiTheme="minorHAnsi"/>
          <w:b/>
          <w:bCs/>
        </w:rPr>
        <w:t>Women’s Health and Integrated Sexual Health Services</w:t>
      </w:r>
    </w:p>
    <w:p w14:paraId="514404C8" w14:textId="77777777" w:rsidR="00DE3193" w:rsidRDefault="00DE3193" w:rsidP="00DE3193">
      <w:pPr>
        <w:rPr>
          <w:rFonts w:asciiTheme="minorHAnsi" w:hAnsiTheme="minorHAnsi"/>
          <w:szCs w:val="22"/>
        </w:rPr>
      </w:pPr>
      <w:r>
        <w:rPr>
          <w:rFonts w:asciiTheme="minorHAnsi" w:hAnsiTheme="minorHAnsi"/>
          <w:szCs w:val="22"/>
        </w:rPr>
        <w:t>The Health Board provides a range of maternal, women’s health and integrated sexual health services. The last year has been a year of change and learning with significant work to improve services being undertaken following a number of reviews by external bodies including the RCOG and HIW.</w:t>
      </w:r>
    </w:p>
    <w:p w14:paraId="51C9CDCB" w14:textId="77777777" w:rsidR="005913B0" w:rsidRDefault="005913B0" w:rsidP="00DE3193">
      <w:pPr>
        <w:rPr>
          <w:rFonts w:asciiTheme="minorHAnsi" w:hAnsiTheme="minorHAnsi"/>
          <w:szCs w:val="22"/>
        </w:rPr>
      </w:pPr>
    </w:p>
    <w:p w14:paraId="45E8BE96" w14:textId="2E30EEA6" w:rsidR="005913B0" w:rsidRDefault="005913B0" w:rsidP="00DE3193">
      <w:pPr>
        <w:rPr>
          <w:rFonts w:asciiTheme="minorHAnsi" w:hAnsiTheme="minorHAnsi"/>
          <w:szCs w:val="22"/>
        </w:rPr>
      </w:pPr>
      <w:r w:rsidRPr="007C2A82">
        <w:rPr>
          <w:rFonts w:asciiTheme="minorHAnsi" w:hAnsiTheme="minorHAnsi"/>
          <w:szCs w:val="22"/>
        </w:rPr>
        <w:t>An HIV specialist pharmacist has been funded full time this year, this development has yielded both clinical and financial benefits.   In addition, the home delivery service for HIV medicines has helped improve patient experience.</w:t>
      </w:r>
    </w:p>
    <w:p w14:paraId="39784213" w14:textId="77777777" w:rsidR="00DE3193" w:rsidRDefault="00DE3193" w:rsidP="00DE3193">
      <w:pPr>
        <w:rPr>
          <w:rFonts w:asciiTheme="minorHAnsi" w:hAnsiTheme="minorHAnsi"/>
          <w:szCs w:val="22"/>
        </w:rPr>
      </w:pPr>
    </w:p>
    <w:p w14:paraId="558BAF70" w14:textId="77777777" w:rsidR="00DE3193" w:rsidRPr="00DE3193" w:rsidRDefault="00DE3193" w:rsidP="00DE3193">
      <w:pPr>
        <w:rPr>
          <w:rFonts w:asciiTheme="minorHAnsi" w:hAnsiTheme="minorHAnsi"/>
          <w:b/>
          <w:szCs w:val="22"/>
        </w:rPr>
      </w:pPr>
      <w:r w:rsidRPr="00DE3193">
        <w:rPr>
          <w:rFonts w:asciiTheme="minorHAnsi" w:hAnsiTheme="minorHAnsi"/>
          <w:b/>
          <w:szCs w:val="22"/>
        </w:rPr>
        <w:t>Maternity and Obstetrics Services</w:t>
      </w:r>
    </w:p>
    <w:p w14:paraId="6AD6420A" w14:textId="77777777" w:rsidR="00DE3193" w:rsidRDefault="00DE3193" w:rsidP="00DE3193">
      <w:pPr>
        <w:rPr>
          <w:rFonts w:asciiTheme="minorHAnsi" w:hAnsiTheme="minorHAnsi"/>
          <w:szCs w:val="22"/>
        </w:rPr>
      </w:pPr>
      <w:r>
        <w:rPr>
          <w:rFonts w:asciiTheme="minorHAnsi" w:hAnsiTheme="minorHAnsi"/>
          <w:szCs w:val="22"/>
        </w:rPr>
        <w:t xml:space="preserve">In March 2019 the obstetrics element of the South Wales Programme was implemented with consultant led obstetric care being consolidated on the Prince Charles Hospital site and a freestanding midwifery unit being established on the Royal Glamorgan Hospital site. </w:t>
      </w:r>
    </w:p>
    <w:p w14:paraId="38B0581E" w14:textId="77777777" w:rsidR="00DE3193" w:rsidRDefault="00DE3193" w:rsidP="00DE3193">
      <w:pPr>
        <w:rPr>
          <w:rFonts w:asciiTheme="minorHAnsi" w:hAnsiTheme="minorHAnsi"/>
          <w:szCs w:val="22"/>
        </w:rPr>
      </w:pPr>
    </w:p>
    <w:p w14:paraId="66523B6C" w14:textId="7AEDC8BA" w:rsidR="00DE3193" w:rsidRPr="009A51C4" w:rsidRDefault="00DE3193" w:rsidP="00DE3193">
      <w:pPr>
        <w:rPr>
          <w:rFonts w:asciiTheme="minorHAnsi" w:hAnsiTheme="minorHAnsi"/>
          <w:szCs w:val="22"/>
        </w:rPr>
      </w:pPr>
      <w:r>
        <w:rPr>
          <w:rFonts w:asciiTheme="minorHAnsi" w:hAnsiTheme="minorHAnsi"/>
          <w:szCs w:val="22"/>
        </w:rPr>
        <w:t xml:space="preserve">The importance of accommodating women’s choice in birthing location has been improved by the consolidation of consultant led care in CTM and provides increased options for where women can birth. Women who require consultant led care can now choose between Prince Charles Hospital, Princess of Wales Hospital and University Hospital of Wales as part of regional arrangements. Regional work is continuing to take place to fully understand the new flows that are occurring due to the recent consolidation of services in the Health Board and to ensure that the resources match the demand. </w:t>
      </w:r>
      <w:r w:rsidRPr="009A51C4">
        <w:rPr>
          <w:rFonts w:asciiTheme="minorHAnsi" w:hAnsiTheme="minorHAnsi"/>
          <w:szCs w:val="22"/>
        </w:rPr>
        <w:t>As a result of these changes women now have four birthing options: Consultant - Led Birth; Alongside Midwifery Unit; Freestanding Midwifery Unit and Home Birth.</w:t>
      </w:r>
    </w:p>
    <w:p w14:paraId="7BBE9C8F" w14:textId="77777777" w:rsidR="00DE3193" w:rsidRPr="009A51C4" w:rsidRDefault="00DE3193" w:rsidP="00DE3193">
      <w:pPr>
        <w:rPr>
          <w:rFonts w:asciiTheme="minorHAnsi" w:hAnsiTheme="minorHAnsi"/>
          <w:szCs w:val="22"/>
        </w:rPr>
      </w:pPr>
    </w:p>
    <w:p w14:paraId="5A892397" w14:textId="77777777" w:rsidR="00DE3193" w:rsidRPr="009A51C4" w:rsidRDefault="00DE3193" w:rsidP="00DE3193">
      <w:pPr>
        <w:rPr>
          <w:rFonts w:asciiTheme="minorHAnsi" w:hAnsiTheme="minorHAnsi"/>
          <w:szCs w:val="22"/>
        </w:rPr>
      </w:pPr>
      <w:r w:rsidRPr="009A51C4">
        <w:rPr>
          <w:rFonts w:asciiTheme="minorHAnsi" w:hAnsiTheme="minorHAnsi"/>
          <w:szCs w:val="22"/>
        </w:rPr>
        <w:t xml:space="preserve">During 2018, concern was expressed internally that there was a potential variation in the reporting arrangements and investigation of incidents within maternity services. This led to an internal review of serious incident reporting covering the period January 2016 to September 2018.  The period in question covered circa 10,500 births and coincided with changes in the reporting arrangements in the Health Board.  The review identified a significant number of cases where the outcome may have indicated that a serious incident had occurred.  With the support of the Delivery Unit from Welsh Government, an internal review of these cases commenced, which involved the detailed scrutiny of the records of all clinical care by a multi-disciplinary team.  In addition, an unannounced HIW visit in October led to a detailed strategic action plan being progressed for the Health Board.  This prompted Welsh Government to commission a RCOG review as part of a 3-stage process to seek assurance on the systems of governance (including specifically serious incident reporting) and the quality of care provided by the maternity service.  Following the review, there were number of recommendations that arose from RCOG’s formal report. </w:t>
      </w:r>
    </w:p>
    <w:p w14:paraId="5A274B9E" w14:textId="77777777" w:rsidR="00DE3193" w:rsidRPr="009A51C4" w:rsidRDefault="00DE3193" w:rsidP="00DE3193">
      <w:pPr>
        <w:rPr>
          <w:rFonts w:asciiTheme="minorHAnsi" w:hAnsiTheme="minorHAnsi"/>
          <w:szCs w:val="22"/>
        </w:rPr>
      </w:pPr>
    </w:p>
    <w:p w14:paraId="308CDE97" w14:textId="77777777" w:rsidR="00DE3193" w:rsidRPr="009A51C4" w:rsidRDefault="00DE3193" w:rsidP="00DE3193">
      <w:pPr>
        <w:rPr>
          <w:rFonts w:asciiTheme="minorHAnsi" w:hAnsiTheme="minorHAnsi"/>
          <w:szCs w:val="22"/>
        </w:rPr>
      </w:pPr>
      <w:r w:rsidRPr="009A51C4">
        <w:rPr>
          <w:rFonts w:asciiTheme="minorHAnsi" w:hAnsiTheme="minorHAnsi"/>
          <w:szCs w:val="22"/>
        </w:rPr>
        <w:t>Following the recommendations from the RCOG report, progress has been made to address the issues within the report</w:t>
      </w:r>
      <w:r>
        <w:rPr>
          <w:rFonts w:asciiTheme="minorHAnsi" w:hAnsiTheme="minorHAnsi"/>
          <w:szCs w:val="22"/>
        </w:rPr>
        <w:t xml:space="preserve">. </w:t>
      </w:r>
      <w:r w:rsidRPr="009A51C4">
        <w:rPr>
          <w:rFonts w:asciiTheme="minorHAnsi" w:hAnsiTheme="minorHAnsi"/>
          <w:szCs w:val="22"/>
        </w:rPr>
        <w:t xml:space="preserve"> The Maternity Improvement Programme has been established and work is underway through three work </w:t>
      </w:r>
      <w:r w:rsidRPr="009A51C4">
        <w:rPr>
          <w:rFonts w:asciiTheme="minorHAnsi" w:hAnsiTheme="minorHAnsi"/>
          <w:szCs w:val="22"/>
        </w:rPr>
        <w:lastRenderedPageBreak/>
        <w:t xml:space="preserve">streams; Safe and Effective Care, Quality of Women’s, Families Experience and Quality of Leadership and Management. </w:t>
      </w:r>
    </w:p>
    <w:p w14:paraId="274419CE" w14:textId="77777777" w:rsidR="00DE3193" w:rsidRPr="009A51C4" w:rsidRDefault="00DE3193" w:rsidP="00DE3193">
      <w:pPr>
        <w:rPr>
          <w:rFonts w:asciiTheme="minorHAnsi" w:hAnsiTheme="minorHAnsi"/>
          <w:szCs w:val="22"/>
        </w:rPr>
      </w:pPr>
    </w:p>
    <w:p w14:paraId="7A9EAA3B" w14:textId="77777777" w:rsidR="00DE3193" w:rsidRPr="009A51C4" w:rsidRDefault="00DE3193" w:rsidP="00DE3193">
      <w:pPr>
        <w:rPr>
          <w:rFonts w:asciiTheme="minorHAnsi" w:hAnsiTheme="minorHAnsi"/>
          <w:szCs w:val="22"/>
        </w:rPr>
      </w:pPr>
      <w:r w:rsidRPr="009A51C4">
        <w:rPr>
          <w:rFonts w:asciiTheme="minorHAnsi" w:hAnsiTheme="minorHAnsi"/>
          <w:szCs w:val="22"/>
        </w:rPr>
        <w:t>In addition, work has been undertaken to align Maternity Theatres with the ACT directorate for staffing and day to day theatre running.  Priorities for this work include the reduction of hospital acquired infections and improvements to the maternity theatres to ensure compliance with the relevant standards.  Funding has been received for stage one of these developments and a further business case is being developed to support the transfer of obstetric emergency theatre cases to the A</w:t>
      </w:r>
      <w:r>
        <w:rPr>
          <w:rFonts w:asciiTheme="minorHAnsi" w:hAnsiTheme="minorHAnsi"/>
          <w:szCs w:val="22"/>
        </w:rPr>
        <w:t xml:space="preserve">naesthetics, </w:t>
      </w:r>
      <w:r w:rsidRPr="009A51C4">
        <w:rPr>
          <w:rFonts w:asciiTheme="minorHAnsi" w:hAnsiTheme="minorHAnsi"/>
          <w:szCs w:val="22"/>
        </w:rPr>
        <w:t>C</w:t>
      </w:r>
      <w:r>
        <w:rPr>
          <w:rFonts w:asciiTheme="minorHAnsi" w:hAnsiTheme="minorHAnsi"/>
          <w:szCs w:val="22"/>
        </w:rPr>
        <w:t xml:space="preserve">ritical Care and </w:t>
      </w:r>
      <w:r w:rsidRPr="009A51C4">
        <w:rPr>
          <w:rFonts w:asciiTheme="minorHAnsi" w:hAnsiTheme="minorHAnsi"/>
          <w:szCs w:val="22"/>
        </w:rPr>
        <w:t>T</w:t>
      </w:r>
      <w:r>
        <w:rPr>
          <w:rFonts w:asciiTheme="minorHAnsi" w:hAnsiTheme="minorHAnsi"/>
          <w:szCs w:val="22"/>
        </w:rPr>
        <w:t>heatres (ACT)</w:t>
      </w:r>
      <w:r w:rsidRPr="009A51C4">
        <w:rPr>
          <w:rFonts w:asciiTheme="minorHAnsi" w:hAnsiTheme="minorHAnsi"/>
          <w:szCs w:val="22"/>
        </w:rPr>
        <w:t xml:space="preserve"> directorate. </w:t>
      </w:r>
    </w:p>
    <w:p w14:paraId="33F594B1" w14:textId="77777777" w:rsidR="00DE3193" w:rsidRPr="009A51C4" w:rsidRDefault="00DE3193" w:rsidP="00DE3193">
      <w:pPr>
        <w:rPr>
          <w:rFonts w:asciiTheme="minorHAnsi" w:hAnsiTheme="minorHAnsi"/>
          <w:szCs w:val="22"/>
        </w:rPr>
      </w:pPr>
    </w:p>
    <w:p w14:paraId="6F561C7F" w14:textId="77777777" w:rsidR="00DE3193" w:rsidRPr="009A51C4" w:rsidRDefault="00DE3193" w:rsidP="00DE3193">
      <w:pPr>
        <w:rPr>
          <w:rFonts w:asciiTheme="minorHAnsi" w:hAnsiTheme="minorHAnsi"/>
          <w:szCs w:val="22"/>
        </w:rPr>
      </w:pPr>
      <w:r w:rsidRPr="009A51C4">
        <w:rPr>
          <w:rFonts w:asciiTheme="minorHAnsi" w:hAnsiTheme="minorHAnsi"/>
          <w:szCs w:val="22"/>
        </w:rPr>
        <w:t>Potential efficiencies were identified within maternity services linked to the implementation of a dedicated Pharmacy resou</w:t>
      </w:r>
      <w:r>
        <w:rPr>
          <w:rFonts w:asciiTheme="minorHAnsi" w:hAnsiTheme="minorHAnsi"/>
          <w:szCs w:val="22"/>
        </w:rPr>
        <w:t xml:space="preserve">rce. A pilot demonstrated that </w:t>
      </w:r>
      <w:r w:rsidRPr="009A51C4">
        <w:rPr>
          <w:rFonts w:asciiTheme="minorHAnsi" w:hAnsiTheme="minorHAnsi"/>
          <w:szCs w:val="22"/>
        </w:rPr>
        <w:t xml:space="preserve">discharges were quicker and missed doses were reduced with the service in place.  This has demonstrated a significant potential financial savings opportunity. A business case to substantively support this development will be progressed this year and once established further opportunities to expand through the directorate also be explored.  </w:t>
      </w:r>
    </w:p>
    <w:p w14:paraId="559017F1" w14:textId="77777777" w:rsidR="00DE3193" w:rsidRPr="009A51C4" w:rsidRDefault="00DE3193" w:rsidP="00DE3193">
      <w:pPr>
        <w:rPr>
          <w:rFonts w:asciiTheme="minorHAnsi" w:hAnsiTheme="minorHAnsi"/>
          <w:szCs w:val="22"/>
        </w:rPr>
      </w:pPr>
    </w:p>
    <w:p w14:paraId="13F3504B" w14:textId="77777777" w:rsidR="00DE3193" w:rsidRPr="009A51C4" w:rsidRDefault="00DE3193" w:rsidP="00DE3193">
      <w:pPr>
        <w:rPr>
          <w:rFonts w:asciiTheme="minorHAnsi" w:hAnsiTheme="minorHAnsi"/>
          <w:szCs w:val="22"/>
        </w:rPr>
      </w:pPr>
      <w:r w:rsidRPr="009A51C4">
        <w:rPr>
          <w:rFonts w:asciiTheme="minorHAnsi" w:hAnsiTheme="minorHAnsi"/>
          <w:szCs w:val="22"/>
        </w:rPr>
        <w:t xml:space="preserve">To further ensure quality of women’s experiences, work is being undertaken on the miscarriage pathway to bring in line with NICE guidance to ensure high quality care for women who have suffered a pregnancy loss. This is being undertaken with a multidisciplinary approach with colleagues from midwifery, gynaecology, primary care and pathology engaged. </w:t>
      </w:r>
    </w:p>
    <w:p w14:paraId="785C1B9E" w14:textId="77777777" w:rsidR="00DE3193" w:rsidRPr="009A51C4" w:rsidRDefault="00DE3193" w:rsidP="00DE3193">
      <w:pPr>
        <w:rPr>
          <w:rFonts w:asciiTheme="minorHAnsi" w:hAnsiTheme="minorHAnsi"/>
          <w:szCs w:val="22"/>
        </w:rPr>
      </w:pPr>
    </w:p>
    <w:p w14:paraId="009C7C75" w14:textId="77777777" w:rsidR="00DE3193" w:rsidRPr="009A51C4" w:rsidRDefault="00DE3193" w:rsidP="00DE3193">
      <w:pPr>
        <w:rPr>
          <w:rFonts w:asciiTheme="minorHAnsi" w:hAnsiTheme="minorHAnsi"/>
          <w:szCs w:val="22"/>
        </w:rPr>
      </w:pPr>
      <w:r w:rsidRPr="009A51C4">
        <w:rPr>
          <w:rFonts w:asciiTheme="minorHAnsi" w:hAnsiTheme="minorHAnsi"/>
          <w:szCs w:val="22"/>
        </w:rPr>
        <w:t xml:space="preserve">Community Engagement Events have been launched in </w:t>
      </w:r>
      <w:r>
        <w:rPr>
          <w:rFonts w:asciiTheme="minorHAnsi" w:hAnsiTheme="minorHAnsi"/>
          <w:szCs w:val="22"/>
        </w:rPr>
        <w:t>20</w:t>
      </w:r>
      <w:r w:rsidRPr="009A51C4">
        <w:rPr>
          <w:rFonts w:asciiTheme="minorHAnsi" w:hAnsiTheme="minorHAnsi"/>
          <w:szCs w:val="22"/>
        </w:rPr>
        <w:t xml:space="preserve">19/20 to help capture women’s experiences throughout their pregnancy journey from antenatal to post-natal care. These events will provide an invaluable insight into what women and their families would like from their maternity care and inform our future services. These events will continue to be held each year to keep informing our service plans. </w:t>
      </w:r>
    </w:p>
    <w:p w14:paraId="0E5F31F4" w14:textId="77777777" w:rsidR="00DE3193" w:rsidRPr="009A51C4" w:rsidRDefault="00DE3193" w:rsidP="00DE3193">
      <w:pPr>
        <w:rPr>
          <w:rFonts w:asciiTheme="minorHAnsi" w:hAnsiTheme="minorHAnsi"/>
          <w:szCs w:val="22"/>
        </w:rPr>
      </w:pPr>
    </w:p>
    <w:p w14:paraId="750C1FE0" w14:textId="77777777" w:rsidR="00DE3193" w:rsidRPr="009A51C4" w:rsidRDefault="00DE3193" w:rsidP="00DE3193">
      <w:pPr>
        <w:rPr>
          <w:rFonts w:asciiTheme="minorHAnsi" w:hAnsiTheme="minorHAnsi"/>
          <w:szCs w:val="22"/>
        </w:rPr>
      </w:pPr>
      <w:r w:rsidRPr="009A51C4">
        <w:rPr>
          <w:rFonts w:asciiTheme="minorHAnsi" w:hAnsiTheme="minorHAnsi"/>
          <w:szCs w:val="22"/>
        </w:rPr>
        <w:t>Significant work has been undertaken to develop the quality of leadership and management within maternity services and a senior team has been recruited to support the delivery of the RCOG recommendations. Further to this, the midwifery team has been strengthened to incorporate specialist midwives such as bereavement, intra</w:t>
      </w:r>
      <w:r>
        <w:rPr>
          <w:rFonts w:asciiTheme="minorHAnsi" w:hAnsiTheme="minorHAnsi"/>
          <w:szCs w:val="22"/>
        </w:rPr>
        <w:t>-</w:t>
      </w:r>
      <w:r w:rsidRPr="009A51C4">
        <w:rPr>
          <w:rFonts w:asciiTheme="minorHAnsi" w:hAnsiTheme="minorHAnsi"/>
          <w:szCs w:val="22"/>
        </w:rPr>
        <w:t xml:space="preserve">partum and a Director of Midwifery has been appointed and will take up post early in 2020. </w:t>
      </w:r>
    </w:p>
    <w:p w14:paraId="6D2FCF98" w14:textId="77777777" w:rsidR="00DE3193" w:rsidRPr="00AA4B61" w:rsidRDefault="00DE3193" w:rsidP="00DE3193">
      <w:pPr>
        <w:rPr>
          <w:rFonts w:asciiTheme="minorHAnsi" w:hAnsiTheme="minorHAnsi"/>
          <w:szCs w:val="22"/>
        </w:rPr>
      </w:pPr>
    </w:p>
    <w:p w14:paraId="5E3BDC26" w14:textId="77777777" w:rsidR="00DE3193" w:rsidRPr="00DE3193" w:rsidRDefault="00DE3193" w:rsidP="00DE3193">
      <w:pPr>
        <w:rPr>
          <w:rFonts w:asciiTheme="minorHAnsi" w:hAnsiTheme="minorHAnsi"/>
          <w:b/>
          <w:szCs w:val="22"/>
        </w:rPr>
      </w:pPr>
      <w:r w:rsidRPr="00DE3193">
        <w:rPr>
          <w:rFonts w:asciiTheme="minorHAnsi" w:hAnsiTheme="minorHAnsi"/>
          <w:b/>
          <w:szCs w:val="22"/>
        </w:rPr>
        <w:t>Gynaecology Services</w:t>
      </w:r>
    </w:p>
    <w:p w14:paraId="3979873B" w14:textId="77777777" w:rsidR="00DE3193" w:rsidRPr="00F23324" w:rsidRDefault="00DE3193" w:rsidP="00DE3193">
      <w:pPr>
        <w:rPr>
          <w:rFonts w:asciiTheme="minorHAnsi" w:hAnsiTheme="minorHAnsi"/>
          <w:szCs w:val="22"/>
        </w:rPr>
      </w:pPr>
      <w:r w:rsidRPr="00F23324">
        <w:rPr>
          <w:rFonts w:asciiTheme="minorHAnsi" w:hAnsiTheme="minorHAnsi"/>
          <w:szCs w:val="22"/>
        </w:rPr>
        <w:t>Following, the implementation of the S</w:t>
      </w:r>
      <w:r>
        <w:rPr>
          <w:rFonts w:asciiTheme="minorHAnsi" w:hAnsiTheme="minorHAnsi"/>
          <w:szCs w:val="22"/>
        </w:rPr>
        <w:t xml:space="preserve">outh </w:t>
      </w:r>
      <w:r w:rsidRPr="00F23324">
        <w:rPr>
          <w:rFonts w:asciiTheme="minorHAnsi" w:hAnsiTheme="minorHAnsi"/>
          <w:szCs w:val="22"/>
        </w:rPr>
        <w:t>W</w:t>
      </w:r>
      <w:r>
        <w:rPr>
          <w:rFonts w:asciiTheme="minorHAnsi" w:hAnsiTheme="minorHAnsi"/>
          <w:szCs w:val="22"/>
        </w:rPr>
        <w:t xml:space="preserve">ales </w:t>
      </w:r>
      <w:r w:rsidRPr="00F23324">
        <w:rPr>
          <w:rFonts w:asciiTheme="minorHAnsi" w:hAnsiTheme="minorHAnsi"/>
          <w:szCs w:val="22"/>
        </w:rPr>
        <w:t>P</w:t>
      </w:r>
      <w:r>
        <w:rPr>
          <w:rFonts w:asciiTheme="minorHAnsi" w:hAnsiTheme="minorHAnsi"/>
          <w:szCs w:val="22"/>
        </w:rPr>
        <w:t>rogramme</w:t>
      </w:r>
      <w:r w:rsidRPr="00F23324">
        <w:rPr>
          <w:rFonts w:asciiTheme="minorHAnsi" w:hAnsiTheme="minorHAnsi"/>
          <w:szCs w:val="22"/>
        </w:rPr>
        <w:t xml:space="preserve">, gynaecology services are now provided in a different way across </w:t>
      </w:r>
      <w:r>
        <w:rPr>
          <w:rFonts w:asciiTheme="minorHAnsi" w:hAnsiTheme="minorHAnsi"/>
          <w:szCs w:val="22"/>
        </w:rPr>
        <w:t>the Health Board</w:t>
      </w:r>
      <w:r w:rsidRPr="00F23324">
        <w:rPr>
          <w:rFonts w:asciiTheme="minorHAnsi" w:hAnsiTheme="minorHAnsi"/>
          <w:szCs w:val="22"/>
        </w:rPr>
        <w:t xml:space="preserve">.  </w:t>
      </w:r>
    </w:p>
    <w:p w14:paraId="0645ABB8" w14:textId="77777777" w:rsidR="00DE3193" w:rsidRPr="00F23324" w:rsidRDefault="00DE3193" w:rsidP="00DE3193">
      <w:pPr>
        <w:rPr>
          <w:rFonts w:asciiTheme="minorHAnsi" w:hAnsiTheme="minorHAnsi"/>
          <w:szCs w:val="22"/>
        </w:rPr>
      </w:pPr>
    </w:p>
    <w:p w14:paraId="39D957AF" w14:textId="77777777" w:rsidR="00DE3193" w:rsidRPr="00F23324" w:rsidRDefault="00DE3193" w:rsidP="00DE3193">
      <w:pPr>
        <w:rPr>
          <w:rFonts w:asciiTheme="minorHAnsi" w:hAnsiTheme="minorHAnsi"/>
          <w:szCs w:val="22"/>
        </w:rPr>
      </w:pPr>
      <w:r w:rsidRPr="00F23324">
        <w:rPr>
          <w:rFonts w:asciiTheme="minorHAnsi" w:hAnsiTheme="minorHAnsi"/>
          <w:szCs w:val="22"/>
        </w:rPr>
        <w:t>A Gynae</w:t>
      </w:r>
      <w:r>
        <w:rPr>
          <w:rFonts w:asciiTheme="minorHAnsi" w:hAnsiTheme="minorHAnsi"/>
          <w:szCs w:val="22"/>
        </w:rPr>
        <w:t>cology</w:t>
      </w:r>
      <w:r w:rsidRPr="00F23324">
        <w:rPr>
          <w:rFonts w:asciiTheme="minorHAnsi" w:hAnsiTheme="minorHAnsi"/>
          <w:szCs w:val="22"/>
        </w:rPr>
        <w:t xml:space="preserve"> Day Assessment Unit (GDAU) with Early Pregnancy Unit (EPU) has been established on the</w:t>
      </w:r>
      <w:r>
        <w:rPr>
          <w:rFonts w:asciiTheme="minorHAnsi" w:hAnsiTheme="minorHAnsi"/>
          <w:szCs w:val="22"/>
        </w:rPr>
        <w:t xml:space="preserve"> Royal Glamorgan Hospital</w:t>
      </w:r>
      <w:r w:rsidRPr="00F23324">
        <w:rPr>
          <w:rFonts w:asciiTheme="minorHAnsi" w:hAnsiTheme="minorHAnsi"/>
          <w:szCs w:val="22"/>
        </w:rPr>
        <w:t xml:space="preserve"> site. The GDAU and EPU provide consultant led services throughout the day</w:t>
      </w:r>
      <w:r>
        <w:rPr>
          <w:rFonts w:asciiTheme="minorHAnsi" w:hAnsiTheme="minorHAnsi"/>
          <w:szCs w:val="22"/>
        </w:rPr>
        <w:t xml:space="preserve">, </w:t>
      </w:r>
      <w:r w:rsidRPr="00F23324">
        <w:rPr>
          <w:rFonts w:asciiTheme="minorHAnsi" w:hAnsiTheme="minorHAnsi"/>
          <w:szCs w:val="22"/>
        </w:rPr>
        <w:t>responding to the h</w:t>
      </w:r>
      <w:r>
        <w:rPr>
          <w:rFonts w:asciiTheme="minorHAnsi" w:hAnsiTheme="minorHAnsi"/>
          <w:szCs w:val="22"/>
        </w:rPr>
        <w:t>ealth needs of our women.  Also</w:t>
      </w:r>
      <w:r w:rsidRPr="00F23324">
        <w:rPr>
          <w:rFonts w:asciiTheme="minorHAnsi" w:hAnsiTheme="minorHAnsi"/>
          <w:szCs w:val="22"/>
        </w:rPr>
        <w:t xml:space="preserve"> nurse led clinics run from the GDAU allow for waiting times to be further reduced. Additional work is being undertaken to review the clinical model in the GDAU to scope the potential for  other services to be provided from there in the future such as nurse led pessary clinics.  </w:t>
      </w:r>
    </w:p>
    <w:p w14:paraId="6205A3FF" w14:textId="77777777" w:rsidR="00DE3193" w:rsidRPr="00F23324" w:rsidRDefault="00DE3193" w:rsidP="00DE3193">
      <w:pPr>
        <w:rPr>
          <w:rFonts w:asciiTheme="minorHAnsi" w:hAnsiTheme="minorHAnsi"/>
          <w:szCs w:val="22"/>
        </w:rPr>
      </w:pPr>
    </w:p>
    <w:p w14:paraId="0D715C29" w14:textId="77777777" w:rsidR="00DE3193" w:rsidRPr="00F23324" w:rsidRDefault="00DE3193" w:rsidP="00DE3193">
      <w:pPr>
        <w:rPr>
          <w:rFonts w:asciiTheme="minorHAnsi" w:hAnsiTheme="minorHAnsi"/>
          <w:szCs w:val="22"/>
        </w:rPr>
      </w:pPr>
      <w:r w:rsidRPr="00F23324">
        <w:rPr>
          <w:rFonts w:asciiTheme="minorHAnsi" w:hAnsiTheme="minorHAnsi"/>
          <w:szCs w:val="22"/>
        </w:rPr>
        <w:t>The GDAU’s in P</w:t>
      </w:r>
      <w:r>
        <w:rPr>
          <w:rFonts w:asciiTheme="minorHAnsi" w:hAnsiTheme="minorHAnsi"/>
          <w:szCs w:val="22"/>
        </w:rPr>
        <w:t xml:space="preserve">rince Charles Hospital and Princess of Wales Hospital </w:t>
      </w:r>
      <w:r w:rsidRPr="00F23324">
        <w:rPr>
          <w:rFonts w:asciiTheme="minorHAnsi" w:hAnsiTheme="minorHAnsi"/>
          <w:szCs w:val="22"/>
        </w:rPr>
        <w:t xml:space="preserve">are currently under review to ensure consistent services are provided across </w:t>
      </w:r>
      <w:r>
        <w:rPr>
          <w:rFonts w:asciiTheme="minorHAnsi" w:hAnsiTheme="minorHAnsi"/>
          <w:szCs w:val="22"/>
        </w:rPr>
        <w:t xml:space="preserve">the Health Board </w:t>
      </w:r>
      <w:r w:rsidRPr="00F23324">
        <w:rPr>
          <w:rFonts w:asciiTheme="minorHAnsi" w:hAnsiTheme="minorHAnsi"/>
          <w:szCs w:val="22"/>
        </w:rPr>
        <w:t>with the additional aim of improving flow through the sites.</w:t>
      </w:r>
    </w:p>
    <w:p w14:paraId="50E9414C" w14:textId="77777777" w:rsidR="00DE3193" w:rsidRPr="00F23324" w:rsidRDefault="00DE3193" w:rsidP="00DE3193">
      <w:pPr>
        <w:rPr>
          <w:rFonts w:asciiTheme="minorHAnsi" w:hAnsiTheme="minorHAnsi"/>
          <w:szCs w:val="22"/>
        </w:rPr>
      </w:pPr>
    </w:p>
    <w:p w14:paraId="1F7AE77D" w14:textId="77777777" w:rsidR="00DE3193" w:rsidRPr="00F23324" w:rsidRDefault="00DE3193" w:rsidP="00DE3193">
      <w:pPr>
        <w:rPr>
          <w:rFonts w:asciiTheme="minorHAnsi" w:hAnsiTheme="minorHAnsi"/>
          <w:szCs w:val="22"/>
        </w:rPr>
      </w:pPr>
      <w:r w:rsidRPr="00F23324">
        <w:rPr>
          <w:rFonts w:asciiTheme="minorHAnsi" w:hAnsiTheme="minorHAnsi"/>
          <w:szCs w:val="22"/>
        </w:rPr>
        <w:t xml:space="preserve">Theatre availability continues to be a concern </w:t>
      </w:r>
      <w:r>
        <w:rPr>
          <w:rFonts w:asciiTheme="minorHAnsi" w:hAnsiTheme="minorHAnsi"/>
          <w:szCs w:val="22"/>
        </w:rPr>
        <w:t xml:space="preserve">in Prince Charles, Princess of Wales and Royal Glamorgan Hospitals and </w:t>
      </w:r>
      <w:r w:rsidRPr="00F23324">
        <w:rPr>
          <w:rFonts w:asciiTheme="minorHAnsi" w:hAnsiTheme="minorHAnsi"/>
          <w:szCs w:val="22"/>
        </w:rPr>
        <w:t>while significant improvements in referral to treatment times have been seen there is still more to be done. The business case for outpatient hysteroscopy has been updated recently and shows the benefits of moving this service to outpatients rather than undertaking them in main theatres. In many cases an outpatient setting is preferred by women and this change will release inpatient capacity helping to improve waiting times. Further work will now be undertaken to incorporate the P</w:t>
      </w:r>
      <w:r>
        <w:rPr>
          <w:rFonts w:asciiTheme="minorHAnsi" w:hAnsiTheme="minorHAnsi"/>
          <w:szCs w:val="22"/>
        </w:rPr>
        <w:t xml:space="preserve">rincess of Wales </w:t>
      </w:r>
      <w:r w:rsidRPr="00F23324">
        <w:rPr>
          <w:rFonts w:asciiTheme="minorHAnsi" w:hAnsiTheme="minorHAnsi"/>
          <w:szCs w:val="22"/>
        </w:rPr>
        <w:t xml:space="preserve">service into future service plans to ensure consistency and equity across </w:t>
      </w:r>
      <w:r>
        <w:rPr>
          <w:rFonts w:asciiTheme="minorHAnsi" w:hAnsiTheme="minorHAnsi"/>
          <w:szCs w:val="22"/>
        </w:rPr>
        <w:t>the Health Board</w:t>
      </w:r>
      <w:r w:rsidRPr="00F23324">
        <w:rPr>
          <w:rFonts w:asciiTheme="minorHAnsi" w:hAnsiTheme="minorHAnsi"/>
          <w:szCs w:val="22"/>
        </w:rPr>
        <w:t xml:space="preserve">. </w:t>
      </w:r>
    </w:p>
    <w:p w14:paraId="490F68F2" w14:textId="77777777" w:rsidR="00DE3193" w:rsidRPr="00F23324" w:rsidRDefault="00DE3193" w:rsidP="00DE3193">
      <w:pPr>
        <w:rPr>
          <w:rFonts w:asciiTheme="minorHAnsi" w:hAnsiTheme="minorHAnsi"/>
          <w:szCs w:val="22"/>
        </w:rPr>
      </w:pPr>
    </w:p>
    <w:p w14:paraId="1CE4DB21" w14:textId="018A8D34" w:rsidR="00DE3193" w:rsidRDefault="00DE3193" w:rsidP="00DE3193">
      <w:pPr>
        <w:rPr>
          <w:rFonts w:asciiTheme="minorHAnsi" w:hAnsiTheme="minorHAnsi"/>
          <w:szCs w:val="22"/>
        </w:rPr>
      </w:pPr>
      <w:r w:rsidRPr="00F23324">
        <w:rPr>
          <w:rFonts w:asciiTheme="minorHAnsi" w:hAnsiTheme="minorHAnsi"/>
          <w:szCs w:val="22"/>
        </w:rPr>
        <w:lastRenderedPageBreak/>
        <w:t xml:space="preserve">This year processes have been implemented to support women to be able to self-refer to the Pregnancy Advisory Service, this change aligns the services in </w:t>
      </w:r>
      <w:r>
        <w:rPr>
          <w:rFonts w:asciiTheme="minorHAnsi" w:hAnsiTheme="minorHAnsi"/>
          <w:szCs w:val="22"/>
        </w:rPr>
        <w:t xml:space="preserve">the Health Board </w:t>
      </w:r>
      <w:r w:rsidRPr="00F23324">
        <w:rPr>
          <w:rFonts w:asciiTheme="minorHAnsi" w:hAnsiTheme="minorHAnsi"/>
          <w:szCs w:val="22"/>
        </w:rPr>
        <w:t xml:space="preserve">with those in other health boards across Wales. Other changes to the way in which these services are delivered has improved accessibility and patient experience. </w:t>
      </w:r>
    </w:p>
    <w:p w14:paraId="10A910BD" w14:textId="77777777" w:rsidR="005913B0" w:rsidRDefault="005913B0" w:rsidP="00DE3193">
      <w:pPr>
        <w:rPr>
          <w:rFonts w:asciiTheme="minorHAnsi" w:hAnsiTheme="minorHAnsi"/>
          <w:szCs w:val="22"/>
        </w:rPr>
      </w:pPr>
    </w:p>
    <w:tbl>
      <w:tblPr>
        <w:tblStyle w:val="TableGrid"/>
        <w:tblpPr w:leftFromText="180" w:rightFromText="180" w:vertAnchor="text" w:horzAnchor="margin" w:tblpY="536"/>
        <w:tblW w:w="9776" w:type="dxa"/>
        <w:tblLook w:val="04A0" w:firstRow="1" w:lastRow="0" w:firstColumn="1" w:lastColumn="0" w:noHBand="0" w:noVBand="1"/>
      </w:tblPr>
      <w:tblGrid>
        <w:gridCol w:w="4106"/>
        <w:gridCol w:w="3686"/>
        <w:gridCol w:w="1984"/>
      </w:tblGrid>
      <w:tr w:rsidR="00DE3193" w:rsidRPr="007C2A82" w14:paraId="5835E3D6" w14:textId="77777777" w:rsidTr="00DE3193">
        <w:trPr>
          <w:trHeight w:val="4676"/>
        </w:trPr>
        <w:tc>
          <w:tcPr>
            <w:tcW w:w="4106" w:type="dxa"/>
          </w:tcPr>
          <w:p w14:paraId="1D35DEEF" w14:textId="77777777" w:rsidR="00DE3193" w:rsidRPr="007C2A82" w:rsidRDefault="00DE3193" w:rsidP="00DE3193">
            <w:pPr>
              <w:jc w:val="center"/>
              <w:rPr>
                <w:rFonts w:asciiTheme="minorHAnsi" w:hAnsiTheme="minorHAnsi"/>
                <w:color w:val="000000" w:themeColor="text1"/>
                <w:sz w:val="22"/>
                <w:szCs w:val="22"/>
              </w:rPr>
            </w:pPr>
            <w:r w:rsidRPr="007C2A82">
              <w:rPr>
                <w:rFonts w:asciiTheme="minorHAnsi" w:hAnsiTheme="minorHAnsi"/>
                <w:color w:val="000000" w:themeColor="text1"/>
                <w:sz w:val="22"/>
                <w:szCs w:val="22"/>
              </w:rPr>
              <w:t>Year 1</w:t>
            </w:r>
          </w:p>
          <w:p w14:paraId="36B63C22" w14:textId="77777777" w:rsidR="00DE3193" w:rsidRPr="007C2A82" w:rsidRDefault="00DE3193" w:rsidP="00AA4595">
            <w:pPr>
              <w:jc w:val="left"/>
              <w:rPr>
                <w:rFonts w:asciiTheme="minorHAnsi" w:hAnsiTheme="minorHAnsi"/>
                <w:color w:val="000000" w:themeColor="text1"/>
                <w:sz w:val="22"/>
                <w:szCs w:val="22"/>
              </w:rPr>
            </w:pPr>
          </w:p>
          <w:p w14:paraId="082DBEDE" w14:textId="77777777" w:rsidR="00DE3193" w:rsidRPr="007C2A82" w:rsidRDefault="00DE3193" w:rsidP="00AA4595">
            <w:pPr>
              <w:jc w:val="left"/>
              <w:rPr>
                <w:rFonts w:asciiTheme="minorHAnsi" w:hAnsiTheme="minorHAnsi"/>
                <w:color w:val="000000" w:themeColor="text1"/>
                <w:sz w:val="22"/>
                <w:szCs w:val="22"/>
              </w:rPr>
            </w:pPr>
            <w:r w:rsidRPr="007C2A82">
              <w:rPr>
                <w:rFonts w:asciiTheme="minorHAnsi" w:hAnsiTheme="minorHAnsi"/>
                <w:b/>
                <w:color w:val="000000" w:themeColor="text1"/>
                <w:sz w:val="22"/>
                <w:szCs w:val="22"/>
              </w:rPr>
              <w:t>Q1 – Q4</w:t>
            </w:r>
            <w:r w:rsidRPr="007C2A82">
              <w:rPr>
                <w:rFonts w:asciiTheme="minorHAnsi" w:hAnsiTheme="minorHAnsi"/>
                <w:color w:val="000000" w:themeColor="text1"/>
                <w:sz w:val="22"/>
                <w:szCs w:val="22"/>
              </w:rPr>
              <w:t xml:space="preserve"> Maternity Improvement Programme</w:t>
            </w:r>
            <w:r>
              <w:rPr>
                <w:rFonts w:asciiTheme="minorHAnsi" w:hAnsiTheme="minorHAnsi"/>
                <w:color w:val="000000" w:themeColor="text1"/>
                <w:sz w:val="22"/>
                <w:szCs w:val="22"/>
              </w:rPr>
              <w:t>.</w:t>
            </w:r>
          </w:p>
          <w:p w14:paraId="5E000E4F" w14:textId="77777777" w:rsidR="00DE3193" w:rsidRPr="007C2A82" w:rsidRDefault="00DE3193" w:rsidP="00AA4595">
            <w:pPr>
              <w:jc w:val="left"/>
              <w:rPr>
                <w:rFonts w:asciiTheme="minorHAnsi" w:hAnsiTheme="minorHAnsi"/>
                <w:color w:val="000000" w:themeColor="text1"/>
                <w:sz w:val="22"/>
                <w:szCs w:val="22"/>
              </w:rPr>
            </w:pPr>
            <w:r>
              <w:rPr>
                <w:rFonts w:asciiTheme="minorHAnsi" w:hAnsiTheme="minorHAnsi"/>
                <w:b/>
                <w:color w:val="000000" w:themeColor="text1"/>
                <w:sz w:val="22"/>
                <w:szCs w:val="22"/>
              </w:rPr>
              <w:t xml:space="preserve">Q1 </w:t>
            </w:r>
            <w:r w:rsidRPr="007C2A82">
              <w:rPr>
                <w:rFonts w:asciiTheme="minorHAnsi" w:hAnsiTheme="minorHAnsi"/>
                <w:color w:val="000000" w:themeColor="text1"/>
                <w:sz w:val="22"/>
                <w:szCs w:val="22"/>
              </w:rPr>
              <w:t>Implementation of Miscarriage pathway</w:t>
            </w:r>
            <w:r>
              <w:rPr>
                <w:rFonts w:asciiTheme="minorHAnsi" w:hAnsiTheme="minorHAnsi"/>
                <w:color w:val="000000" w:themeColor="text1"/>
                <w:sz w:val="22"/>
                <w:szCs w:val="22"/>
              </w:rPr>
              <w:t>.</w:t>
            </w:r>
            <w:r w:rsidRPr="007C2A82">
              <w:rPr>
                <w:rFonts w:asciiTheme="minorHAnsi" w:hAnsiTheme="minorHAnsi"/>
                <w:color w:val="000000" w:themeColor="text1"/>
                <w:sz w:val="22"/>
                <w:szCs w:val="22"/>
              </w:rPr>
              <w:t xml:space="preserve"> </w:t>
            </w:r>
          </w:p>
          <w:p w14:paraId="4331C75D" w14:textId="77777777" w:rsidR="00DE3193" w:rsidRPr="007C2A82" w:rsidRDefault="00DE3193" w:rsidP="00AA4595">
            <w:pPr>
              <w:jc w:val="left"/>
              <w:rPr>
                <w:rFonts w:asciiTheme="minorHAnsi" w:hAnsiTheme="minorHAnsi"/>
                <w:color w:val="000000" w:themeColor="text1"/>
                <w:sz w:val="22"/>
                <w:szCs w:val="22"/>
              </w:rPr>
            </w:pPr>
            <w:r w:rsidRPr="007C2A82">
              <w:rPr>
                <w:rFonts w:asciiTheme="minorHAnsi" w:hAnsiTheme="minorHAnsi"/>
                <w:b/>
                <w:color w:val="000000" w:themeColor="text1"/>
                <w:sz w:val="22"/>
                <w:szCs w:val="22"/>
              </w:rPr>
              <w:t>Q1</w:t>
            </w:r>
            <w:r w:rsidRPr="007C2A82">
              <w:rPr>
                <w:rFonts w:asciiTheme="minorHAnsi" w:hAnsiTheme="minorHAnsi"/>
                <w:color w:val="000000" w:themeColor="text1"/>
                <w:sz w:val="22"/>
                <w:szCs w:val="22"/>
              </w:rPr>
              <w:t xml:space="preserve"> Emergency maternity theatres business case completed</w:t>
            </w:r>
            <w:r>
              <w:rPr>
                <w:rFonts w:asciiTheme="minorHAnsi" w:hAnsiTheme="minorHAnsi"/>
                <w:color w:val="000000" w:themeColor="text1"/>
                <w:sz w:val="22"/>
                <w:szCs w:val="22"/>
              </w:rPr>
              <w:t>.</w:t>
            </w:r>
          </w:p>
          <w:p w14:paraId="67BA0C61" w14:textId="77777777" w:rsidR="00DE3193" w:rsidRPr="007C2A82" w:rsidRDefault="00DE3193" w:rsidP="00AA4595">
            <w:pPr>
              <w:jc w:val="left"/>
              <w:rPr>
                <w:rFonts w:asciiTheme="minorHAnsi" w:hAnsiTheme="minorHAnsi"/>
                <w:color w:val="000000" w:themeColor="text1"/>
                <w:sz w:val="22"/>
                <w:szCs w:val="22"/>
              </w:rPr>
            </w:pPr>
            <w:r w:rsidRPr="007C2A82">
              <w:rPr>
                <w:rFonts w:asciiTheme="minorHAnsi" w:hAnsiTheme="minorHAnsi"/>
                <w:b/>
                <w:color w:val="000000" w:themeColor="text1"/>
                <w:sz w:val="22"/>
                <w:szCs w:val="22"/>
              </w:rPr>
              <w:t>Q2</w:t>
            </w:r>
            <w:r w:rsidRPr="007C2A82">
              <w:rPr>
                <w:rFonts w:asciiTheme="minorHAnsi" w:hAnsiTheme="minorHAnsi"/>
                <w:color w:val="000000" w:themeColor="text1"/>
                <w:sz w:val="22"/>
                <w:szCs w:val="22"/>
              </w:rPr>
              <w:t xml:space="preserve"> Expansion of services in GDAU RGH to include nurse led clinics</w:t>
            </w:r>
            <w:r>
              <w:rPr>
                <w:rFonts w:asciiTheme="minorHAnsi" w:hAnsiTheme="minorHAnsi"/>
                <w:color w:val="000000" w:themeColor="text1"/>
                <w:sz w:val="22"/>
                <w:szCs w:val="22"/>
              </w:rPr>
              <w:t>.</w:t>
            </w:r>
            <w:r w:rsidRPr="007C2A82">
              <w:rPr>
                <w:rFonts w:asciiTheme="minorHAnsi" w:hAnsiTheme="minorHAnsi"/>
                <w:color w:val="000000" w:themeColor="text1"/>
                <w:sz w:val="22"/>
                <w:szCs w:val="22"/>
              </w:rPr>
              <w:t xml:space="preserve"> </w:t>
            </w:r>
          </w:p>
          <w:p w14:paraId="6779DE05" w14:textId="77777777" w:rsidR="00DE3193" w:rsidRPr="007C2A82" w:rsidRDefault="00DE3193" w:rsidP="00AA4595">
            <w:pPr>
              <w:jc w:val="left"/>
              <w:rPr>
                <w:rFonts w:asciiTheme="minorHAnsi" w:hAnsiTheme="minorHAnsi"/>
                <w:color w:val="000000" w:themeColor="text1"/>
                <w:sz w:val="22"/>
                <w:szCs w:val="22"/>
              </w:rPr>
            </w:pPr>
            <w:r w:rsidRPr="007C2A82">
              <w:rPr>
                <w:rFonts w:asciiTheme="minorHAnsi" w:hAnsiTheme="minorHAnsi"/>
                <w:b/>
                <w:color w:val="000000" w:themeColor="text1"/>
                <w:sz w:val="22"/>
                <w:szCs w:val="22"/>
              </w:rPr>
              <w:t xml:space="preserve">Q2 </w:t>
            </w:r>
            <w:r w:rsidRPr="007C2A82">
              <w:rPr>
                <w:rFonts w:asciiTheme="minorHAnsi" w:hAnsiTheme="minorHAnsi"/>
                <w:color w:val="000000" w:themeColor="text1"/>
                <w:sz w:val="22"/>
                <w:szCs w:val="22"/>
              </w:rPr>
              <w:t>Expansion of maternity pharmacy support</w:t>
            </w:r>
            <w:r>
              <w:rPr>
                <w:rFonts w:asciiTheme="minorHAnsi" w:hAnsiTheme="minorHAnsi"/>
                <w:color w:val="000000" w:themeColor="text1"/>
                <w:sz w:val="22"/>
                <w:szCs w:val="22"/>
              </w:rPr>
              <w:t>.</w:t>
            </w:r>
          </w:p>
          <w:p w14:paraId="49475E87" w14:textId="77777777" w:rsidR="00DE3193" w:rsidRPr="007C2A82" w:rsidRDefault="00DE3193" w:rsidP="00AA4595">
            <w:pPr>
              <w:jc w:val="left"/>
              <w:rPr>
                <w:rFonts w:asciiTheme="minorHAnsi" w:hAnsiTheme="minorHAnsi"/>
                <w:color w:val="000000" w:themeColor="text1"/>
                <w:sz w:val="22"/>
                <w:szCs w:val="22"/>
              </w:rPr>
            </w:pPr>
            <w:r w:rsidRPr="007C2A82">
              <w:rPr>
                <w:rFonts w:asciiTheme="minorHAnsi" w:hAnsiTheme="minorHAnsi"/>
                <w:b/>
                <w:color w:val="000000" w:themeColor="text1"/>
                <w:sz w:val="22"/>
                <w:szCs w:val="22"/>
              </w:rPr>
              <w:t>Q3</w:t>
            </w:r>
            <w:r w:rsidRPr="007C2A82">
              <w:rPr>
                <w:rFonts w:asciiTheme="minorHAnsi" w:hAnsiTheme="minorHAnsi"/>
                <w:color w:val="000000" w:themeColor="text1"/>
                <w:sz w:val="22"/>
                <w:szCs w:val="22"/>
              </w:rPr>
              <w:t xml:space="preserve"> Emergency Maternity thea</w:t>
            </w:r>
            <w:r>
              <w:rPr>
                <w:rFonts w:asciiTheme="minorHAnsi" w:hAnsiTheme="minorHAnsi"/>
                <w:color w:val="000000" w:themeColor="text1"/>
                <w:sz w:val="22"/>
                <w:szCs w:val="22"/>
              </w:rPr>
              <w:t>tres aligned to ACT directorate.</w:t>
            </w:r>
          </w:p>
          <w:p w14:paraId="52022C6C" w14:textId="77777777" w:rsidR="00DE3193" w:rsidRPr="007C2A82" w:rsidRDefault="00DE3193" w:rsidP="00AA4595">
            <w:pPr>
              <w:jc w:val="left"/>
              <w:rPr>
                <w:rFonts w:asciiTheme="minorHAnsi" w:hAnsiTheme="minorHAnsi"/>
                <w:color w:val="000000" w:themeColor="text1"/>
                <w:sz w:val="22"/>
                <w:szCs w:val="22"/>
              </w:rPr>
            </w:pPr>
            <w:r w:rsidRPr="007C2A82">
              <w:rPr>
                <w:rFonts w:asciiTheme="minorHAnsi" w:hAnsiTheme="minorHAnsi"/>
                <w:b/>
                <w:color w:val="000000" w:themeColor="text1"/>
                <w:sz w:val="22"/>
                <w:szCs w:val="22"/>
              </w:rPr>
              <w:t>Q3</w:t>
            </w:r>
            <w:r w:rsidRPr="007C2A82">
              <w:rPr>
                <w:rFonts w:asciiTheme="minorHAnsi" w:hAnsiTheme="minorHAnsi"/>
                <w:color w:val="000000" w:themeColor="text1"/>
                <w:sz w:val="22"/>
                <w:szCs w:val="22"/>
              </w:rPr>
              <w:t xml:space="preserve"> Outpatient Hysteroscopy business case that includes P</w:t>
            </w:r>
            <w:r>
              <w:rPr>
                <w:rFonts w:asciiTheme="minorHAnsi" w:hAnsiTheme="minorHAnsi"/>
                <w:color w:val="000000" w:themeColor="text1"/>
                <w:sz w:val="22"/>
                <w:szCs w:val="22"/>
              </w:rPr>
              <w:t xml:space="preserve">rincess of Wales Hospital </w:t>
            </w:r>
            <w:r w:rsidRPr="007C2A82">
              <w:rPr>
                <w:rFonts w:asciiTheme="minorHAnsi" w:hAnsiTheme="minorHAnsi"/>
                <w:color w:val="000000" w:themeColor="text1"/>
                <w:sz w:val="22"/>
                <w:szCs w:val="22"/>
              </w:rPr>
              <w:t>service to be completed</w:t>
            </w:r>
            <w:r>
              <w:rPr>
                <w:rFonts w:asciiTheme="minorHAnsi" w:hAnsiTheme="minorHAnsi"/>
                <w:color w:val="000000" w:themeColor="text1"/>
                <w:sz w:val="22"/>
                <w:szCs w:val="22"/>
              </w:rPr>
              <w:t>.</w:t>
            </w:r>
          </w:p>
          <w:p w14:paraId="77D4F0FD" w14:textId="6BBB4204" w:rsidR="00DE3193" w:rsidRPr="007C2A82" w:rsidRDefault="00DE3193" w:rsidP="00AA4595">
            <w:pPr>
              <w:jc w:val="left"/>
              <w:rPr>
                <w:rFonts w:asciiTheme="minorHAnsi" w:hAnsiTheme="minorHAnsi"/>
                <w:color w:val="000000" w:themeColor="text1"/>
                <w:sz w:val="22"/>
                <w:szCs w:val="22"/>
              </w:rPr>
            </w:pPr>
            <w:r w:rsidRPr="007C2A82">
              <w:rPr>
                <w:rFonts w:asciiTheme="minorHAnsi" w:hAnsiTheme="minorHAnsi"/>
                <w:b/>
                <w:color w:val="000000" w:themeColor="text1"/>
                <w:sz w:val="22"/>
                <w:szCs w:val="22"/>
              </w:rPr>
              <w:t>Q3 &amp; 4</w:t>
            </w:r>
            <w:r w:rsidRPr="007C2A82">
              <w:rPr>
                <w:rFonts w:asciiTheme="minorHAnsi" w:hAnsiTheme="minorHAnsi"/>
                <w:color w:val="000000" w:themeColor="text1"/>
                <w:sz w:val="22"/>
                <w:szCs w:val="22"/>
              </w:rPr>
              <w:t xml:space="preserve"> Review of P</w:t>
            </w:r>
            <w:r>
              <w:rPr>
                <w:rFonts w:asciiTheme="minorHAnsi" w:hAnsiTheme="minorHAnsi"/>
                <w:color w:val="000000" w:themeColor="text1"/>
                <w:sz w:val="22"/>
                <w:szCs w:val="22"/>
              </w:rPr>
              <w:t xml:space="preserve">rince </w:t>
            </w:r>
            <w:r w:rsidRPr="007C2A82">
              <w:rPr>
                <w:rFonts w:asciiTheme="minorHAnsi" w:hAnsiTheme="minorHAnsi"/>
                <w:color w:val="000000" w:themeColor="text1"/>
                <w:sz w:val="22"/>
                <w:szCs w:val="22"/>
              </w:rPr>
              <w:t>C</w:t>
            </w:r>
            <w:r>
              <w:rPr>
                <w:rFonts w:asciiTheme="minorHAnsi" w:hAnsiTheme="minorHAnsi"/>
                <w:color w:val="000000" w:themeColor="text1"/>
                <w:sz w:val="22"/>
                <w:szCs w:val="22"/>
              </w:rPr>
              <w:t xml:space="preserve">harles </w:t>
            </w:r>
            <w:r w:rsidRPr="007C2A82">
              <w:rPr>
                <w:rFonts w:asciiTheme="minorHAnsi" w:hAnsiTheme="minorHAnsi"/>
                <w:color w:val="000000" w:themeColor="text1"/>
                <w:sz w:val="22"/>
                <w:szCs w:val="22"/>
              </w:rPr>
              <w:t>H</w:t>
            </w:r>
            <w:r>
              <w:rPr>
                <w:rFonts w:asciiTheme="minorHAnsi" w:hAnsiTheme="minorHAnsi"/>
                <w:color w:val="000000" w:themeColor="text1"/>
                <w:sz w:val="22"/>
                <w:szCs w:val="22"/>
              </w:rPr>
              <w:t>ospital</w:t>
            </w:r>
            <w:r w:rsidRPr="007C2A82">
              <w:rPr>
                <w:rFonts w:asciiTheme="minorHAnsi" w:hAnsiTheme="minorHAnsi"/>
                <w:color w:val="000000" w:themeColor="text1"/>
                <w:sz w:val="22"/>
                <w:szCs w:val="22"/>
              </w:rPr>
              <w:t xml:space="preserve"> GDAU and new service model agreed</w:t>
            </w:r>
            <w:r>
              <w:rPr>
                <w:rFonts w:asciiTheme="minorHAnsi" w:hAnsiTheme="minorHAnsi"/>
                <w:color w:val="000000" w:themeColor="text1"/>
                <w:sz w:val="22"/>
                <w:szCs w:val="22"/>
              </w:rPr>
              <w:t>.</w:t>
            </w:r>
          </w:p>
        </w:tc>
        <w:tc>
          <w:tcPr>
            <w:tcW w:w="3686" w:type="dxa"/>
          </w:tcPr>
          <w:p w14:paraId="62A78A94" w14:textId="77777777" w:rsidR="00DE3193" w:rsidRPr="007C2A82" w:rsidRDefault="00DE3193" w:rsidP="00DE3193">
            <w:pPr>
              <w:jc w:val="center"/>
              <w:rPr>
                <w:rFonts w:asciiTheme="minorHAnsi" w:hAnsiTheme="minorHAnsi"/>
                <w:color w:val="000000" w:themeColor="text1"/>
                <w:sz w:val="22"/>
                <w:szCs w:val="22"/>
              </w:rPr>
            </w:pPr>
            <w:r w:rsidRPr="007C2A82">
              <w:rPr>
                <w:rFonts w:asciiTheme="minorHAnsi" w:hAnsiTheme="minorHAnsi"/>
                <w:color w:val="000000" w:themeColor="text1"/>
                <w:sz w:val="22"/>
                <w:szCs w:val="22"/>
              </w:rPr>
              <w:t>Year 2</w:t>
            </w:r>
          </w:p>
          <w:p w14:paraId="507C41A8" w14:textId="77777777" w:rsidR="00DE3193" w:rsidRPr="007C2A82" w:rsidRDefault="00DE3193" w:rsidP="00AA4595">
            <w:pPr>
              <w:jc w:val="left"/>
              <w:rPr>
                <w:rFonts w:asciiTheme="minorHAnsi" w:hAnsiTheme="minorHAnsi"/>
                <w:color w:val="000000" w:themeColor="text1"/>
                <w:sz w:val="22"/>
                <w:szCs w:val="22"/>
              </w:rPr>
            </w:pPr>
          </w:p>
          <w:p w14:paraId="49EFA777" w14:textId="77777777" w:rsidR="00DE3193" w:rsidRPr="007C2A82" w:rsidRDefault="00DE3193" w:rsidP="00AA4595">
            <w:pPr>
              <w:jc w:val="left"/>
              <w:rPr>
                <w:rFonts w:asciiTheme="minorHAnsi" w:hAnsiTheme="minorHAnsi"/>
                <w:color w:val="000000" w:themeColor="text1"/>
                <w:sz w:val="22"/>
                <w:szCs w:val="22"/>
              </w:rPr>
            </w:pPr>
            <w:r w:rsidRPr="007C2A82">
              <w:rPr>
                <w:rFonts w:asciiTheme="minorHAnsi" w:hAnsiTheme="minorHAnsi"/>
                <w:b/>
                <w:color w:val="000000" w:themeColor="text1"/>
                <w:sz w:val="22"/>
                <w:szCs w:val="22"/>
              </w:rPr>
              <w:t>Q1 – Q4</w:t>
            </w:r>
            <w:r w:rsidRPr="007C2A82">
              <w:rPr>
                <w:rFonts w:asciiTheme="minorHAnsi" w:hAnsiTheme="minorHAnsi"/>
                <w:color w:val="000000" w:themeColor="text1"/>
                <w:sz w:val="22"/>
                <w:szCs w:val="22"/>
              </w:rPr>
              <w:t xml:space="preserve"> Maternity Improvement Programme</w:t>
            </w:r>
            <w:r>
              <w:rPr>
                <w:rFonts w:asciiTheme="minorHAnsi" w:hAnsiTheme="minorHAnsi"/>
                <w:color w:val="000000" w:themeColor="text1"/>
                <w:sz w:val="22"/>
                <w:szCs w:val="22"/>
              </w:rPr>
              <w:t>.</w:t>
            </w:r>
          </w:p>
          <w:p w14:paraId="09F86D7B" w14:textId="77777777" w:rsidR="00DE3193" w:rsidRPr="007C2A82" w:rsidRDefault="00DE3193" w:rsidP="00AA4595">
            <w:pPr>
              <w:jc w:val="left"/>
              <w:rPr>
                <w:rFonts w:asciiTheme="minorHAnsi" w:hAnsiTheme="minorHAnsi"/>
                <w:color w:val="000000" w:themeColor="text1"/>
                <w:sz w:val="22"/>
                <w:szCs w:val="22"/>
              </w:rPr>
            </w:pPr>
            <w:r w:rsidRPr="007C2A82">
              <w:rPr>
                <w:rFonts w:asciiTheme="minorHAnsi" w:hAnsiTheme="minorHAnsi"/>
                <w:b/>
                <w:color w:val="000000" w:themeColor="text1"/>
                <w:sz w:val="22"/>
                <w:szCs w:val="22"/>
              </w:rPr>
              <w:t>Q1</w:t>
            </w:r>
            <w:r w:rsidRPr="007C2A82">
              <w:rPr>
                <w:rFonts w:asciiTheme="minorHAnsi" w:hAnsiTheme="minorHAnsi"/>
                <w:color w:val="000000" w:themeColor="text1"/>
                <w:sz w:val="22"/>
                <w:szCs w:val="22"/>
              </w:rPr>
              <w:t xml:space="preserve"> Review of GAU P</w:t>
            </w:r>
            <w:r>
              <w:rPr>
                <w:rFonts w:asciiTheme="minorHAnsi" w:hAnsiTheme="minorHAnsi"/>
                <w:color w:val="000000" w:themeColor="text1"/>
                <w:sz w:val="22"/>
                <w:szCs w:val="22"/>
              </w:rPr>
              <w:t xml:space="preserve">rincess of Wales Hospital </w:t>
            </w:r>
            <w:r w:rsidRPr="007C2A82">
              <w:rPr>
                <w:rFonts w:asciiTheme="minorHAnsi" w:hAnsiTheme="minorHAnsi"/>
                <w:color w:val="000000" w:themeColor="text1"/>
                <w:sz w:val="22"/>
                <w:szCs w:val="22"/>
              </w:rPr>
              <w:t>and new service model scoped</w:t>
            </w:r>
            <w:r>
              <w:rPr>
                <w:rFonts w:asciiTheme="minorHAnsi" w:hAnsiTheme="minorHAnsi"/>
                <w:color w:val="000000" w:themeColor="text1"/>
                <w:sz w:val="22"/>
                <w:szCs w:val="22"/>
              </w:rPr>
              <w:t>.</w:t>
            </w:r>
          </w:p>
          <w:p w14:paraId="1A8CB4B8" w14:textId="77777777" w:rsidR="00DE3193" w:rsidRPr="007C2A82" w:rsidRDefault="00DE3193" w:rsidP="00AA4595">
            <w:pPr>
              <w:jc w:val="left"/>
              <w:rPr>
                <w:rFonts w:asciiTheme="minorHAnsi" w:hAnsiTheme="minorHAnsi"/>
                <w:color w:val="000000" w:themeColor="text1"/>
                <w:sz w:val="22"/>
                <w:szCs w:val="22"/>
              </w:rPr>
            </w:pPr>
            <w:r w:rsidRPr="007C2A82">
              <w:rPr>
                <w:rFonts w:asciiTheme="minorHAnsi" w:hAnsiTheme="minorHAnsi"/>
                <w:b/>
                <w:color w:val="000000" w:themeColor="text1"/>
                <w:sz w:val="22"/>
                <w:szCs w:val="22"/>
              </w:rPr>
              <w:t>Q1</w:t>
            </w:r>
            <w:r w:rsidRPr="007C2A82">
              <w:rPr>
                <w:rFonts w:asciiTheme="minorHAnsi" w:hAnsiTheme="minorHAnsi"/>
                <w:color w:val="000000" w:themeColor="text1"/>
                <w:sz w:val="22"/>
                <w:szCs w:val="22"/>
              </w:rPr>
              <w:t xml:space="preserve"> Ben</w:t>
            </w:r>
            <w:r>
              <w:rPr>
                <w:rFonts w:asciiTheme="minorHAnsi" w:hAnsiTheme="minorHAnsi"/>
                <w:color w:val="000000" w:themeColor="text1"/>
                <w:sz w:val="22"/>
                <w:szCs w:val="22"/>
              </w:rPr>
              <w:t>efits realisation of GDAU in Royal Glamorgan Hospital.</w:t>
            </w:r>
          </w:p>
          <w:p w14:paraId="22FDB0B1" w14:textId="77777777" w:rsidR="00DE3193" w:rsidRPr="007C2A82" w:rsidRDefault="00DE3193" w:rsidP="00AA4595">
            <w:pPr>
              <w:jc w:val="left"/>
              <w:rPr>
                <w:rFonts w:asciiTheme="minorHAnsi" w:hAnsiTheme="minorHAnsi"/>
                <w:color w:val="000000" w:themeColor="text1"/>
                <w:sz w:val="22"/>
                <w:szCs w:val="22"/>
              </w:rPr>
            </w:pPr>
            <w:r w:rsidRPr="007C2A82">
              <w:rPr>
                <w:rFonts w:asciiTheme="minorHAnsi" w:hAnsiTheme="minorHAnsi"/>
                <w:b/>
                <w:color w:val="000000" w:themeColor="text1"/>
                <w:sz w:val="22"/>
                <w:szCs w:val="22"/>
              </w:rPr>
              <w:t>Q1</w:t>
            </w:r>
            <w:r w:rsidRPr="007C2A82">
              <w:rPr>
                <w:rFonts w:asciiTheme="minorHAnsi" w:hAnsiTheme="minorHAnsi"/>
                <w:color w:val="000000" w:themeColor="text1"/>
                <w:sz w:val="22"/>
                <w:szCs w:val="22"/>
              </w:rPr>
              <w:t xml:space="preserve"> Implementation of Outpatient Hysteroscopy model across </w:t>
            </w:r>
            <w:r>
              <w:rPr>
                <w:rFonts w:asciiTheme="minorHAnsi" w:hAnsiTheme="minorHAnsi"/>
                <w:color w:val="000000" w:themeColor="text1"/>
                <w:sz w:val="22"/>
                <w:szCs w:val="22"/>
              </w:rPr>
              <w:t>the Health Board.</w:t>
            </w:r>
          </w:p>
          <w:p w14:paraId="79703277" w14:textId="77777777" w:rsidR="00DE3193" w:rsidRPr="007C2A82" w:rsidRDefault="00DE3193" w:rsidP="00AA4595">
            <w:pPr>
              <w:jc w:val="left"/>
              <w:rPr>
                <w:rFonts w:asciiTheme="minorHAnsi" w:hAnsiTheme="minorHAnsi"/>
                <w:color w:val="000000" w:themeColor="text1"/>
                <w:sz w:val="22"/>
                <w:szCs w:val="22"/>
              </w:rPr>
            </w:pPr>
            <w:r w:rsidRPr="007C2A82">
              <w:rPr>
                <w:rFonts w:asciiTheme="minorHAnsi" w:hAnsiTheme="minorHAnsi"/>
                <w:b/>
                <w:color w:val="000000" w:themeColor="text1"/>
                <w:sz w:val="22"/>
                <w:szCs w:val="22"/>
              </w:rPr>
              <w:t>Q2</w:t>
            </w:r>
            <w:r w:rsidRPr="007C2A82">
              <w:rPr>
                <w:rFonts w:asciiTheme="minorHAnsi" w:hAnsiTheme="minorHAnsi"/>
                <w:color w:val="000000" w:themeColor="text1"/>
                <w:sz w:val="22"/>
                <w:szCs w:val="22"/>
              </w:rPr>
              <w:t xml:space="preserve"> review of Maternity Pharmacy Support and further expansion of service. </w:t>
            </w:r>
          </w:p>
          <w:p w14:paraId="604CF9F6" w14:textId="77777777" w:rsidR="00DE3193" w:rsidRPr="007C2A82" w:rsidRDefault="00DE3193" w:rsidP="00AA4595">
            <w:pPr>
              <w:jc w:val="left"/>
              <w:rPr>
                <w:rFonts w:asciiTheme="minorHAnsi" w:hAnsiTheme="minorHAnsi"/>
                <w:color w:val="000000" w:themeColor="text1"/>
                <w:sz w:val="22"/>
                <w:szCs w:val="22"/>
              </w:rPr>
            </w:pPr>
            <w:r w:rsidRPr="007C2A82">
              <w:rPr>
                <w:rFonts w:asciiTheme="minorHAnsi" w:hAnsiTheme="minorHAnsi"/>
                <w:b/>
                <w:color w:val="000000" w:themeColor="text1"/>
                <w:sz w:val="22"/>
                <w:szCs w:val="22"/>
              </w:rPr>
              <w:t>Q3</w:t>
            </w:r>
            <w:r w:rsidRPr="007C2A82">
              <w:rPr>
                <w:rFonts w:asciiTheme="minorHAnsi" w:hAnsiTheme="minorHAnsi"/>
                <w:color w:val="000000" w:themeColor="text1"/>
                <w:sz w:val="22"/>
                <w:szCs w:val="22"/>
              </w:rPr>
              <w:t xml:space="preserve"> Evaluation of G</w:t>
            </w:r>
            <w:r>
              <w:rPr>
                <w:rFonts w:asciiTheme="minorHAnsi" w:hAnsiTheme="minorHAnsi"/>
                <w:color w:val="000000" w:themeColor="text1"/>
                <w:sz w:val="22"/>
                <w:szCs w:val="22"/>
              </w:rPr>
              <w:t>AU in Prince Charles Hospital and benefits realised.</w:t>
            </w:r>
          </w:p>
          <w:p w14:paraId="17A09BC0" w14:textId="6BE7773E" w:rsidR="00DE3193" w:rsidRPr="007C2A82" w:rsidRDefault="00DE3193" w:rsidP="00AA4595">
            <w:pPr>
              <w:jc w:val="left"/>
              <w:rPr>
                <w:rFonts w:asciiTheme="minorHAnsi" w:hAnsiTheme="minorHAnsi"/>
                <w:color w:val="000000" w:themeColor="text1"/>
                <w:sz w:val="22"/>
                <w:szCs w:val="22"/>
              </w:rPr>
            </w:pPr>
            <w:r w:rsidRPr="007C2A82">
              <w:rPr>
                <w:rFonts w:asciiTheme="minorHAnsi" w:hAnsiTheme="minorHAnsi"/>
                <w:b/>
                <w:color w:val="000000" w:themeColor="text1"/>
                <w:sz w:val="22"/>
                <w:szCs w:val="22"/>
              </w:rPr>
              <w:t>Q3</w:t>
            </w:r>
            <w:r w:rsidRPr="007C2A82">
              <w:rPr>
                <w:rFonts w:asciiTheme="minorHAnsi" w:hAnsiTheme="minorHAnsi"/>
                <w:color w:val="000000" w:themeColor="text1"/>
                <w:sz w:val="22"/>
                <w:szCs w:val="22"/>
              </w:rPr>
              <w:t xml:space="preserve"> New service model for GDAU P</w:t>
            </w:r>
            <w:r>
              <w:rPr>
                <w:rFonts w:asciiTheme="minorHAnsi" w:hAnsiTheme="minorHAnsi"/>
                <w:color w:val="000000" w:themeColor="text1"/>
                <w:sz w:val="22"/>
                <w:szCs w:val="22"/>
              </w:rPr>
              <w:t xml:space="preserve">rincess of Wales Hospital </w:t>
            </w:r>
            <w:r w:rsidRPr="007C2A82">
              <w:rPr>
                <w:rFonts w:asciiTheme="minorHAnsi" w:hAnsiTheme="minorHAnsi"/>
                <w:color w:val="000000" w:themeColor="text1"/>
                <w:sz w:val="22"/>
                <w:szCs w:val="22"/>
              </w:rPr>
              <w:t>implemented</w:t>
            </w:r>
            <w:r>
              <w:rPr>
                <w:rFonts w:asciiTheme="minorHAnsi" w:hAnsiTheme="minorHAnsi"/>
                <w:color w:val="000000" w:themeColor="text1"/>
                <w:sz w:val="22"/>
                <w:szCs w:val="22"/>
              </w:rPr>
              <w:t>.</w:t>
            </w:r>
          </w:p>
        </w:tc>
        <w:tc>
          <w:tcPr>
            <w:tcW w:w="1984" w:type="dxa"/>
          </w:tcPr>
          <w:p w14:paraId="6A11B7C9" w14:textId="77777777" w:rsidR="00DE3193" w:rsidRPr="007C2A82" w:rsidRDefault="00DE3193" w:rsidP="00DE3193">
            <w:pPr>
              <w:jc w:val="center"/>
              <w:rPr>
                <w:rFonts w:asciiTheme="minorHAnsi" w:hAnsiTheme="minorHAnsi"/>
                <w:color w:val="000000" w:themeColor="text1"/>
                <w:sz w:val="22"/>
                <w:szCs w:val="22"/>
              </w:rPr>
            </w:pPr>
            <w:r w:rsidRPr="007C2A82">
              <w:rPr>
                <w:rFonts w:asciiTheme="minorHAnsi" w:hAnsiTheme="minorHAnsi"/>
                <w:color w:val="000000" w:themeColor="text1"/>
                <w:sz w:val="22"/>
                <w:szCs w:val="22"/>
              </w:rPr>
              <w:t>Year 3</w:t>
            </w:r>
          </w:p>
          <w:p w14:paraId="44C48D56" w14:textId="77777777" w:rsidR="00DE3193" w:rsidRPr="007C2A82" w:rsidRDefault="00DE3193" w:rsidP="00AA4595">
            <w:pPr>
              <w:jc w:val="left"/>
              <w:rPr>
                <w:rFonts w:asciiTheme="minorHAnsi" w:hAnsiTheme="minorHAnsi"/>
                <w:color w:val="000000" w:themeColor="text1"/>
                <w:sz w:val="22"/>
                <w:szCs w:val="22"/>
              </w:rPr>
            </w:pPr>
          </w:p>
          <w:p w14:paraId="436EE49F" w14:textId="77777777" w:rsidR="00DE3193" w:rsidRPr="007C2A82" w:rsidRDefault="00DE3193" w:rsidP="00AA4595">
            <w:pPr>
              <w:jc w:val="left"/>
              <w:rPr>
                <w:rFonts w:asciiTheme="minorHAnsi" w:hAnsiTheme="minorHAnsi"/>
                <w:color w:val="000000" w:themeColor="text1"/>
                <w:sz w:val="22"/>
                <w:szCs w:val="22"/>
              </w:rPr>
            </w:pPr>
            <w:r w:rsidRPr="007C2A82">
              <w:rPr>
                <w:rFonts w:asciiTheme="minorHAnsi" w:hAnsiTheme="minorHAnsi"/>
                <w:b/>
                <w:color w:val="000000" w:themeColor="text1"/>
                <w:sz w:val="22"/>
                <w:szCs w:val="22"/>
              </w:rPr>
              <w:t>Q1 – Q4</w:t>
            </w:r>
            <w:r w:rsidRPr="007C2A82">
              <w:rPr>
                <w:rFonts w:asciiTheme="minorHAnsi" w:hAnsiTheme="minorHAnsi"/>
                <w:color w:val="000000" w:themeColor="text1"/>
                <w:sz w:val="22"/>
                <w:szCs w:val="22"/>
              </w:rPr>
              <w:t xml:space="preserve"> Maternity Improvement Programme</w:t>
            </w:r>
            <w:r>
              <w:rPr>
                <w:rFonts w:asciiTheme="minorHAnsi" w:hAnsiTheme="minorHAnsi"/>
                <w:color w:val="000000" w:themeColor="text1"/>
                <w:sz w:val="22"/>
                <w:szCs w:val="22"/>
              </w:rPr>
              <w:t>.</w:t>
            </w:r>
          </w:p>
          <w:p w14:paraId="10459370" w14:textId="77777777" w:rsidR="00DE3193" w:rsidRPr="007C2A82" w:rsidRDefault="00DE3193" w:rsidP="00AA4595">
            <w:pPr>
              <w:jc w:val="left"/>
              <w:rPr>
                <w:rFonts w:asciiTheme="minorHAnsi" w:hAnsiTheme="minorHAnsi"/>
                <w:color w:val="000000" w:themeColor="text1"/>
                <w:sz w:val="22"/>
                <w:szCs w:val="22"/>
              </w:rPr>
            </w:pPr>
            <w:r w:rsidRPr="007C2A82">
              <w:rPr>
                <w:rFonts w:asciiTheme="minorHAnsi" w:hAnsiTheme="minorHAnsi"/>
                <w:b/>
                <w:color w:val="000000" w:themeColor="text1"/>
                <w:sz w:val="22"/>
                <w:szCs w:val="22"/>
              </w:rPr>
              <w:t>Q3</w:t>
            </w:r>
            <w:r w:rsidRPr="007C2A82">
              <w:rPr>
                <w:rFonts w:asciiTheme="minorHAnsi" w:hAnsiTheme="minorHAnsi"/>
                <w:color w:val="000000" w:themeColor="text1"/>
                <w:sz w:val="22"/>
                <w:szCs w:val="22"/>
              </w:rPr>
              <w:t xml:space="preserve"> Benefits realisation of new service model in GDAU P</w:t>
            </w:r>
            <w:r>
              <w:rPr>
                <w:rFonts w:asciiTheme="minorHAnsi" w:hAnsiTheme="minorHAnsi"/>
                <w:color w:val="000000" w:themeColor="text1"/>
                <w:sz w:val="22"/>
                <w:szCs w:val="22"/>
              </w:rPr>
              <w:t xml:space="preserve">rincess of Wales Hospital. </w:t>
            </w:r>
          </w:p>
        </w:tc>
      </w:tr>
    </w:tbl>
    <w:p w14:paraId="05C6412A" w14:textId="21BE8DE0" w:rsidR="005913B0" w:rsidRPr="00DE3193" w:rsidRDefault="00DE3193" w:rsidP="00DE3193">
      <w:pPr>
        <w:jc w:val="left"/>
        <w:rPr>
          <w:rFonts w:asciiTheme="minorHAnsi" w:hAnsiTheme="minorHAnsi"/>
          <w:b/>
          <w:szCs w:val="22"/>
        </w:rPr>
      </w:pPr>
      <w:r w:rsidRPr="00DE3193">
        <w:rPr>
          <w:rFonts w:asciiTheme="minorHAnsi" w:hAnsiTheme="minorHAnsi"/>
          <w:b/>
          <w:noProof/>
          <w:szCs w:val="22"/>
        </w:rPr>
        <mc:AlternateContent>
          <mc:Choice Requires="wps">
            <w:drawing>
              <wp:anchor distT="0" distB="0" distL="114300" distR="114300" simplePos="0" relativeHeight="252826624" behindDoc="1" locked="0" layoutInCell="1" allowOverlap="1" wp14:anchorId="3636750C" wp14:editId="1B501ED3">
                <wp:simplePos x="0" y="0"/>
                <wp:positionH relativeFrom="margin">
                  <wp:posOffset>-93980</wp:posOffset>
                </wp:positionH>
                <wp:positionV relativeFrom="paragraph">
                  <wp:posOffset>56515</wp:posOffset>
                </wp:positionV>
                <wp:extent cx="6606540" cy="696595"/>
                <wp:effectExtent l="0" t="38100" r="41910" b="65405"/>
                <wp:wrapNone/>
                <wp:docPr id="63" name="Right Arrow 63"/>
                <wp:cNvGraphicFramePr/>
                <a:graphic xmlns:a="http://schemas.openxmlformats.org/drawingml/2006/main">
                  <a:graphicData uri="http://schemas.microsoft.com/office/word/2010/wordprocessingShape">
                    <wps:wsp>
                      <wps:cNvSpPr/>
                      <wps:spPr>
                        <a:xfrm>
                          <a:off x="0" y="0"/>
                          <a:ext cx="6606540" cy="696595"/>
                        </a:xfrm>
                        <a:prstGeom prst="rightArrow">
                          <a:avLst>
                            <a:gd name="adj1" fmla="val 50000"/>
                            <a:gd name="adj2" fmla="val 29881"/>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AE75CD" id="Right Arrow 63" o:spid="_x0000_s1026" type="#_x0000_t13" style="position:absolute;margin-left:-7.4pt;margin-top:4.45pt;width:520.2pt;height:54.85pt;z-index:-2504898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" adj="20919" fillcolor="#eaf1dd [662]" strokecolor="#76923c [2406]" strokeweight="2pt">
                <w10:wrap anchorx="margin"/>
              </v:shape>
            </w:pict>
          </mc:Fallback>
        </mc:AlternateContent>
      </w:r>
      <w:r w:rsidRPr="00DE3193">
        <w:rPr>
          <w:rFonts w:asciiTheme="minorHAnsi" w:hAnsiTheme="minorHAnsi"/>
          <w:b/>
          <w:szCs w:val="22"/>
        </w:rPr>
        <w:t>Milestones</w:t>
      </w:r>
    </w:p>
    <w:p w14:paraId="29D666EF" w14:textId="64A064E5" w:rsidR="00DE3193" w:rsidRDefault="00DE3193" w:rsidP="006B09CD">
      <w:pPr>
        <w:pStyle w:val="Heading4"/>
        <w:ind w:left="1077" w:hanging="1077"/>
        <w:rPr>
          <w:szCs w:val="22"/>
        </w:rPr>
      </w:pPr>
      <w:r>
        <w:rPr>
          <w:szCs w:val="22"/>
        </w:rPr>
        <w:t>Local and Regional Elective Care</w:t>
      </w:r>
    </w:p>
    <w:p w14:paraId="0E3BF4BB" w14:textId="77777777" w:rsidR="00DE3193" w:rsidRDefault="00DE3193" w:rsidP="00DE3193">
      <w:pPr>
        <w:rPr>
          <w:rFonts w:asciiTheme="minorHAnsi" w:hAnsiTheme="minorHAnsi"/>
        </w:rPr>
      </w:pPr>
      <w:r>
        <w:rPr>
          <w:rFonts w:asciiTheme="minorHAnsi" w:hAnsiTheme="minorHAnsi"/>
        </w:rPr>
        <w:t xml:space="preserve">The Health Board has been proactive over a number of years in developing elective services and determining specific areas which would benefit from service redesign. </w:t>
      </w:r>
      <w:r w:rsidRPr="00DF7CF6">
        <w:rPr>
          <w:rFonts w:asciiTheme="minorHAnsi" w:hAnsiTheme="minorHAnsi"/>
        </w:rPr>
        <w:t xml:space="preserve">Delivery of this work programme will assist the organisation in meeting the target trajectories for </w:t>
      </w:r>
      <w:r>
        <w:rPr>
          <w:rFonts w:asciiTheme="minorHAnsi" w:hAnsiTheme="minorHAnsi"/>
        </w:rPr>
        <w:t xml:space="preserve">RTT, diagnostic and cancer targets:  </w:t>
      </w:r>
    </w:p>
    <w:p w14:paraId="2D2858B1" w14:textId="77777777" w:rsidR="00DE3193" w:rsidRPr="009C6233" w:rsidRDefault="00DE3193" w:rsidP="00DE3193">
      <w:pPr>
        <w:rPr>
          <w:rFonts w:asciiTheme="minorHAnsi" w:hAnsiTheme="minorHAnsi"/>
        </w:rPr>
      </w:pPr>
    </w:p>
    <w:p w14:paraId="7FDF3EF6" w14:textId="77777777" w:rsidR="00DE3193" w:rsidRDefault="00DE3193" w:rsidP="003B1653">
      <w:pPr>
        <w:numPr>
          <w:ilvl w:val="0"/>
          <w:numId w:val="43"/>
        </w:numPr>
      </w:pPr>
      <w:r>
        <w:t xml:space="preserve">Efficiency, productivity and value: The aim is to accelerate the delivery of productivity and efficiency targets for Theatres and Outpatient Improvement. </w:t>
      </w:r>
      <w:r w:rsidRPr="00DF7CF6">
        <w:t>Directorates are supported to develop actions that impact positively on improving access and waiting time targets also ensuring alignment to the demand and capacity plans.  This include</w:t>
      </w:r>
      <w:r>
        <w:t>s</w:t>
      </w:r>
      <w:r w:rsidRPr="00DF7CF6">
        <w:t xml:space="preserve"> a programme to measure the impact of these activities on the planned care system overall and in particular to evidence these changes to improvements in RTT performance</w:t>
      </w:r>
      <w:r>
        <w:t xml:space="preserve"> and how these can be maintained</w:t>
      </w:r>
      <w:r w:rsidRPr="00DF7CF6">
        <w:t>.</w:t>
      </w:r>
    </w:p>
    <w:p w14:paraId="327F5A34" w14:textId="77777777" w:rsidR="00DE3193" w:rsidRDefault="00DE3193" w:rsidP="003B1653">
      <w:pPr>
        <w:numPr>
          <w:ilvl w:val="0"/>
          <w:numId w:val="43"/>
        </w:numPr>
      </w:pPr>
      <w:r>
        <w:t xml:space="preserve">Improve day case rates and options for delivery: There is a focus on understanding demand, capacity and utilisation across the Health Board sites, capturing opportunities for more effective use of resources to increase day case rates across the Health Board and benchmarking current activity against the British Association of Day Surgery (BADS). </w:t>
      </w:r>
    </w:p>
    <w:p w14:paraId="5AB45A06" w14:textId="77777777" w:rsidR="00DE3193" w:rsidRPr="00DF7CF6" w:rsidRDefault="00DE3193" w:rsidP="003B1653">
      <w:pPr>
        <w:numPr>
          <w:ilvl w:val="0"/>
          <w:numId w:val="43"/>
        </w:numPr>
      </w:pPr>
      <w:r>
        <w:t xml:space="preserve">Improving patient flow:  Key enablers are increasing day of surgery admission, improved treat in turn rates and pre-operative assessment. </w:t>
      </w:r>
    </w:p>
    <w:p w14:paraId="53EE8FEA" w14:textId="77777777" w:rsidR="00DE3193" w:rsidRPr="00C34DDA" w:rsidRDefault="00DE3193" w:rsidP="003B1653">
      <w:pPr>
        <w:numPr>
          <w:ilvl w:val="0"/>
          <w:numId w:val="43"/>
        </w:numPr>
        <w:rPr>
          <w:color w:val="000000" w:themeColor="text1"/>
        </w:rPr>
      </w:pPr>
      <w:r w:rsidRPr="00DF7CF6">
        <w:rPr>
          <w:bCs/>
        </w:rPr>
        <w:t xml:space="preserve">Pathway Transformation: There will be continued focus on </w:t>
      </w:r>
      <w:r w:rsidRPr="00DF7CF6">
        <w:t xml:space="preserve">delivering activities that will improve patient pathway management for elective care </w:t>
      </w:r>
      <w:r w:rsidRPr="00DF7CF6">
        <w:rPr>
          <w:color w:val="000000" w:themeColor="text1"/>
        </w:rPr>
        <w:t>across the whole pathway from Primary into Secondary Care.</w:t>
      </w:r>
      <w:r w:rsidRPr="00C34DDA">
        <w:rPr>
          <w:color w:val="000000" w:themeColor="text1"/>
        </w:rPr>
        <w:t xml:space="preserve"> This includes the identification of </w:t>
      </w:r>
      <w:r w:rsidRPr="00C34DDA">
        <w:rPr>
          <w:rFonts w:asciiTheme="minorHAnsi" w:hAnsiTheme="minorHAnsi"/>
          <w:szCs w:val="22"/>
        </w:rPr>
        <w:t xml:space="preserve">alternative pathways and the development of services across primary and secondary care </w:t>
      </w:r>
      <w:r w:rsidRPr="00C34DDA">
        <w:rPr>
          <w:color w:val="000000" w:themeColor="text1"/>
        </w:rPr>
        <w:t xml:space="preserve">to offer alternatives to outpatient, inpatient or consultant led hospital delivered care. </w:t>
      </w:r>
      <w:r w:rsidRPr="00C34DDA">
        <w:rPr>
          <w:rFonts w:asciiTheme="minorHAnsi" w:hAnsiTheme="minorHAnsi"/>
          <w:szCs w:val="22"/>
        </w:rPr>
        <w:t xml:space="preserve">These elements are key to ensuring the delivery of RTT and need to be maintained into 2020/21 and beyond.  </w:t>
      </w:r>
    </w:p>
    <w:p w14:paraId="0213E7E4" w14:textId="77777777" w:rsidR="00DE3193" w:rsidRDefault="00DE3193" w:rsidP="00DE3193">
      <w:pPr>
        <w:rPr>
          <w:rFonts w:asciiTheme="minorHAnsi" w:hAnsiTheme="minorHAnsi"/>
          <w:szCs w:val="22"/>
        </w:rPr>
      </w:pPr>
    </w:p>
    <w:p w14:paraId="50B3CE2C" w14:textId="77777777" w:rsidR="00DE3193" w:rsidRPr="00ED4940" w:rsidRDefault="00DE3193" w:rsidP="00DE3193">
      <w:pPr>
        <w:rPr>
          <w:rFonts w:asciiTheme="minorHAnsi" w:hAnsiTheme="minorHAnsi"/>
          <w:szCs w:val="22"/>
        </w:rPr>
      </w:pPr>
      <w:r w:rsidRPr="00195C09">
        <w:rPr>
          <w:rFonts w:asciiTheme="minorHAnsi" w:hAnsiTheme="minorHAnsi"/>
          <w:szCs w:val="22"/>
        </w:rPr>
        <w:t>The work is being driven by the Health Board Planned Care Group</w:t>
      </w:r>
      <w:r w:rsidRPr="00ED4940">
        <w:rPr>
          <w:rFonts w:asciiTheme="minorHAnsi" w:hAnsiTheme="minorHAnsi"/>
          <w:szCs w:val="22"/>
        </w:rPr>
        <w:t xml:space="preserve">, chaired by the Chief Operating Officer.  Its purpose is to develop a strategic framework to </w:t>
      </w:r>
      <w:r>
        <w:rPr>
          <w:rFonts w:asciiTheme="minorHAnsi" w:hAnsiTheme="minorHAnsi"/>
          <w:szCs w:val="22"/>
        </w:rPr>
        <w:t xml:space="preserve">deliver and measure improvements across the planned care </w:t>
      </w:r>
      <w:r>
        <w:rPr>
          <w:rFonts w:asciiTheme="minorHAnsi" w:hAnsiTheme="minorHAnsi"/>
          <w:szCs w:val="22"/>
        </w:rPr>
        <w:lastRenderedPageBreak/>
        <w:t xml:space="preserve">system, creating opportunities to </w:t>
      </w:r>
      <w:r w:rsidRPr="00ED4940">
        <w:rPr>
          <w:rFonts w:asciiTheme="minorHAnsi" w:hAnsiTheme="minorHAnsi"/>
          <w:szCs w:val="22"/>
        </w:rPr>
        <w:t xml:space="preserve">organise services to reflect the principles of </w:t>
      </w:r>
      <w:r>
        <w:rPr>
          <w:rFonts w:asciiTheme="minorHAnsi" w:hAnsiTheme="minorHAnsi"/>
          <w:szCs w:val="22"/>
        </w:rPr>
        <w:t xml:space="preserve">both Values Based Health Care and </w:t>
      </w:r>
      <w:r w:rsidRPr="00ED4940">
        <w:rPr>
          <w:rFonts w:asciiTheme="minorHAnsi" w:hAnsiTheme="minorHAnsi"/>
          <w:szCs w:val="22"/>
        </w:rPr>
        <w:t>Prudent Health</w:t>
      </w:r>
      <w:r>
        <w:rPr>
          <w:rFonts w:asciiTheme="minorHAnsi" w:hAnsiTheme="minorHAnsi"/>
          <w:szCs w:val="22"/>
        </w:rPr>
        <w:t xml:space="preserve"> C</w:t>
      </w:r>
      <w:r w:rsidRPr="00ED4940">
        <w:rPr>
          <w:rFonts w:asciiTheme="minorHAnsi" w:hAnsiTheme="minorHAnsi"/>
          <w:szCs w:val="22"/>
        </w:rPr>
        <w:t xml:space="preserve">are. </w:t>
      </w:r>
    </w:p>
    <w:p w14:paraId="1CF95E9B" w14:textId="77777777" w:rsidR="00DE3193" w:rsidRDefault="00DE3193" w:rsidP="00DE3193">
      <w:pPr>
        <w:rPr>
          <w:rFonts w:asciiTheme="minorHAnsi" w:hAnsiTheme="minorHAnsi"/>
          <w:szCs w:val="22"/>
        </w:rPr>
      </w:pPr>
    </w:p>
    <w:p w14:paraId="25AF2B04" w14:textId="77777777" w:rsidR="00DE3193" w:rsidRDefault="00DE3193" w:rsidP="00DE3193">
      <w:pPr>
        <w:rPr>
          <w:rFonts w:asciiTheme="minorHAnsi" w:hAnsiTheme="minorHAnsi"/>
          <w:szCs w:val="22"/>
        </w:rPr>
      </w:pPr>
      <w:r w:rsidRPr="004D6C16">
        <w:rPr>
          <w:rFonts w:asciiTheme="minorHAnsi" w:hAnsiTheme="minorHAnsi"/>
          <w:szCs w:val="22"/>
        </w:rPr>
        <w:t xml:space="preserve">The Health Board has set a challenging trajectory for delivering the 36 week </w:t>
      </w:r>
      <w:r>
        <w:rPr>
          <w:rFonts w:asciiTheme="minorHAnsi" w:hAnsiTheme="minorHAnsi"/>
          <w:szCs w:val="22"/>
        </w:rPr>
        <w:t xml:space="preserve">RTT </w:t>
      </w:r>
      <w:r w:rsidRPr="004D6C16">
        <w:rPr>
          <w:rFonts w:asciiTheme="minorHAnsi" w:hAnsiTheme="minorHAnsi"/>
          <w:szCs w:val="22"/>
        </w:rPr>
        <w:t>target across all specialties by March 2020, with it being maintained thereafter.  This will require additional capacity to be delivered in key specialties such as Orthopaedics, ENT, General Surgery and Ophthalmology to keep the number of patients waiting over 36 to a minimum. This will be further supported by continued progress on planned care initiatives, supported through enhanced Programme Management Office resource, as well as consistently delivering expected levels of capacity committed to within our detailed demand and capacity plans.</w:t>
      </w:r>
      <w:r>
        <w:rPr>
          <w:rFonts w:asciiTheme="minorHAnsi" w:hAnsiTheme="minorHAnsi"/>
          <w:szCs w:val="22"/>
        </w:rPr>
        <w:t xml:space="preserve"> </w:t>
      </w:r>
    </w:p>
    <w:p w14:paraId="4C11EF9A" w14:textId="77777777" w:rsidR="00DE3193" w:rsidRDefault="00DE3193" w:rsidP="00DE3193">
      <w:pPr>
        <w:rPr>
          <w:rFonts w:asciiTheme="minorHAnsi" w:hAnsiTheme="minorHAnsi"/>
          <w:b/>
          <w:bCs/>
          <w:szCs w:val="22"/>
        </w:rPr>
      </w:pPr>
    </w:p>
    <w:p w14:paraId="6721B4CB" w14:textId="77777777" w:rsidR="00DE3193" w:rsidRDefault="00DE3193" w:rsidP="00DE3193">
      <w:pPr>
        <w:rPr>
          <w:rFonts w:asciiTheme="minorHAnsi" w:hAnsiTheme="minorHAnsi"/>
          <w:szCs w:val="22"/>
        </w:rPr>
      </w:pPr>
      <w:r>
        <w:rPr>
          <w:rFonts w:asciiTheme="minorHAnsi" w:hAnsiTheme="minorHAnsi"/>
          <w:szCs w:val="22"/>
        </w:rPr>
        <w:t>Following an internal review by the Health Board, it became apparent that a number of waiting lists were not being reported to Welsh Government. As a result, the Health Board requested support from the Delivery Unit (DU) in resolving the issues identified and to provide assurance that actions have been put in place to mitigate future risk of inadvertent non-reporting of waiting lists. Following publication of a report from the DU, the Health Board has agreed an action plan to deliver their recommendations:</w:t>
      </w:r>
    </w:p>
    <w:p w14:paraId="1321C563" w14:textId="77777777" w:rsidR="00DE3193" w:rsidRDefault="00DE3193" w:rsidP="00DE3193">
      <w:pPr>
        <w:rPr>
          <w:rFonts w:asciiTheme="minorHAnsi" w:hAnsiTheme="minorHAnsi"/>
          <w:szCs w:val="22"/>
        </w:rPr>
      </w:pPr>
    </w:p>
    <w:p w14:paraId="119E2130" w14:textId="77777777" w:rsidR="00DE3193" w:rsidRDefault="00DE3193" w:rsidP="003B1653">
      <w:pPr>
        <w:pStyle w:val="ListParagraph"/>
        <w:numPr>
          <w:ilvl w:val="0"/>
          <w:numId w:val="79"/>
        </w:numPr>
        <w:ind w:left="357" w:hanging="357"/>
        <w:rPr>
          <w:rFonts w:asciiTheme="minorHAnsi" w:hAnsiTheme="minorHAnsi"/>
          <w:szCs w:val="22"/>
        </w:rPr>
      </w:pPr>
      <w:r>
        <w:rPr>
          <w:rFonts w:asciiTheme="minorHAnsi" w:hAnsiTheme="minorHAnsi"/>
          <w:szCs w:val="22"/>
        </w:rPr>
        <w:t xml:space="preserve">Quantify the scope of patients who have not been appropriately reported and assure there are no other areas of potential concern from a reporting perspective. </w:t>
      </w:r>
    </w:p>
    <w:p w14:paraId="7A6BE714" w14:textId="77777777" w:rsidR="00DE3193" w:rsidRDefault="00DE3193" w:rsidP="003B1653">
      <w:pPr>
        <w:pStyle w:val="ListParagraph"/>
        <w:numPr>
          <w:ilvl w:val="0"/>
          <w:numId w:val="79"/>
        </w:numPr>
        <w:ind w:left="357" w:hanging="357"/>
        <w:rPr>
          <w:rFonts w:asciiTheme="minorHAnsi" w:hAnsiTheme="minorHAnsi"/>
          <w:szCs w:val="22"/>
        </w:rPr>
      </w:pPr>
      <w:r>
        <w:rPr>
          <w:rFonts w:asciiTheme="minorHAnsi" w:hAnsiTheme="minorHAnsi"/>
          <w:szCs w:val="22"/>
        </w:rPr>
        <w:t>Ensure that any clinical risks to the patients affected is identified and appropriately managed.</w:t>
      </w:r>
    </w:p>
    <w:p w14:paraId="188CF6C2" w14:textId="77777777" w:rsidR="00DE3193" w:rsidRDefault="00DE3193" w:rsidP="003B1653">
      <w:pPr>
        <w:pStyle w:val="ListParagraph"/>
        <w:numPr>
          <w:ilvl w:val="0"/>
          <w:numId w:val="79"/>
        </w:numPr>
        <w:ind w:left="357" w:hanging="357"/>
        <w:rPr>
          <w:rFonts w:asciiTheme="minorHAnsi" w:hAnsiTheme="minorHAnsi"/>
          <w:szCs w:val="22"/>
        </w:rPr>
      </w:pPr>
      <w:r>
        <w:rPr>
          <w:rFonts w:asciiTheme="minorHAnsi" w:hAnsiTheme="minorHAnsi"/>
          <w:szCs w:val="22"/>
        </w:rPr>
        <w:t>Ensure at the earliest opportunity that all waiting lists are appropriately reported going forward.</w:t>
      </w:r>
    </w:p>
    <w:p w14:paraId="72E33A21" w14:textId="77777777" w:rsidR="00DE3193" w:rsidRDefault="00DE3193" w:rsidP="003B1653">
      <w:pPr>
        <w:pStyle w:val="ListParagraph"/>
        <w:numPr>
          <w:ilvl w:val="0"/>
          <w:numId w:val="79"/>
        </w:numPr>
        <w:ind w:left="357" w:hanging="357"/>
        <w:rPr>
          <w:rFonts w:asciiTheme="minorHAnsi" w:hAnsiTheme="minorHAnsi"/>
          <w:szCs w:val="22"/>
        </w:rPr>
      </w:pPr>
      <w:r>
        <w:rPr>
          <w:rFonts w:asciiTheme="minorHAnsi" w:hAnsiTheme="minorHAnsi"/>
          <w:szCs w:val="22"/>
        </w:rPr>
        <w:t>Ensure the specialties affected have access to sufficient capacity to ensure that patients can be seen in a timely manner in line with RTT targets.</w:t>
      </w:r>
    </w:p>
    <w:p w14:paraId="1239F309" w14:textId="77777777" w:rsidR="00DE3193" w:rsidRDefault="00DE3193" w:rsidP="003B1653">
      <w:pPr>
        <w:pStyle w:val="ListParagraph"/>
        <w:numPr>
          <w:ilvl w:val="0"/>
          <w:numId w:val="79"/>
        </w:numPr>
        <w:ind w:left="357" w:hanging="357"/>
        <w:rPr>
          <w:rFonts w:asciiTheme="minorHAnsi" w:hAnsiTheme="minorHAnsi"/>
          <w:szCs w:val="22"/>
        </w:rPr>
      </w:pPr>
      <w:r>
        <w:rPr>
          <w:rFonts w:asciiTheme="minorHAnsi" w:hAnsiTheme="minorHAnsi"/>
          <w:szCs w:val="22"/>
        </w:rPr>
        <w:t xml:space="preserve">Establish what systems, processes and governance arrangements need to be in place to prevent situations like this occurring again. </w:t>
      </w:r>
    </w:p>
    <w:p w14:paraId="542D5B3D" w14:textId="77777777" w:rsidR="00DE3193" w:rsidRPr="007E5499" w:rsidRDefault="00DE3193" w:rsidP="00DE3193">
      <w:pPr>
        <w:pStyle w:val="ListParagraph"/>
        <w:rPr>
          <w:rFonts w:asciiTheme="minorHAnsi" w:hAnsiTheme="minorHAnsi"/>
          <w:szCs w:val="22"/>
        </w:rPr>
      </w:pPr>
    </w:p>
    <w:p w14:paraId="6B120B20" w14:textId="77777777" w:rsidR="00DE3193" w:rsidRDefault="00DE3193" w:rsidP="00DE3193">
      <w:pPr>
        <w:rPr>
          <w:rFonts w:asciiTheme="minorHAnsi" w:hAnsiTheme="minorHAnsi"/>
        </w:rPr>
      </w:pPr>
      <w:r>
        <w:rPr>
          <w:rFonts w:asciiTheme="minorHAnsi" w:hAnsiTheme="minorHAnsi"/>
        </w:rPr>
        <w:t xml:space="preserve">A summary of the key elements of the work programme is detailed below: </w:t>
      </w:r>
    </w:p>
    <w:p w14:paraId="2E41ADE8" w14:textId="77777777" w:rsidR="00DE3193" w:rsidRDefault="00DE3193" w:rsidP="003B1653">
      <w:pPr>
        <w:numPr>
          <w:ilvl w:val="0"/>
          <w:numId w:val="43"/>
        </w:numPr>
      </w:pPr>
      <w:r>
        <w:t xml:space="preserve">Breast Services – The project to centralise breast services was completed in 2017/18 and all clinics and surgery is now undertaken at the Royal Glamorgan Hospital. A preferred option has been identified for the future provision of breast services that would co-locate outpatient and imaging services enabling improved patient flow, enhanced facilities for training, enhanced patient experience and improved environment for patients and staff. The focus for 2020/21, linked to the wider RGH developments, will be continue to plan for the dedicated state of the art Breast Centre on the RGH site, supported with money raised by the Giving to Pink campaign, as part of the wider programme of planned service changes for the RGH site. </w:t>
      </w:r>
    </w:p>
    <w:p w14:paraId="28B96AAF" w14:textId="77777777" w:rsidR="00DE3193" w:rsidRDefault="00DE3193" w:rsidP="003B1653">
      <w:pPr>
        <w:numPr>
          <w:ilvl w:val="0"/>
          <w:numId w:val="43"/>
        </w:numPr>
      </w:pPr>
      <w:r>
        <w:t>Cancer – During 2017/18 the Health Board established a formal Early Cancer Diagnosis Programme which focuses on improving survival outcomes for our local population. The key elements of the programme which continue in to 2020/21 include:</w:t>
      </w:r>
    </w:p>
    <w:p w14:paraId="6C3E8766" w14:textId="77777777" w:rsidR="00DE3193" w:rsidRDefault="00DE3193" w:rsidP="003B1653">
      <w:pPr>
        <w:numPr>
          <w:ilvl w:val="1"/>
          <w:numId w:val="43"/>
        </w:numPr>
      </w:pPr>
      <w:r>
        <w:t xml:space="preserve">Embedding and evolving the Rapid Diagnostic Clinic as a mainstream service following a successful two year pilot phase.  </w:t>
      </w:r>
    </w:p>
    <w:p w14:paraId="35DD4D5D" w14:textId="77777777" w:rsidR="00DE3193" w:rsidRDefault="00DE3193" w:rsidP="003B1653">
      <w:pPr>
        <w:numPr>
          <w:ilvl w:val="1"/>
          <w:numId w:val="43"/>
        </w:numPr>
      </w:pPr>
      <w:r>
        <w:t xml:space="preserve">Public awareness – A programme of community engagement to address barriers to early presentation of cancer, recognising the culture within our local communities in relation to cancer presentation. </w:t>
      </w:r>
    </w:p>
    <w:p w14:paraId="05EDC5A0" w14:textId="77777777" w:rsidR="00DE3193" w:rsidRDefault="00DE3193" w:rsidP="003B1653">
      <w:pPr>
        <w:numPr>
          <w:ilvl w:val="1"/>
          <w:numId w:val="43"/>
        </w:numPr>
      </w:pPr>
      <w:r>
        <w:t xml:space="preserve">Increasing and strengthening diagnostic capacity to facilitate the delivery of the Single Cancer Pathway. Developing expertise and increasing resource to deliver national optimal pathways. </w:t>
      </w:r>
    </w:p>
    <w:p w14:paraId="0DC340A1" w14:textId="77777777" w:rsidR="00DE3193" w:rsidRPr="009C6233" w:rsidRDefault="00DE3193" w:rsidP="003B1653">
      <w:pPr>
        <w:pStyle w:val="NormaBulletIndent"/>
        <w:numPr>
          <w:ilvl w:val="0"/>
          <w:numId w:val="44"/>
        </w:numPr>
        <w:ind w:left="426" w:hanging="426"/>
        <w:rPr>
          <w:szCs w:val="22"/>
        </w:rPr>
      </w:pPr>
      <w:r w:rsidRPr="00FE1BBB">
        <w:rPr>
          <w:szCs w:val="22"/>
        </w:rPr>
        <w:t xml:space="preserve">Theatres – development of a dedicated day surgery unit on the RGH site; standardise Pre-Operative Assessment Screening Service. </w:t>
      </w:r>
    </w:p>
    <w:p w14:paraId="16930821" w14:textId="77777777" w:rsidR="00DE3193" w:rsidRPr="009C6233" w:rsidRDefault="00DE3193" w:rsidP="003B1653">
      <w:pPr>
        <w:pStyle w:val="NormaBulletIndent"/>
        <w:numPr>
          <w:ilvl w:val="0"/>
          <w:numId w:val="44"/>
        </w:numPr>
        <w:ind w:left="426" w:hanging="426"/>
        <w:rPr>
          <w:szCs w:val="22"/>
        </w:rPr>
      </w:pPr>
      <w:r w:rsidRPr="009F55A5">
        <w:rPr>
          <w:szCs w:val="22"/>
        </w:rPr>
        <w:t>Outpatient Improvement - reduction in outpatient DNA rates from improved text and remind coverage; improved delayed Follow Up Not Booked Position with particular focus on clinical risk</w:t>
      </w:r>
      <w:r>
        <w:rPr>
          <w:szCs w:val="22"/>
        </w:rPr>
        <w:t>; work collaboratively across Health Boards to explore predictive modelling options to minimise DNAs and cancellations; explore the potential to introduce new technology approaches to deliver outpatient services closer to patient’s homes and communities.</w:t>
      </w:r>
    </w:p>
    <w:p w14:paraId="21AB90D7" w14:textId="77777777" w:rsidR="00DE3193" w:rsidRPr="009C6233" w:rsidRDefault="00DE3193" w:rsidP="003B1653">
      <w:pPr>
        <w:pStyle w:val="NormaBulletIndent"/>
        <w:numPr>
          <w:ilvl w:val="0"/>
          <w:numId w:val="44"/>
        </w:numPr>
        <w:ind w:left="426" w:hanging="426"/>
        <w:rPr>
          <w:szCs w:val="22"/>
        </w:rPr>
      </w:pPr>
      <w:r w:rsidRPr="007F3C76">
        <w:rPr>
          <w:szCs w:val="22"/>
        </w:rPr>
        <w:t xml:space="preserve">Develop and implement expansion of current Glaucoma team in Princess of Wales Hospital to enable provision of services that meet the new eye care measure as part of the national planned care work. </w:t>
      </w:r>
    </w:p>
    <w:p w14:paraId="4DE03A15" w14:textId="77777777" w:rsidR="00DE3193" w:rsidRPr="009C6233" w:rsidRDefault="00DE3193" w:rsidP="003B1653">
      <w:pPr>
        <w:pStyle w:val="NormaBulletIndent"/>
        <w:numPr>
          <w:ilvl w:val="0"/>
          <w:numId w:val="44"/>
        </w:numPr>
        <w:ind w:left="426" w:hanging="426"/>
        <w:rPr>
          <w:szCs w:val="22"/>
        </w:rPr>
      </w:pPr>
      <w:r w:rsidRPr="00F6140B">
        <w:rPr>
          <w:szCs w:val="22"/>
        </w:rPr>
        <w:lastRenderedPageBreak/>
        <w:t xml:space="preserve">Development of a nutrition team in Princess of Wales to provide support for patients in accordance with NICE recommendations for patients who require nutritional support to be managed by a dedicated multidisciplinary nutrition team. </w:t>
      </w:r>
    </w:p>
    <w:p w14:paraId="2E211764" w14:textId="77777777" w:rsidR="00DE3193" w:rsidRPr="009C6233" w:rsidRDefault="00DE3193" w:rsidP="003B1653">
      <w:pPr>
        <w:pStyle w:val="NormaBulletIndent"/>
        <w:numPr>
          <w:ilvl w:val="0"/>
          <w:numId w:val="44"/>
        </w:numPr>
        <w:ind w:left="426" w:hanging="426"/>
        <w:rPr>
          <w:szCs w:val="22"/>
        </w:rPr>
      </w:pPr>
      <w:r w:rsidRPr="00F6140B">
        <w:rPr>
          <w:szCs w:val="22"/>
        </w:rPr>
        <w:t xml:space="preserve">Develop a sustainable Heart Failure Team </w:t>
      </w:r>
      <w:r>
        <w:rPr>
          <w:szCs w:val="22"/>
        </w:rPr>
        <w:t>across the Health Board.</w:t>
      </w:r>
    </w:p>
    <w:p w14:paraId="468B100C" w14:textId="77777777" w:rsidR="00DE3193" w:rsidRPr="009C6233" w:rsidRDefault="00DE3193" w:rsidP="003B1653">
      <w:pPr>
        <w:pStyle w:val="NormaBulletIndent"/>
        <w:numPr>
          <w:ilvl w:val="0"/>
          <w:numId w:val="44"/>
        </w:numPr>
        <w:ind w:left="426" w:hanging="426"/>
        <w:rPr>
          <w:szCs w:val="22"/>
        </w:rPr>
      </w:pPr>
      <w:r w:rsidRPr="00F6140B">
        <w:rPr>
          <w:szCs w:val="22"/>
        </w:rPr>
        <w:t>Implementation of a sustainable cardiology service in Princess of Wales.  The service currently delivers all treatment and diagnostic services within RTT targets however performance is maintained with consultants working more than 10 sessions and some additional WLI activity.</w:t>
      </w:r>
    </w:p>
    <w:p w14:paraId="5FF38974" w14:textId="77777777" w:rsidR="00DE3193" w:rsidRDefault="00DE3193" w:rsidP="003B1653">
      <w:pPr>
        <w:pStyle w:val="NormaBulletIndent"/>
        <w:numPr>
          <w:ilvl w:val="0"/>
          <w:numId w:val="44"/>
        </w:numPr>
        <w:ind w:left="426" w:hanging="426"/>
        <w:rPr>
          <w:szCs w:val="22"/>
        </w:rPr>
      </w:pPr>
      <w:r w:rsidRPr="00F6140B">
        <w:rPr>
          <w:szCs w:val="22"/>
        </w:rPr>
        <w:t>Develop a sustainable ITU Consultant workforce in Princess of Wales to improve quality,</w:t>
      </w:r>
      <w:r>
        <w:rPr>
          <w:szCs w:val="22"/>
        </w:rPr>
        <w:t xml:space="preserve"> safety and patient experience.</w:t>
      </w:r>
    </w:p>
    <w:p w14:paraId="1CED12F7" w14:textId="77777777" w:rsidR="00DE3193" w:rsidRPr="008152EE" w:rsidRDefault="00DE3193" w:rsidP="003B1653">
      <w:pPr>
        <w:pStyle w:val="NormaBulletIndent"/>
        <w:numPr>
          <w:ilvl w:val="0"/>
          <w:numId w:val="44"/>
        </w:numPr>
        <w:ind w:left="426" w:hanging="426"/>
        <w:rPr>
          <w:szCs w:val="22"/>
        </w:rPr>
      </w:pPr>
      <w:r w:rsidRPr="008152EE">
        <w:rPr>
          <w:szCs w:val="22"/>
        </w:rPr>
        <w:t>Maintain the endoscopy service at P</w:t>
      </w:r>
      <w:r>
        <w:rPr>
          <w:szCs w:val="22"/>
        </w:rPr>
        <w:t xml:space="preserve">rince </w:t>
      </w:r>
      <w:r w:rsidRPr="008152EE">
        <w:rPr>
          <w:szCs w:val="22"/>
        </w:rPr>
        <w:t>C</w:t>
      </w:r>
      <w:r>
        <w:rPr>
          <w:szCs w:val="22"/>
        </w:rPr>
        <w:t xml:space="preserve">harles </w:t>
      </w:r>
      <w:r w:rsidRPr="008152EE">
        <w:rPr>
          <w:szCs w:val="22"/>
        </w:rPr>
        <w:t>H</w:t>
      </w:r>
      <w:r>
        <w:rPr>
          <w:szCs w:val="22"/>
        </w:rPr>
        <w:t>ospital</w:t>
      </w:r>
      <w:r w:rsidRPr="008152EE">
        <w:rPr>
          <w:szCs w:val="22"/>
        </w:rPr>
        <w:t xml:space="preserve"> and expand the endoscopy services in R</w:t>
      </w:r>
      <w:r>
        <w:rPr>
          <w:szCs w:val="22"/>
        </w:rPr>
        <w:t xml:space="preserve">oyal </w:t>
      </w:r>
      <w:r w:rsidRPr="008152EE">
        <w:rPr>
          <w:szCs w:val="22"/>
        </w:rPr>
        <w:t>G</w:t>
      </w:r>
      <w:r>
        <w:rPr>
          <w:szCs w:val="22"/>
        </w:rPr>
        <w:t xml:space="preserve">lamorgan </w:t>
      </w:r>
      <w:r w:rsidRPr="008152EE">
        <w:rPr>
          <w:szCs w:val="22"/>
        </w:rPr>
        <w:t>H</w:t>
      </w:r>
      <w:r>
        <w:rPr>
          <w:szCs w:val="22"/>
        </w:rPr>
        <w:t>ospital</w:t>
      </w:r>
      <w:r w:rsidRPr="008152EE">
        <w:rPr>
          <w:szCs w:val="22"/>
        </w:rPr>
        <w:t>, as part of the interim plan, leading to the longer term Phase 2 development of the Diagnostic Hub and achieving JAG accreditation.</w:t>
      </w:r>
    </w:p>
    <w:p w14:paraId="4DFD4FD1" w14:textId="77777777" w:rsidR="00DE3193" w:rsidRDefault="00DE3193" w:rsidP="003B1653">
      <w:pPr>
        <w:pStyle w:val="NormaBulletIndent"/>
        <w:numPr>
          <w:ilvl w:val="0"/>
          <w:numId w:val="44"/>
        </w:numPr>
        <w:ind w:left="426" w:hanging="426"/>
        <w:rPr>
          <w:szCs w:val="22"/>
        </w:rPr>
      </w:pPr>
      <w:r w:rsidRPr="001A2A19">
        <w:rPr>
          <w:szCs w:val="22"/>
        </w:rPr>
        <w:t xml:space="preserve">Develop organisational frailty </w:t>
      </w:r>
      <w:r>
        <w:rPr>
          <w:szCs w:val="22"/>
        </w:rPr>
        <w:t xml:space="preserve">and orthogeriatrician </w:t>
      </w:r>
      <w:r w:rsidRPr="001A2A19">
        <w:rPr>
          <w:szCs w:val="22"/>
        </w:rPr>
        <w:t xml:space="preserve">model </w:t>
      </w:r>
      <w:r>
        <w:rPr>
          <w:szCs w:val="22"/>
        </w:rPr>
        <w:t>across the Health Board.</w:t>
      </w:r>
    </w:p>
    <w:p w14:paraId="09EBE6B6" w14:textId="77777777" w:rsidR="00DE3193" w:rsidRDefault="00DE3193" w:rsidP="003B1653">
      <w:pPr>
        <w:pStyle w:val="NormaBulletIndent"/>
        <w:numPr>
          <w:ilvl w:val="0"/>
          <w:numId w:val="44"/>
        </w:numPr>
        <w:ind w:left="426" w:hanging="426"/>
        <w:rPr>
          <w:szCs w:val="22"/>
        </w:rPr>
      </w:pPr>
      <w:r>
        <w:rPr>
          <w:szCs w:val="22"/>
        </w:rPr>
        <w:t xml:space="preserve">Development of </w:t>
      </w:r>
      <w:r w:rsidRPr="00C454CE">
        <w:rPr>
          <w:szCs w:val="22"/>
        </w:rPr>
        <w:t>dedicated ring fenced acute NIV service on the acute sites to deliver timely, safe and effective care to patients whilst acknowledging the prospective remodelling in line with the South Wales Plan</w:t>
      </w:r>
      <w:r>
        <w:rPr>
          <w:szCs w:val="22"/>
        </w:rPr>
        <w:t>.</w:t>
      </w:r>
    </w:p>
    <w:p w14:paraId="39FE892B" w14:textId="77777777" w:rsidR="00DE3193" w:rsidRPr="00ED7EBE" w:rsidRDefault="00DE3193" w:rsidP="003B1653">
      <w:pPr>
        <w:pStyle w:val="NormaBulletIndent"/>
        <w:numPr>
          <w:ilvl w:val="0"/>
          <w:numId w:val="44"/>
        </w:numPr>
        <w:ind w:left="426" w:hanging="426"/>
        <w:rPr>
          <w:szCs w:val="22"/>
        </w:rPr>
      </w:pPr>
      <w:r w:rsidRPr="008A1BD3">
        <w:rPr>
          <w:rFonts w:asciiTheme="minorHAnsi" w:hAnsiTheme="minorHAnsi"/>
          <w:bCs/>
        </w:rPr>
        <w:t>Develop enhanced neurophysiology services for the local population.</w:t>
      </w:r>
    </w:p>
    <w:p w14:paraId="74E1012C" w14:textId="77777777" w:rsidR="00DE3193" w:rsidRDefault="00DE3193" w:rsidP="003B1653">
      <w:pPr>
        <w:pStyle w:val="NormaBulletIndent"/>
        <w:numPr>
          <w:ilvl w:val="0"/>
          <w:numId w:val="44"/>
        </w:numPr>
        <w:ind w:left="426" w:hanging="426"/>
        <w:rPr>
          <w:szCs w:val="22"/>
        </w:rPr>
      </w:pPr>
      <w:r w:rsidRPr="00ED7EBE">
        <w:rPr>
          <w:szCs w:val="22"/>
        </w:rPr>
        <w:t>Gastroenterology – roll out of an out of hours 24/</w:t>
      </w:r>
      <w:proofErr w:type="gramStart"/>
      <w:r w:rsidRPr="00ED7EBE">
        <w:rPr>
          <w:szCs w:val="22"/>
        </w:rPr>
        <w:t>7  upper</w:t>
      </w:r>
      <w:proofErr w:type="gramEnd"/>
      <w:r w:rsidRPr="00ED7EBE">
        <w:rPr>
          <w:szCs w:val="22"/>
        </w:rPr>
        <w:t xml:space="preserve"> GI Bleed Roster (currently 12 hours a day)</w:t>
      </w:r>
      <w:r>
        <w:rPr>
          <w:szCs w:val="22"/>
        </w:rPr>
        <w:t>.</w:t>
      </w:r>
    </w:p>
    <w:p w14:paraId="76F6EAEB" w14:textId="77777777" w:rsidR="00DE3193" w:rsidRDefault="00DE3193" w:rsidP="003B1653">
      <w:pPr>
        <w:pStyle w:val="NormaBulletIndent"/>
        <w:numPr>
          <w:ilvl w:val="0"/>
          <w:numId w:val="44"/>
        </w:numPr>
        <w:ind w:left="426" w:hanging="426"/>
        <w:rPr>
          <w:szCs w:val="22"/>
        </w:rPr>
      </w:pPr>
      <w:r w:rsidRPr="009F059C">
        <w:rPr>
          <w:szCs w:val="22"/>
        </w:rPr>
        <w:t>Progress on Improved Criti</w:t>
      </w:r>
      <w:r>
        <w:rPr>
          <w:szCs w:val="22"/>
        </w:rPr>
        <w:t>c</w:t>
      </w:r>
      <w:r w:rsidRPr="009F059C">
        <w:rPr>
          <w:szCs w:val="22"/>
        </w:rPr>
        <w:t xml:space="preserve">al </w:t>
      </w:r>
      <w:r>
        <w:rPr>
          <w:szCs w:val="22"/>
        </w:rPr>
        <w:t>C</w:t>
      </w:r>
      <w:r w:rsidRPr="009F059C">
        <w:rPr>
          <w:szCs w:val="22"/>
        </w:rPr>
        <w:t>are infrastructure in preparation for organisational changes</w:t>
      </w:r>
      <w:r>
        <w:rPr>
          <w:szCs w:val="22"/>
        </w:rPr>
        <w:t xml:space="preserve">, </w:t>
      </w:r>
      <w:r w:rsidRPr="009F059C">
        <w:rPr>
          <w:szCs w:val="22"/>
        </w:rPr>
        <w:t>changes in demand anticipated</w:t>
      </w:r>
      <w:r>
        <w:rPr>
          <w:szCs w:val="22"/>
        </w:rPr>
        <w:t xml:space="preserve"> and to meet the Critical Care Network quality standards. </w:t>
      </w:r>
    </w:p>
    <w:p w14:paraId="799F35F9" w14:textId="77777777" w:rsidR="00DE3193" w:rsidRDefault="00DE3193" w:rsidP="003B1653">
      <w:pPr>
        <w:pStyle w:val="NormaBulletIndent"/>
        <w:numPr>
          <w:ilvl w:val="0"/>
          <w:numId w:val="44"/>
        </w:numPr>
        <w:ind w:left="426" w:hanging="426"/>
        <w:rPr>
          <w:szCs w:val="22"/>
        </w:rPr>
      </w:pPr>
      <w:r>
        <w:rPr>
          <w:szCs w:val="22"/>
        </w:rPr>
        <w:t>Progress on the plans to deliver a central decontamination unit on Princess of Wales site that maintains JAG accreditation.</w:t>
      </w:r>
    </w:p>
    <w:p w14:paraId="6BE6945B" w14:textId="77777777" w:rsidR="00DE3193" w:rsidRDefault="00DE3193" w:rsidP="003B1653">
      <w:pPr>
        <w:pStyle w:val="NormaBulletIndent"/>
        <w:numPr>
          <w:ilvl w:val="0"/>
          <w:numId w:val="44"/>
        </w:numPr>
        <w:ind w:left="426" w:hanging="426"/>
        <w:rPr>
          <w:szCs w:val="22"/>
        </w:rPr>
      </w:pPr>
      <w:r>
        <w:rPr>
          <w:szCs w:val="22"/>
        </w:rPr>
        <w:t>Establish tracheotomy specialist nurse.</w:t>
      </w:r>
    </w:p>
    <w:p w14:paraId="07D64D7D" w14:textId="77777777" w:rsidR="00DE3193" w:rsidRPr="002A24C7" w:rsidRDefault="00DE3193" w:rsidP="003B1653">
      <w:pPr>
        <w:pStyle w:val="NormaBulletIndent"/>
        <w:numPr>
          <w:ilvl w:val="0"/>
          <w:numId w:val="44"/>
        </w:numPr>
        <w:ind w:left="426" w:hanging="426"/>
        <w:rPr>
          <w:szCs w:val="22"/>
        </w:rPr>
      </w:pPr>
      <w:r>
        <w:rPr>
          <w:szCs w:val="22"/>
        </w:rPr>
        <w:t xml:space="preserve">Re-design of Chronic Pain service across the Health Board to provide additional capacity to meet RTT targets and to be able to provide a high quality service and address inequity of access across the Health Board. </w:t>
      </w:r>
    </w:p>
    <w:p w14:paraId="43677393" w14:textId="77777777" w:rsidR="00DE3193" w:rsidRPr="009C6233" w:rsidRDefault="00DE3193" w:rsidP="003B1653">
      <w:pPr>
        <w:pStyle w:val="NormaBulletIndent"/>
        <w:numPr>
          <w:ilvl w:val="0"/>
          <w:numId w:val="44"/>
        </w:numPr>
        <w:ind w:left="426" w:hanging="426"/>
        <w:rPr>
          <w:szCs w:val="22"/>
        </w:rPr>
      </w:pPr>
      <w:r>
        <w:rPr>
          <w:szCs w:val="22"/>
        </w:rPr>
        <w:t xml:space="preserve">Re-design of elective/emergency Trauma &amp; Orthopaedic Service to provide timely trauma surgery and reduce cancellations of elective surgery due to the impact of trauma, including the provision of E-PROMS as a key enabler to increase the provision of virtual follow up appointments. </w:t>
      </w:r>
    </w:p>
    <w:p w14:paraId="72C9ACF6" w14:textId="77777777" w:rsidR="00DE3193" w:rsidRPr="00F64708" w:rsidRDefault="00DE3193" w:rsidP="003B1653">
      <w:pPr>
        <w:pStyle w:val="NormaBulletIndent"/>
        <w:numPr>
          <w:ilvl w:val="0"/>
          <w:numId w:val="44"/>
        </w:numPr>
        <w:ind w:left="426" w:hanging="426"/>
        <w:rPr>
          <w:szCs w:val="22"/>
        </w:rPr>
      </w:pPr>
      <w:r>
        <w:rPr>
          <w:szCs w:val="22"/>
        </w:rPr>
        <w:t xml:space="preserve">Develop a sustainable Urology workforce model across the Health Board to improve quality, safety and patient experience. </w:t>
      </w:r>
      <w:r w:rsidRPr="00F64708">
        <w:rPr>
          <w:szCs w:val="22"/>
        </w:rPr>
        <w:tab/>
      </w:r>
      <w:r w:rsidRPr="00F64708">
        <w:rPr>
          <w:szCs w:val="22"/>
        </w:rPr>
        <w:tab/>
      </w:r>
      <w:r w:rsidRPr="00F64708">
        <w:rPr>
          <w:szCs w:val="22"/>
        </w:rPr>
        <w:tab/>
      </w:r>
    </w:p>
    <w:p w14:paraId="3DFD3C0C" w14:textId="77777777" w:rsidR="00DE3193" w:rsidRDefault="00DE3193" w:rsidP="003B1653">
      <w:pPr>
        <w:pStyle w:val="NormaBulletIndent"/>
        <w:numPr>
          <w:ilvl w:val="0"/>
          <w:numId w:val="44"/>
        </w:numPr>
        <w:ind w:left="426" w:hanging="426"/>
        <w:rPr>
          <w:szCs w:val="22"/>
        </w:rPr>
      </w:pPr>
      <w:r>
        <w:rPr>
          <w:szCs w:val="22"/>
        </w:rPr>
        <w:t xml:space="preserve">Undertake clinical review of Ophthalmology services across the Health Board and implement a service model that will provide patients with equitable access to a safe, effective and sustainable service. </w:t>
      </w:r>
    </w:p>
    <w:p w14:paraId="36F57ABE" w14:textId="77777777" w:rsidR="00DE3193" w:rsidRPr="009C6233" w:rsidRDefault="00DE3193" w:rsidP="003B1653">
      <w:pPr>
        <w:pStyle w:val="NormaBulletIndent"/>
        <w:numPr>
          <w:ilvl w:val="0"/>
          <w:numId w:val="44"/>
        </w:numPr>
        <w:ind w:left="426" w:hanging="426"/>
        <w:rPr>
          <w:szCs w:val="22"/>
        </w:rPr>
      </w:pPr>
      <w:r>
        <w:rPr>
          <w:szCs w:val="22"/>
        </w:rPr>
        <w:t xml:space="preserve">Undertake clinical review of Oral and Maxillo-facial (OMF) service provision and develop a sustainable service model across the Health Board that will provide patients with equitable access to a safe and effective OMF and restorative dentistry service. </w:t>
      </w:r>
    </w:p>
    <w:p w14:paraId="02729176" w14:textId="77777777" w:rsidR="00DE3193" w:rsidRDefault="00DE3193" w:rsidP="003B1653">
      <w:pPr>
        <w:pStyle w:val="NormaBulletIndent"/>
        <w:numPr>
          <w:ilvl w:val="0"/>
          <w:numId w:val="44"/>
        </w:numPr>
        <w:ind w:left="426" w:hanging="426"/>
        <w:rPr>
          <w:szCs w:val="22"/>
        </w:rPr>
      </w:pPr>
      <w:r>
        <w:rPr>
          <w:szCs w:val="22"/>
        </w:rPr>
        <w:t xml:space="preserve">Continue to work with Health Board colleagues across the region to take forward the implementation of the vascular service centralisation ensuring that the service model provides a safe and timely service for our residents. </w:t>
      </w:r>
    </w:p>
    <w:p w14:paraId="00430575" w14:textId="77777777" w:rsidR="00DE3193" w:rsidRDefault="00DE3193" w:rsidP="003B1653">
      <w:pPr>
        <w:pStyle w:val="NormaBulletIndent"/>
        <w:numPr>
          <w:ilvl w:val="0"/>
          <w:numId w:val="44"/>
        </w:numPr>
        <w:ind w:left="426" w:hanging="426"/>
        <w:rPr>
          <w:szCs w:val="22"/>
        </w:rPr>
      </w:pPr>
      <w:r>
        <w:rPr>
          <w:szCs w:val="22"/>
        </w:rPr>
        <w:t xml:space="preserve">Continue to work with Health Board colleagues across the region to take forward the development of the National Ophthalmology Electronic Patient Record, e-referral and development of regional high volume cataract facility for South East Wales. </w:t>
      </w:r>
    </w:p>
    <w:p w14:paraId="263505B7" w14:textId="77777777" w:rsidR="00DE3193" w:rsidRPr="00D335D0" w:rsidRDefault="00DE3193" w:rsidP="003B1653">
      <w:pPr>
        <w:pStyle w:val="NormaBulletIndent"/>
        <w:numPr>
          <w:ilvl w:val="0"/>
          <w:numId w:val="44"/>
        </w:numPr>
        <w:ind w:left="426" w:hanging="426"/>
        <w:rPr>
          <w:szCs w:val="22"/>
        </w:rPr>
      </w:pPr>
      <w:r>
        <w:rPr>
          <w:szCs w:val="22"/>
        </w:rPr>
        <w:t>Cochlear – development of and agreement with WHSSC on plans for provision of cochlear implant service in Princess of Wales Hospital.</w:t>
      </w:r>
    </w:p>
    <w:p w14:paraId="5B290E65" w14:textId="77777777" w:rsidR="00DE3193" w:rsidRPr="00DD0C8D" w:rsidRDefault="00DE3193" w:rsidP="00DE3193">
      <w:pPr>
        <w:pStyle w:val="NormaBulletIndent"/>
        <w:numPr>
          <w:ilvl w:val="0"/>
          <w:numId w:val="0"/>
        </w:numPr>
        <w:rPr>
          <w:szCs w:val="22"/>
        </w:rPr>
      </w:pPr>
    </w:p>
    <w:p w14:paraId="3A128A88" w14:textId="77777777" w:rsidR="00DE3193" w:rsidRPr="00DE3193" w:rsidRDefault="00DE3193" w:rsidP="00DE3193">
      <w:pPr>
        <w:rPr>
          <w:rFonts w:asciiTheme="minorHAnsi" w:hAnsiTheme="minorHAnsi"/>
          <w:b/>
        </w:rPr>
      </w:pPr>
      <w:r w:rsidRPr="00DE3193">
        <w:rPr>
          <w:rFonts w:asciiTheme="minorHAnsi" w:hAnsiTheme="minorHAnsi"/>
          <w:b/>
        </w:rPr>
        <w:t>Alignment to National Planned Care Programme</w:t>
      </w:r>
    </w:p>
    <w:p w14:paraId="39CBEDC8" w14:textId="22BA0B33" w:rsidR="00DE3193" w:rsidRPr="00E334A5" w:rsidRDefault="00DE3193" w:rsidP="00DE3193">
      <w:pPr>
        <w:rPr>
          <w:rFonts w:asciiTheme="minorHAnsi" w:hAnsiTheme="minorHAnsi"/>
          <w:i/>
        </w:rPr>
      </w:pPr>
      <w:r w:rsidRPr="00DF7CF6">
        <w:rPr>
          <w:rFonts w:asciiTheme="minorHAnsi" w:hAnsiTheme="minorHAnsi"/>
        </w:rPr>
        <w:t xml:space="preserve">The </w:t>
      </w:r>
      <w:r w:rsidRPr="00297635">
        <w:rPr>
          <w:rFonts w:asciiTheme="minorHAnsi" w:hAnsiTheme="minorHAnsi"/>
        </w:rPr>
        <w:t>National Planned Care Programme</w:t>
      </w:r>
      <w:r w:rsidRPr="00DF7CF6">
        <w:rPr>
          <w:rFonts w:asciiTheme="minorHAnsi" w:hAnsiTheme="minorHAnsi"/>
        </w:rPr>
        <w:t xml:space="preserve"> provides a methodology for improving the delivery of planned care services in Wales.  The Programme structure provides a balanced approach to service change, based on prudent healthcare principles, which are designed to augment Health Board efficiency measures and changes to the capacity of existing health care processes.  The key priorities for improvement include:</w:t>
      </w:r>
    </w:p>
    <w:p w14:paraId="5F6DD5EA" w14:textId="77777777" w:rsidR="00DE3193" w:rsidRPr="00DF7CF6" w:rsidRDefault="00DE3193" w:rsidP="003B1653">
      <w:pPr>
        <w:numPr>
          <w:ilvl w:val="0"/>
          <w:numId w:val="43"/>
        </w:numPr>
      </w:pPr>
      <w:r w:rsidRPr="00DF7CF6">
        <w:t xml:space="preserve">Ophthalmology: Implementation of new eye care measure; increased number of patients seen by </w:t>
      </w:r>
      <w:r>
        <w:t>multi-disciplinary p</w:t>
      </w:r>
      <w:r w:rsidRPr="00DF7CF6">
        <w:t>ractitioners (optometrists, advanced nurse practitioners) where clinically appropriate</w:t>
      </w:r>
      <w:r>
        <w:t>; implementation of the cataract pathway</w:t>
      </w:r>
      <w:r w:rsidRPr="00DF7CF6">
        <w:t>.</w:t>
      </w:r>
    </w:p>
    <w:p w14:paraId="13B45E0F" w14:textId="77777777" w:rsidR="00DE3193" w:rsidRPr="00DF7CF6" w:rsidRDefault="00DE3193" w:rsidP="003B1653">
      <w:pPr>
        <w:numPr>
          <w:ilvl w:val="0"/>
          <w:numId w:val="43"/>
        </w:numPr>
      </w:pPr>
      <w:r w:rsidRPr="00DF7CF6">
        <w:t xml:space="preserve">Orthopaedics: Virtual follow up activity for hip and knee arthroplasty (PROMS). </w:t>
      </w:r>
    </w:p>
    <w:p w14:paraId="09891615" w14:textId="77777777" w:rsidR="00DE3193" w:rsidRPr="00DF7CF6" w:rsidRDefault="00DE3193" w:rsidP="003B1653">
      <w:pPr>
        <w:numPr>
          <w:ilvl w:val="0"/>
          <w:numId w:val="43"/>
        </w:numPr>
      </w:pPr>
      <w:r w:rsidRPr="00DF7CF6">
        <w:lastRenderedPageBreak/>
        <w:t>ENT: Implementation of follow up guidelines.</w:t>
      </w:r>
    </w:p>
    <w:p w14:paraId="6B20D2AE" w14:textId="77777777" w:rsidR="00DE3193" w:rsidRPr="00DF7CF6" w:rsidRDefault="00DE3193" w:rsidP="003B1653">
      <w:pPr>
        <w:numPr>
          <w:ilvl w:val="0"/>
          <w:numId w:val="43"/>
        </w:numPr>
      </w:pPr>
      <w:r w:rsidRPr="00DF7CF6">
        <w:t xml:space="preserve">Urology: </w:t>
      </w:r>
      <w:r>
        <w:t>Self-management</w:t>
      </w:r>
      <w:r w:rsidRPr="00DF7CF6">
        <w:t xml:space="preserve"> follow up of patients with prostate cancer</w:t>
      </w:r>
      <w:r>
        <w:t>; to remain in the community and to reduce unnecessary follow up appointments.</w:t>
      </w:r>
    </w:p>
    <w:p w14:paraId="653F601C" w14:textId="77777777" w:rsidR="00DE3193" w:rsidRPr="00DF7CF6" w:rsidRDefault="00DE3193" w:rsidP="003B1653">
      <w:pPr>
        <w:numPr>
          <w:ilvl w:val="0"/>
          <w:numId w:val="43"/>
        </w:numPr>
      </w:pPr>
      <w:r w:rsidRPr="00DF7CF6">
        <w:t>Dermatology: Tele-dermatology to support primary care and provide better access to specialist opinion in rural areas; roll out of low risk surgical procedures to be undertaken in primary care; appointment of clinical fellow posts.</w:t>
      </w:r>
    </w:p>
    <w:p w14:paraId="4B56F899" w14:textId="77777777" w:rsidR="00DE3193" w:rsidRDefault="00DE3193" w:rsidP="00DE3193">
      <w:pPr>
        <w:rPr>
          <w:rFonts w:asciiTheme="minorHAnsi" w:hAnsiTheme="minorHAnsi"/>
          <w:bCs/>
        </w:rPr>
      </w:pPr>
    </w:p>
    <w:p w14:paraId="628BEB08" w14:textId="77777777" w:rsidR="00DE3193" w:rsidRPr="00DF7CF6" w:rsidRDefault="00DE3193" w:rsidP="00DE3193">
      <w:pPr>
        <w:rPr>
          <w:rFonts w:asciiTheme="minorHAnsi" w:hAnsiTheme="minorHAnsi"/>
          <w:bCs/>
        </w:rPr>
      </w:pPr>
      <w:r>
        <w:rPr>
          <w:rFonts w:asciiTheme="minorHAnsi" w:hAnsiTheme="minorHAnsi"/>
          <w:bCs/>
        </w:rPr>
        <w:t xml:space="preserve">The Health Board </w:t>
      </w:r>
      <w:r w:rsidRPr="00DF7CF6">
        <w:rPr>
          <w:rFonts w:asciiTheme="minorHAnsi" w:hAnsiTheme="minorHAnsi"/>
          <w:bCs/>
        </w:rPr>
        <w:t>Planned Care Group oversees the implementation of plans arising from the National Planned Care Programme through their individual delivery groups based on the common principles of:</w:t>
      </w:r>
    </w:p>
    <w:p w14:paraId="2CC48FDD" w14:textId="77777777" w:rsidR="00DE3193" w:rsidRPr="00DF7CF6" w:rsidRDefault="00DE3193" w:rsidP="003B1653">
      <w:pPr>
        <w:numPr>
          <w:ilvl w:val="0"/>
          <w:numId w:val="43"/>
        </w:numPr>
      </w:pPr>
      <w:r w:rsidRPr="00DF7CF6">
        <w:t>Best in class.</w:t>
      </w:r>
    </w:p>
    <w:p w14:paraId="0BCFD1BA" w14:textId="77777777" w:rsidR="00DE3193" w:rsidRPr="00DF7CF6" w:rsidRDefault="00DE3193" w:rsidP="003B1653">
      <w:pPr>
        <w:numPr>
          <w:ilvl w:val="0"/>
          <w:numId w:val="43"/>
        </w:numPr>
      </w:pPr>
      <w:r w:rsidRPr="00DF7CF6">
        <w:t>Clinical value prioritisation.</w:t>
      </w:r>
    </w:p>
    <w:p w14:paraId="3EAD8824" w14:textId="77777777" w:rsidR="00DE3193" w:rsidRPr="00DF7CF6" w:rsidRDefault="00DE3193" w:rsidP="003B1653">
      <w:pPr>
        <w:numPr>
          <w:ilvl w:val="0"/>
          <w:numId w:val="43"/>
        </w:numPr>
      </w:pPr>
      <w:r w:rsidRPr="00DF7CF6">
        <w:t xml:space="preserve">Integrated Care. </w:t>
      </w:r>
    </w:p>
    <w:p w14:paraId="224C9011" w14:textId="77777777" w:rsidR="00DE3193" w:rsidRPr="00DF7CF6" w:rsidRDefault="00DE3193" w:rsidP="00DE3193">
      <w:pPr>
        <w:contextualSpacing/>
        <w:rPr>
          <w:rFonts w:asciiTheme="minorHAnsi" w:hAnsiTheme="minorHAnsi"/>
          <w:bCs/>
        </w:rPr>
      </w:pPr>
    </w:p>
    <w:p w14:paraId="6E3F9E7C" w14:textId="77777777" w:rsidR="00DE3193" w:rsidRPr="00DF7CF6" w:rsidRDefault="00DE3193" w:rsidP="00DE3193">
      <w:pPr>
        <w:rPr>
          <w:rFonts w:asciiTheme="minorHAnsi" w:hAnsiTheme="minorHAnsi"/>
        </w:rPr>
      </w:pPr>
      <w:r w:rsidRPr="00DF7CF6">
        <w:rPr>
          <w:rFonts w:asciiTheme="minorHAnsi" w:hAnsiTheme="minorHAnsi"/>
        </w:rPr>
        <w:t>Central to the Planned Care programme is finding ways of empowering patients to take greater control over their health, backed by evidence that this leads to better outcomes and lower costs.  The Health Board has continued our focus on ensuring greater involvement of patients in decision-making on their care/treatment options</w:t>
      </w:r>
      <w:r>
        <w:rPr>
          <w:rFonts w:asciiTheme="minorHAnsi" w:hAnsiTheme="minorHAnsi"/>
        </w:rPr>
        <w:t xml:space="preserve">. </w:t>
      </w:r>
    </w:p>
    <w:p w14:paraId="19AFF1BC" w14:textId="77777777" w:rsidR="00DE3193" w:rsidRPr="00DF7CF6" w:rsidRDefault="00DE3193" w:rsidP="00DE3193">
      <w:pPr>
        <w:rPr>
          <w:rFonts w:asciiTheme="minorHAnsi" w:hAnsiTheme="minorHAnsi"/>
          <w:bCs/>
        </w:rPr>
      </w:pPr>
    </w:p>
    <w:p w14:paraId="0DD9885A" w14:textId="08797198" w:rsidR="00DE3193" w:rsidRDefault="00DE3193" w:rsidP="00DE3193">
      <w:pPr>
        <w:rPr>
          <w:rFonts w:asciiTheme="minorHAnsi" w:hAnsiTheme="minorHAnsi"/>
          <w:bCs/>
        </w:rPr>
      </w:pPr>
      <w:r w:rsidRPr="00DF7CF6">
        <w:rPr>
          <w:rFonts w:asciiTheme="minorHAnsi" w:hAnsiTheme="minorHAnsi"/>
          <w:bCs/>
        </w:rPr>
        <w:t xml:space="preserve">As part of the National Planned Care Programme, the Outpatient Transformation Steering Group, chaired by the Cwm Taf </w:t>
      </w:r>
      <w:r>
        <w:rPr>
          <w:rFonts w:asciiTheme="minorHAnsi" w:hAnsiTheme="minorHAnsi"/>
          <w:bCs/>
        </w:rPr>
        <w:t xml:space="preserve">Morgannwg </w:t>
      </w:r>
      <w:r w:rsidRPr="00DF7CF6">
        <w:rPr>
          <w:rFonts w:asciiTheme="minorHAnsi" w:hAnsiTheme="minorHAnsi"/>
          <w:bCs/>
        </w:rPr>
        <w:t>Health Board Chief Operating Officer, continues to provide a mechanism to take forward the outpatient transformation agenda across NHS Wales on a collaborative basis.</w:t>
      </w:r>
      <w:r>
        <w:rPr>
          <w:rFonts w:asciiTheme="minorHAnsi" w:hAnsiTheme="minorHAnsi"/>
          <w:bCs/>
        </w:rPr>
        <w:t xml:space="preserve"> </w:t>
      </w:r>
      <w:r w:rsidRPr="00DF7CF6">
        <w:rPr>
          <w:rFonts w:asciiTheme="minorHAnsi" w:hAnsiTheme="minorHAnsi"/>
          <w:bCs/>
        </w:rPr>
        <w:t>Areas of focus identified by the Steering Group include virtual clinics, hospital initiated cancellations, referral criteria, and Follow-Up Not Booked.  The latter is within the context of the Wales Audit Office report on the Management of Follow-Up Outpatients across Wales (October 2018)</w:t>
      </w:r>
      <w:r>
        <w:rPr>
          <w:rFonts w:asciiTheme="minorHAnsi" w:hAnsiTheme="minorHAnsi"/>
          <w:bCs/>
        </w:rPr>
        <w:t xml:space="preserve"> to reduce follow ups particularly in urology, ophthalmology, ENT and orthopaedics</w:t>
      </w:r>
      <w:r w:rsidRPr="00DF7CF6">
        <w:rPr>
          <w:rFonts w:asciiTheme="minorHAnsi" w:hAnsiTheme="minorHAnsi"/>
          <w:bCs/>
        </w:rPr>
        <w:t>.</w:t>
      </w:r>
      <w:r>
        <w:rPr>
          <w:rFonts w:asciiTheme="minorHAnsi" w:hAnsiTheme="minorHAnsi"/>
          <w:bCs/>
        </w:rPr>
        <w:t xml:space="preserve"> </w:t>
      </w:r>
      <w:r w:rsidRPr="00DF7CF6">
        <w:rPr>
          <w:rFonts w:asciiTheme="minorHAnsi" w:hAnsiTheme="minorHAnsi"/>
          <w:bCs/>
        </w:rPr>
        <w:t>The Health Board’s Planned Care Group will oversee the implementation of the associated work programme during 20</w:t>
      </w:r>
      <w:r>
        <w:rPr>
          <w:rFonts w:asciiTheme="minorHAnsi" w:hAnsiTheme="minorHAnsi"/>
          <w:bCs/>
        </w:rPr>
        <w:t>20</w:t>
      </w:r>
      <w:r w:rsidRPr="00DF7CF6">
        <w:rPr>
          <w:rFonts w:asciiTheme="minorHAnsi" w:hAnsiTheme="minorHAnsi"/>
          <w:bCs/>
        </w:rPr>
        <w:t>/2</w:t>
      </w:r>
      <w:r>
        <w:rPr>
          <w:rFonts w:asciiTheme="minorHAnsi" w:hAnsiTheme="minorHAnsi"/>
          <w:bCs/>
        </w:rPr>
        <w:t>1</w:t>
      </w:r>
      <w:r w:rsidRPr="00DF7CF6">
        <w:rPr>
          <w:rFonts w:asciiTheme="minorHAnsi" w:hAnsiTheme="minorHAnsi"/>
          <w:bCs/>
        </w:rPr>
        <w:t>.</w:t>
      </w:r>
    </w:p>
    <w:p w14:paraId="6D508A02" w14:textId="6FD996EF" w:rsidR="00DE3193" w:rsidRPr="005913B0" w:rsidRDefault="00DE3193" w:rsidP="00DE3193">
      <w:pPr>
        <w:rPr>
          <w:rFonts w:asciiTheme="minorHAnsi" w:hAnsiTheme="minorHAnsi"/>
          <w:b/>
          <w:bCs/>
        </w:rPr>
      </w:pPr>
    </w:p>
    <w:p w14:paraId="45CB5A19" w14:textId="66DD7344" w:rsidR="00DE3193" w:rsidRPr="005913B0" w:rsidRDefault="00DE3193" w:rsidP="00DE3193">
      <w:pPr>
        <w:rPr>
          <w:rFonts w:asciiTheme="minorHAnsi" w:hAnsiTheme="minorHAnsi"/>
          <w:b/>
          <w:bCs/>
        </w:rPr>
      </w:pPr>
      <w:r w:rsidRPr="005913B0">
        <w:rPr>
          <w:rFonts w:asciiTheme="minorHAnsi" w:hAnsiTheme="minorHAnsi"/>
          <w:b/>
          <w:bCs/>
          <w:noProof/>
        </w:rPr>
        <mc:AlternateContent>
          <mc:Choice Requires="wps">
            <w:drawing>
              <wp:anchor distT="0" distB="0" distL="114300" distR="114300" simplePos="0" relativeHeight="252828672" behindDoc="1" locked="0" layoutInCell="1" allowOverlap="1" wp14:anchorId="449633AF" wp14:editId="7050EBF4">
                <wp:simplePos x="0" y="0"/>
                <wp:positionH relativeFrom="margin">
                  <wp:posOffset>-95250</wp:posOffset>
                </wp:positionH>
                <wp:positionV relativeFrom="paragraph">
                  <wp:posOffset>83397</wp:posOffset>
                </wp:positionV>
                <wp:extent cx="6730788" cy="696685"/>
                <wp:effectExtent l="0" t="38100" r="32385" b="65405"/>
                <wp:wrapNone/>
                <wp:docPr id="448" name="Right Arrow 448"/>
                <wp:cNvGraphicFramePr/>
                <a:graphic xmlns:a="http://schemas.openxmlformats.org/drawingml/2006/main">
                  <a:graphicData uri="http://schemas.microsoft.com/office/word/2010/wordprocessingShape">
                    <wps:wsp>
                      <wps:cNvSpPr/>
                      <wps:spPr>
                        <a:xfrm>
                          <a:off x="0" y="0"/>
                          <a:ext cx="6730788" cy="696685"/>
                        </a:xfrm>
                        <a:prstGeom prst="rightArrow">
                          <a:avLst>
                            <a:gd name="adj1" fmla="val 50000"/>
                            <a:gd name="adj2" fmla="val 29881"/>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7AAEAE" id="Right Arrow 448" o:spid="_x0000_s1026" type="#_x0000_t13" style="position:absolute;margin-left:-7.5pt;margin-top:6.55pt;width:530pt;height:54.85pt;z-index:-2504878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" adj="20932" fillcolor="#eaf1dd [662]" strokecolor="#76923c [2406]" strokeweight="2pt">
                <w10:wrap anchorx="margin"/>
              </v:shape>
            </w:pict>
          </mc:Fallback>
        </mc:AlternateContent>
      </w:r>
      <w:r w:rsidRPr="005913B0">
        <w:rPr>
          <w:rFonts w:asciiTheme="minorHAnsi" w:hAnsiTheme="minorHAnsi"/>
          <w:b/>
          <w:bCs/>
        </w:rPr>
        <w:t>Milestones</w:t>
      </w:r>
    </w:p>
    <w:p w14:paraId="563BB761" w14:textId="716FBE1E" w:rsidR="00DE3193" w:rsidRPr="005E3836" w:rsidRDefault="00DE3193" w:rsidP="00DE3193">
      <w:pPr>
        <w:rPr>
          <w:rFonts w:asciiTheme="minorHAnsi" w:hAnsiTheme="minorHAnsi"/>
          <w:bCs/>
        </w:rPr>
      </w:pPr>
    </w:p>
    <w:tbl>
      <w:tblPr>
        <w:tblStyle w:val="TableGrid"/>
        <w:tblW w:w="0" w:type="auto"/>
        <w:tblLook w:val="04A0" w:firstRow="1" w:lastRow="0" w:firstColumn="1" w:lastColumn="0" w:noHBand="0" w:noVBand="1"/>
      </w:tblPr>
      <w:tblGrid>
        <w:gridCol w:w="4531"/>
        <w:gridCol w:w="2694"/>
        <w:gridCol w:w="2743"/>
      </w:tblGrid>
      <w:tr w:rsidR="00DE3193" w14:paraId="6EE631A0" w14:textId="77777777" w:rsidTr="00DE3193">
        <w:tc>
          <w:tcPr>
            <w:tcW w:w="4531" w:type="dxa"/>
          </w:tcPr>
          <w:p w14:paraId="7C923E01" w14:textId="77777777" w:rsidR="00DE3193" w:rsidRDefault="00DE3193" w:rsidP="00AA4595">
            <w:pPr>
              <w:jc w:val="center"/>
              <w:rPr>
                <w:rFonts w:asciiTheme="minorHAnsi" w:hAnsiTheme="minorHAnsi"/>
                <w:bCs/>
              </w:rPr>
            </w:pPr>
            <w:r>
              <w:rPr>
                <w:rFonts w:asciiTheme="minorHAnsi" w:hAnsiTheme="minorHAnsi"/>
                <w:bCs/>
              </w:rPr>
              <w:t>Year 1</w:t>
            </w:r>
          </w:p>
          <w:p w14:paraId="1161A7C6" w14:textId="77777777" w:rsidR="00DE3193" w:rsidRDefault="00DE3193" w:rsidP="00AA4595">
            <w:pPr>
              <w:jc w:val="center"/>
              <w:rPr>
                <w:rFonts w:asciiTheme="minorHAnsi" w:hAnsiTheme="minorHAnsi"/>
                <w:bCs/>
              </w:rPr>
            </w:pPr>
          </w:p>
          <w:p w14:paraId="6A6E10B2" w14:textId="77777777" w:rsidR="00DE3193" w:rsidRPr="00C239CE" w:rsidRDefault="00DE3193" w:rsidP="00DE3193">
            <w:pPr>
              <w:jc w:val="left"/>
              <w:rPr>
                <w:rFonts w:asciiTheme="minorHAnsi" w:hAnsiTheme="minorHAnsi"/>
                <w:bCs/>
              </w:rPr>
            </w:pPr>
            <w:r w:rsidRPr="00C239CE">
              <w:rPr>
                <w:rFonts w:asciiTheme="minorHAnsi" w:hAnsiTheme="minorHAnsi"/>
                <w:bCs/>
              </w:rPr>
              <w:t xml:space="preserve">Q1-4 Improved DNA and FUNB position across the Health Board. </w:t>
            </w:r>
          </w:p>
          <w:p w14:paraId="1B837E98" w14:textId="77777777" w:rsidR="00DE3193" w:rsidRPr="00C239CE" w:rsidRDefault="00DE3193" w:rsidP="00DE3193">
            <w:pPr>
              <w:jc w:val="left"/>
              <w:rPr>
                <w:rFonts w:asciiTheme="minorHAnsi" w:hAnsiTheme="minorHAnsi"/>
                <w:bCs/>
              </w:rPr>
            </w:pPr>
            <w:r w:rsidRPr="00C239CE">
              <w:rPr>
                <w:rFonts w:asciiTheme="minorHAnsi" w:hAnsiTheme="minorHAnsi"/>
                <w:bCs/>
              </w:rPr>
              <w:t>Q1-4 Delivery of Single Cancer Pathway.</w:t>
            </w:r>
          </w:p>
          <w:p w14:paraId="1E9C3F59" w14:textId="77777777" w:rsidR="00DE3193" w:rsidRPr="00C239CE" w:rsidRDefault="00DE3193" w:rsidP="00DE3193">
            <w:pPr>
              <w:jc w:val="left"/>
              <w:rPr>
                <w:rFonts w:asciiTheme="minorHAnsi" w:hAnsiTheme="minorHAnsi"/>
                <w:bCs/>
              </w:rPr>
            </w:pPr>
            <w:r w:rsidRPr="00C239CE">
              <w:rPr>
                <w:rFonts w:asciiTheme="minorHAnsi" w:hAnsiTheme="minorHAnsi"/>
                <w:bCs/>
              </w:rPr>
              <w:t>Q1 development and agreement with WHSSC on sustainable Cochlear service model provision for CTM residents.</w:t>
            </w:r>
          </w:p>
          <w:p w14:paraId="6B3700A9" w14:textId="77777777" w:rsidR="00DE3193" w:rsidRPr="00C239CE" w:rsidRDefault="00DE3193" w:rsidP="00DE3193">
            <w:pPr>
              <w:jc w:val="left"/>
              <w:rPr>
                <w:rFonts w:asciiTheme="minorHAnsi" w:hAnsiTheme="minorHAnsi"/>
                <w:bCs/>
              </w:rPr>
            </w:pPr>
            <w:r w:rsidRPr="00C239CE">
              <w:rPr>
                <w:rFonts w:asciiTheme="minorHAnsi" w:hAnsiTheme="minorHAnsi"/>
                <w:bCs/>
              </w:rPr>
              <w:t xml:space="preserve">Q2 Embedding the Rapid Diagnostic Clinic as mainstream service.  </w:t>
            </w:r>
          </w:p>
          <w:p w14:paraId="4F476240" w14:textId="77777777" w:rsidR="00DE3193" w:rsidRPr="00DE3193" w:rsidRDefault="00DE3193" w:rsidP="00DE3193">
            <w:pPr>
              <w:rPr>
                <w:rFonts w:asciiTheme="minorHAnsi" w:hAnsiTheme="minorHAnsi"/>
                <w:bCs/>
              </w:rPr>
            </w:pPr>
            <w:r w:rsidRPr="00DE3193">
              <w:rPr>
                <w:rFonts w:asciiTheme="minorHAnsi" w:hAnsiTheme="minorHAnsi"/>
                <w:bCs/>
              </w:rPr>
              <w:t xml:space="preserve">Q2 development of business case for regional high volume cataract facility. </w:t>
            </w:r>
          </w:p>
          <w:p w14:paraId="009110B6" w14:textId="77777777" w:rsidR="00DE3193" w:rsidRPr="00DE3193" w:rsidRDefault="00DE3193" w:rsidP="00DE3193">
            <w:pPr>
              <w:rPr>
                <w:rFonts w:asciiTheme="minorHAnsi" w:hAnsiTheme="minorHAnsi"/>
                <w:bCs/>
              </w:rPr>
            </w:pPr>
            <w:r w:rsidRPr="00DE3193">
              <w:rPr>
                <w:rFonts w:asciiTheme="minorHAnsi" w:hAnsiTheme="minorHAnsi"/>
                <w:bCs/>
              </w:rPr>
              <w:t>Q2 have implemented the National Ophthalmology Electronic Patient Record and e-referral.</w:t>
            </w:r>
          </w:p>
          <w:p w14:paraId="583AD954" w14:textId="77777777" w:rsidR="00DE3193" w:rsidRPr="00DE3193" w:rsidRDefault="00DE3193" w:rsidP="00DE3193">
            <w:pPr>
              <w:rPr>
                <w:rFonts w:asciiTheme="minorHAnsi" w:hAnsiTheme="minorHAnsi"/>
                <w:bCs/>
              </w:rPr>
            </w:pPr>
            <w:r w:rsidRPr="00DE3193">
              <w:rPr>
                <w:rFonts w:asciiTheme="minorHAnsi" w:hAnsiTheme="minorHAnsi"/>
                <w:bCs/>
              </w:rPr>
              <w:t>Q3 Gastroenterology – roll out of an out of hours 24/</w:t>
            </w:r>
            <w:proofErr w:type="gramStart"/>
            <w:r w:rsidRPr="00DE3193">
              <w:rPr>
                <w:rFonts w:asciiTheme="minorHAnsi" w:hAnsiTheme="minorHAnsi"/>
                <w:bCs/>
              </w:rPr>
              <w:t>7  upper</w:t>
            </w:r>
            <w:proofErr w:type="gramEnd"/>
            <w:r w:rsidRPr="00DE3193">
              <w:rPr>
                <w:rFonts w:asciiTheme="minorHAnsi" w:hAnsiTheme="minorHAnsi"/>
                <w:bCs/>
              </w:rPr>
              <w:t xml:space="preserve"> GI Bleed Roster (currently 12 hours a day).</w:t>
            </w:r>
          </w:p>
          <w:p w14:paraId="64B042BB" w14:textId="77777777" w:rsidR="00DE3193" w:rsidRPr="00DE3193" w:rsidRDefault="00DE3193" w:rsidP="00DE3193">
            <w:pPr>
              <w:rPr>
                <w:rFonts w:asciiTheme="minorHAnsi" w:hAnsiTheme="minorHAnsi"/>
                <w:bCs/>
              </w:rPr>
            </w:pPr>
            <w:r w:rsidRPr="00DE3193">
              <w:rPr>
                <w:rFonts w:asciiTheme="minorHAnsi" w:hAnsiTheme="minorHAnsi"/>
                <w:bCs/>
              </w:rPr>
              <w:t xml:space="preserve">Q4 have implemented the vascular service centralisation model. </w:t>
            </w:r>
          </w:p>
          <w:p w14:paraId="1CA62108" w14:textId="77777777" w:rsidR="00DE3193" w:rsidRDefault="00DE3193" w:rsidP="00DE3193">
            <w:pPr>
              <w:rPr>
                <w:rFonts w:asciiTheme="minorHAnsi" w:hAnsiTheme="minorHAnsi"/>
                <w:bCs/>
              </w:rPr>
            </w:pPr>
            <w:r w:rsidRPr="00DE3193">
              <w:rPr>
                <w:rFonts w:asciiTheme="minorHAnsi" w:hAnsiTheme="minorHAnsi"/>
                <w:bCs/>
              </w:rPr>
              <w:t>Q4 implemented sustainable Urology workforce Model.</w:t>
            </w:r>
          </w:p>
          <w:p w14:paraId="55F8900E" w14:textId="77777777" w:rsidR="005913B0" w:rsidRPr="00D96821" w:rsidRDefault="005913B0" w:rsidP="005913B0">
            <w:pPr>
              <w:rPr>
                <w:rFonts w:asciiTheme="minorHAnsi" w:hAnsiTheme="minorHAnsi"/>
                <w:bCs/>
              </w:rPr>
            </w:pPr>
            <w:r w:rsidRPr="00D96821">
              <w:rPr>
                <w:rFonts w:asciiTheme="minorHAnsi" w:hAnsiTheme="minorHAnsi"/>
                <w:bCs/>
              </w:rPr>
              <w:t>Q4 submission of business case for the development of RGH including state of the art breast centre and dedicated day surgery unit.</w:t>
            </w:r>
          </w:p>
          <w:p w14:paraId="3BBB59B4" w14:textId="77777777" w:rsidR="005913B0" w:rsidRPr="00D96821" w:rsidRDefault="005913B0" w:rsidP="005913B0">
            <w:pPr>
              <w:rPr>
                <w:rFonts w:asciiTheme="minorHAnsi" w:hAnsiTheme="minorHAnsi"/>
                <w:bCs/>
              </w:rPr>
            </w:pPr>
            <w:r w:rsidRPr="00D96821">
              <w:rPr>
                <w:rFonts w:asciiTheme="minorHAnsi" w:hAnsiTheme="minorHAnsi"/>
                <w:bCs/>
              </w:rPr>
              <w:t>Q4 Programme of community engagement to address barriers to early presentation of cancer.</w:t>
            </w:r>
          </w:p>
          <w:p w14:paraId="1D6D2875" w14:textId="77777777" w:rsidR="005913B0" w:rsidRPr="00D96821" w:rsidRDefault="005913B0" w:rsidP="005913B0">
            <w:pPr>
              <w:rPr>
                <w:rFonts w:asciiTheme="minorHAnsi" w:hAnsiTheme="minorHAnsi"/>
                <w:bCs/>
              </w:rPr>
            </w:pPr>
            <w:r w:rsidRPr="00D96821">
              <w:rPr>
                <w:rFonts w:asciiTheme="minorHAnsi" w:hAnsiTheme="minorHAnsi"/>
                <w:bCs/>
              </w:rPr>
              <w:t>Q4 Expansion of glaucoma team in Princess of Wales Hospital to meet eye care measure requirements.</w:t>
            </w:r>
          </w:p>
          <w:p w14:paraId="7FB5D0B7" w14:textId="77777777" w:rsidR="005913B0" w:rsidRPr="00D96821" w:rsidRDefault="005913B0" w:rsidP="005913B0">
            <w:pPr>
              <w:rPr>
                <w:rFonts w:asciiTheme="minorHAnsi" w:hAnsiTheme="minorHAnsi"/>
                <w:bCs/>
              </w:rPr>
            </w:pPr>
            <w:r w:rsidRPr="00D96821">
              <w:rPr>
                <w:rFonts w:asciiTheme="minorHAnsi" w:hAnsiTheme="minorHAnsi"/>
                <w:bCs/>
              </w:rPr>
              <w:lastRenderedPageBreak/>
              <w:t xml:space="preserve">Q4 Development of nutrition team in Princess of Wales Hospital to support patients in accordance with NICE recommendations. </w:t>
            </w:r>
          </w:p>
          <w:p w14:paraId="7D14EFDE" w14:textId="77777777" w:rsidR="005913B0" w:rsidRPr="00D96821" w:rsidRDefault="005913B0" w:rsidP="005913B0">
            <w:pPr>
              <w:rPr>
                <w:rFonts w:asciiTheme="minorHAnsi" w:hAnsiTheme="minorHAnsi"/>
                <w:bCs/>
              </w:rPr>
            </w:pPr>
            <w:r w:rsidRPr="00D96821">
              <w:rPr>
                <w:rFonts w:asciiTheme="minorHAnsi" w:hAnsiTheme="minorHAnsi"/>
                <w:bCs/>
              </w:rPr>
              <w:t xml:space="preserve">Q4 Developed sustainable Heart Failure Team across the Health Board. </w:t>
            </w:r>
          </w:p>
          <w:p w14:paraId="0657905D" w14:textId="77777777" w:rsidR="005913B0" w:rsidRDefault="005913B0" w:rsidP="00DE3193">
            <w:pPr>
              <w:rPr>
                <w:rFonts w:asciiTheme="minorHAnsi" w:hAnsiTheme="minorHAnsi"/>
                <w:bCs/>
              </w:rPr>
            </w:pPr>
            <w:r w:rsidRPr="00D96821">
              <w:rPr>
                <w:rFonts w:asciiTheme="minorHAnsi" w:hAnsiTheme="minorHAnsi"/>
                <w:bCs/>
              </w:rPr>
              <w:t xml:space="preserve">Q4 Implementation of sustainable cardiology service in Princess of Wales Hospital. </w:t>
            </w:r>
          </w:p>
          <w:p w14:paraId="711DEB80" w14:textId="7AE04229" w:rsidR="005913B0" w:rsidRDefault="005913B0" w:rsidP="00DE3193">
            <w:pPr>
              <w:rPr>
                <w:rFonts w:asciiTheme="minorHAnsi" w:hAnsiTheme="minorHAnsi"/>
                <w:bCs/>
              </w:rPr>
            </w:pPr>
            <w:r w:rsidRPr="00D96821">
              <w:rPr>
                <w:rFonts w:asciiTheme="minorHAnsi" w:hAnsiTheme="minorHAnsi"/>
                <w:bCs/>
              </w:rPr>
              <w:t xml:space="preserve">Q4 Implementation of sustainable ITU Consultant workforce in Princess of Wales Hospital. </w:t>
            </w:r>
          </w:p>
        </w:tc>
        <w:tc>
          <w:tcPr>
            <w:tcW w:w="2694" w:type="dxa"/>
          </w:tcPr>
          <w:p w14:paraId="75984784" w14:textId="77777777" w:rsidR="00DE3193" w:rsidRDefault="00DE3193" w:rsidP="00AA4595">
            <w:pPr>
              <w:jc w:val="center"/>
              <w:rPr>
                <w:rFonts w:asciiTheme="minorHAnsi" w:hAnsiTheme="minorHAnsi"/>
                <w:bCs/>
              </w:rPr>
            </w:pPr>
            <w:r>
              <w:rPr>
                <w:rFonts w:asciiTheme="minorHAnsi" w:hAnsiTheme="minorHAnsi"/>
                <w:bCs/>
              </w:rPr>
              <w:lastRenderedPageBreak/>
              <w:t>Year 2</w:t>
            </w:r>
          </w:p>
          <w:p w14:paraId="6DFC86CA" w14:textId="77777777" w:rsidR="00DE3193" w:rsidRDefault="00DE3193" w:rsidP="00AA4595">
            <w:pPr>
              <w:jc w:val="center"/>
              <w:rPr>
                <w:rFonts w:asciiTheme="minorHAnsi" w:hAnsiTheme="minorHAnsi"/>
                <w:bCs/>
              </w:rPr>
            </w:pPr>
          </w:p>
          <w:p w14:paraId="0BCBECB2" w14:textId="77777777" w:rsidR="00DE3193" w:rsidRPr="00C239CE" w:rsidRDefault="00DE3193" w:rsidP="00DE3193">
            <w:pPr>
              <w:rPr>
                <w:rFonts w:asciiTheme="minorHAnsi" w:hAnsiTheme="minorHAnsi"/>
                <w:bCs/>
              </w:rPr>
            </w:pPr>
            <w:r w:rsidRPr="00C239CE">
              <w:rPr>
                <w:rFonts w:asciiTheme="minorHAnsi" w:hAnsiTheme="minorHAnsi"/>
                <w:bCs/>
              </w:rPr>
              <w:t>Q2 Redesign of elective / emergency trauma and orthopaedic services</w:t>
            </w:r>
          </w:p>
          <w:p w14:paraId="29441F23" w14:textId="77777777" w:rsidR="00DE3193" w:rsidRPr="00C239CE" w:rsidRDefault="00DE3193" w:rsidP="00DE3193">
            <w:pPr>
              <w:rPr>
                <w:rFonts w:asciiTheme="minorHAnsi" w:hAnsiTheme="minorHAnsi"/>
                <w:bCs/>
              </w:rPr>
            </w:pPr>
            <w:r w:rsidRPr="00C239CE">
              <w:rPr>
                <w:rFonts w:asciiTheme="minorHAnsi" w:hAnsiTheme="minorHAnsi"/>
                <w:bCs/>
              </w:rPr>
              <w:t>Q4 development of RGH breast centre and dedicated day surgery unit.</w:t>
            </w:r>
          </w:p>
          <w:p w14:paraId="356B5D94" w14:textId="77777777" w:rsidR="00DE3193" w:rsidRPr="00C239CE" w:rsidRDefault="00DE3193" w:rsidP="00DE3193">
            <w:pPr>
              <w:rPr>
                <w:rFonts w:asciiTheme="minorHAnsi" w:hAnsiTheme="minorHAnsi"/>
                <w:bCs/>
              </w:rPr>
            </w:pPr>
            <w:r w:rsidRPr="00C239CE">
              <w:rPr>
                <w:rFonts w:asciiTheme="minorHAnsi" w:hAnsiTheme="minorHAnsi"/>
                <w:bCs/>
              </w:rPr>
              <w:t xml:space="preserve">Q1-4 Improved DNA and FUNB position across the Health Board. </w:t>
            </w:r>
          </w:p>
          <w:p w14:paraId="72F1C4C3" w14:textId="77777777" w:rsidR="00DE3193" w:rsidRPr="00C239CE" w:rsidRDefault="00DE3193" w:rsidP="00DE3193">
            <w:pPr>
              <w:rPr>
                <w:rFonts w:asciiTheme="minorHAnsi" w:hAnsiTheme="minorHAnsi"/>
                <w:bCs/>
              </w:rPr>
            </w:pPr>
            <w:r w:rsidRPr="00C239CE">
              <w:rPr>
                <w:rFonts w:asciiTheme="minorHAnsi" w:hAnsiTheme="minorHAnsi"/>
                <w:bCs/>
              </w:rPr>
              <w:t>Q1-4 Delivery of Single Cancer Pathway.</w:t>
            </w:r>
          </w:p>
          <w:p w14:paraId="4016706A" w14:textId="77777777" w:rsidR="00DE3193" w:rsidRDefault="00DE3193" w:rsidP="00AA4595">
            <w:pPr>
              <w:rPr>
                <w:rFonts w:asciiTheme="minorHAnsi" w:hAnsiTheme="minorHAnsi"/>
                <w:bCs/>
              </w:rPr>
            </w:pPr>
          </w:p>
        </w:tc>
        <w:tc>
          <w:tcPr>
            <w:tcW w:w="2743" w:type="dxa"/>
          </w:tcPr>
          <w:p w14:paraId="2A86E698" w14:textId="77777777" w:rsidR="00DE3193" w:rsidRDefault="00DE3193" w:rsidP="00AA4595">
            <w:pPr>
              <w:jc w:val="center"/>
              <w:rPr>
                <w:rFonts w:asciiTheme="minorHAnsi" w:hAnsiTheme="minorHAnsi"/>
                <w:bCs/>
              </w:rPr>
            </w:pPr>
            <w:r>
              <w:rPr>
                <w:rFonts w:asciiTheme="minorHAnsi" w:hAnsiTheme="minorHAnsi"/>
                <w:bCs/>
              </w:rPr>
              <w:t>Year 3</w:t>
            </w:r>
          </w:p>
          <w:p w14:paraId="14490DF1" w14:textId="77777777" w:rsidR="00DE3193" w:rsidRDefault="00DE3193" w:rsidP="00AA4595">
            <w:pPr>
              <w:jc w:val="center"/>
              <w:rPr>
                <w:rFonts w:asciiTheme="minorHAnsi" w:hAnsiTheme="minorHAnsi"/>
                <w:bCs/>
              </w:rPr>
            </w:pPr>
          </w:p>
          <w:p w14:paraId="51A89D48" w14:textId="77777777" w:rsidR="00DE3193" w:rsidRPr="00C239CE" w:rsidRDefault="00DE3193" w:rsidP="00DE3193">
            <w:pPr>
              <w:jc w:val="left"/>
              <w:rPr>
                <w:rFonts w:asciiTheme="minorHAnsi" w:hAnsiTheme="minorHAnsi"/>
                <w:bCs/>
              </w:rPr>
            </w:pPr>
            <w:r w:rsidRPr="00C239CE">
              <w:rPr>
                <w:rFonts w:asciiTheme="minorHAnsi" w:hAnsiTheme="minorHAnsi"/>
                <w:bCs/>
              </w:rPr>
              <w:t xml:space="preserve">Q1-4 Improved DNA and FUNB position across the Health Board. </w:t>
            </w:r>
          </w:p>
          <w:p w14:paraId="4CA6BEFA" w14:textId="77777777" w:rsidR="00DE3193" w:rsidRPr="00C239CE" w:rsidRDefault="00DE3193" w:rsidP="00DE3193">
            <w:pPr>
              <w:jc w:val="left"/>
              <w:rPr>
                <w:rFonts w:asciiTheme="minorHAnsi" w:hAnsiTheme="minorHAnsi"/>
                <w:bCs/>
              </w:rPr>
            </w:pPr>
            <w:r w:rsidRPr="00C239CE">
              <w:rPr>
                <w:rFonts w:asciiTheme="minorHAnsi" w:hAnsiTheme="minorHAnsi"/>
                <w:bCs/>
              </w:rPr>
              <w:t>Q1-4 Delivery of Single Cancer Pathway.</w:t>
            </w:r>
          </w:p>
          <w:p w14:paraId="33F96545" w14:textId="77777777" w:rsidR="00DE3193" w:rsidRPr="00C239CE" w:rsidRDefault="00DE3193" w:rsidP="00DE3193">
            <w:pPr>
              <w:jc w:val="left"/>
              <w:rPr>
                <w:rFonts w:asciiTheme="minorHAnsi" w:hAnsiTheme="minorHAnsi"/>
                <w:bCs/>
              </w:rPr>
            </w:pPr>
            <w:r w:rsidRPr="00C239CE">
              <w:rPr>
                <w:rFonts w:asciiTheme="minorHAnsi" w:hAnsiTheme="minorHAnsi"/>
                <w:bCs/>
              </w:rPr>
              <w:t xml:space="preserve">Q1 Implement frailty and orthogeriatrician model across the Health Board.    </w:t>
            </w:r>
          </w:p>
          <w:p w14:paraId="01AEE9DA" w14:textId="77777777" w:rsidR="00DE3193" w:rsidRPr="00C239CE" w:rsidRDefault="00DE3193" w:rsidP="00DE3193">
            <w:pPr>
              <w:jc w:val="left"/>
              <w:rPr>
                <w:rFonts w:asciiTheme="minorHAnsi" w:hAnsiTheme="minorHAnsi"/>
                <w:bCs/>
              </w:rPr>
            </w:pPr>
            <w:r w:rsidRPr="00C239CE">
              <w:rPr>
                <w:rFonts w:asciiTheme="minorHAnsi" w:hAnsiTheme="minorHAnsi"/>
                <w:bCs/>
              </w:rPr>
              <w:t xml:space="preserve">Q1 Development of dedicated ring fenced acute NIV service on the acute sites to deliver timely, safe and effective care to patients whilst acknowledging the perspective remodelling in line with the South Wales Programme. </w:t>
            </w:r>
          </w:p>
          <w:p w14:paraId="022C0C72" w14:textId="27D69404" w:rsidR="00DE3193" w:rsidRDefault="00DE3193" w:rsidP="00DE3193">
            <w:pPr>
              <w:jc w:val="left"/>
              <w:rPr>
                <w:rFonts w:asciiTheme="minorHAnsi" w:hAnsiTheme="minorHAnsi"/>
                <w:bCs/>
              </w:rPr>
            </w:pPr>
            <w:r w:rsidRPr="00C239CE">
              <w:rPr>
                <w:rFonts w:asciiTheme="minorHAnsi" w:hAnsiTheme="minorHAnsi"/>
                <w:bCs/>
              </w:rPr>
              <w:t>Q4 have implemented regional high volume cataract facility.</w:t>
            </w:r>
          </w:p>
        </w:tc>
      </w:tr>
      <w:tr w:rsidR="00DE3193" w14:paraId="658E5BC6" w14:textId="77777777" w:rsidTr="00DE3193">
        <w:trPr>
          <w:trHeight w:val="4386"/>
        </w:trPr>
        <w:tc>
          <w:tcPr>
            <w:tcW w:w="4531" w:type="dxa"/>
          </w:tcPr>
          <w:p w14:paraId="32150DFE" w14:textId="77777777" w:rsidR="00DE3193" w:rsidRPr="00D96821" w:rsidRDefault="00DE3193" w:rsidP="00D96821">
            <w:pPr>
              <w:rPr>
                <w:rFonts w:asciiTheme="minorHAnsi" w:hAnsiTheme="minorHAnsi"/>
                <w:bCs/>
              </w:rPr>
            </w:pPr>
            <w:r w:rsidRPr="00D96821">
              <w:rPr>
                <w:rFonts w:asciiTheme="minorHAnsi" w:hAnsiTheme="minorHAnsi"/>
                <w:bCs/>
              </w:rPr>
              <w:t xml:space="preserve">Q4 Deliver a central decontamination unit in POW site that maintains JAG accreditation. </w:t>
            </w:r>
          </w:p>
          <w:p w14:paraId="6CC69D6A" w14:textId="77777777" w:rsidR="00DE3193" w:rsidRPr="00D96821" w:rsidRDefault="00DE3193" w:rsidP="00D96821">
            <w:pPr>
              <w:rPr>
                <w:rFonts w:asciiTheme="minorHAnsi" w:hAnsiTheme="minorHAnsi"/>
                <w:bCs/>
              </w:rPr>
            </w:pPr>
            <w:r w:rsidRPr="00D96821">
              <w:rPr>
                <w:rFonts w:asciiTheme="minorHAnsi" w:hAnsiTheme="minorHAnsi"/>
                <w:bCs/>
              </w:rPr>
              <w:t xml:space="preserve">Q4 have undertaken clinical review of ophthalmology services and implemented a sustainable service model. </w:t>
            </w:r>
          </w:p>
          <w:p w14:paraId="1A91EB0A" w14:textId="77777777" w:rsidR="00DE3193" w:rsidRPr="00A85EA2" w:rsidRDefault="00DE3193" w:rsidP="00D96821">
            <w:pPr>
              <w:pStyle w:val="NormaBulletIndent"/>
              <w:numPr>
                <w:ilvl w:val="0"/>
                <w:numId w:val="0"/>
              </w:numPr>
              <w:rPr>
                <w:szCs w:val="22"/>
              </w:rPr>
            </w:pPr>
            <w:r>
              <w:rPr>
                <w:szCs w:val="22"/>
              </w:rPr>
              <w:t>Q4 have undertaken clinical review of OMF service provision and implemented a sustainable service model across CTM that will provide patients with equitable access to a safe and effective OMF and restorative dentistry service.</w:t>
            </w:r>
          </w:p>
          <w:p w14:paraId="6AF2981A" w14:textId="77777777" w:rsidR="00DE3193" w:rsidRPr="00D96821" w:rsidRDefault="00DE3193" w:rsidP="00D96821">
            <w:pPr>
              <w:rPr>
                <w:rFonts w:asciiTheme="minorHAnsi" w:hAnsiTheme="minorHAnsi"/>
                <w:bCs/>
              </w:rPr>
            </w:pPr>
            <w:r w:rsidRPr="00D96821">
              <w:rPr>
                <w:rFonts w:asciiTheme="minorHAnsi" w:hAnsiTheme="minorHAnsi"/>
                <w:bCs/>
              </w:rPr>
              <w:t>Q4 Improved critical care infrastructure across CTM to meet the critical care network quality standards.</w:t>
            </w:r>
          </w:p>
          <w:p w14:paraId="77C2037F" w14:textId="77777777" w:rsidR="00DE3193" w:rsidRPr="00D96821" w:rsidRDefault="00DE3193" w:rsidP="00D96821">
            <w:pPr>
              <w:rPr>
                <w:rFonts w:asciiTheme="minorHAnsi" w:hAnsiTheme="minorHAnsi"/>
                <w:bCs/>
              </w:rPr>
            </w:pPr>
            <w:r w:rsidRPr="00D96821">
              <w:rPr>
                <w:rFonts w:asciiTheme="minorHAnsi" w:hAnsiTheme="minorHAnsi"/>
                <w:bCs/>
              </w:rPr>
              <w:t xml:space="preserve">Q4 Establish tracheotomy specialist nurse service. </w:t>
            </w:r>
          </w:p>
          <w:p w14:paraId="690D0842" w14:textId="77777777" w:rsidR="00DE3193" w:rsidRPr="00D96821" w:rsidRDefault="00DE3193" w:rsidP="00D96821">
            <w:pPr>
              <w:rPr>
                <w:rFonts w:asciiTheme="minorHAnsi" w:hAnsiTheme="minorHAnsi"/>
                <w:bCs/>
              </w:rPr>
            </w:pPr>
            <w:r w:rsidRPr="00D96821">
              <w:rPr>
                <w:rFonts w:asciiTheme="minorHAnsi" w:hAnsiTheme="minorHAnsi"/>
                <w:bCs/>
              </w:rPr>
              <w:t>Q4 Redesign of chronic pain service across the Health Board to provide high quality service, meet RTT targets and address inequity of access across CTM.</w:t>
            </w:r>
          </w:p>
          <w:p w14:paraId="3402C630" w14:textId="77777777" w:rsidR="00DE3193" w:rsidRPr="00D96821" w:rsidRDefault="00DE3193" w:rsidP="00D96821">
            <w:pPr>
              <w:rPr>
                <w:rFonts w:asciiTheme="minorHAnsi" w:hAnsiTheme="minorHAnsi"/>
                <w:bCs/>
              </w:rPr>
            </w:pPr>
            <w:r w:rsidRPr="00D96821">
              <w:rPr>
                <w:rFonts w:asciiTheme="minorHAnsi" w:hAnsiTheme="minorHAnsi"/>
                <w:bCs/>
              </w:rPr>
              <w:t>Q4 Develop enhanced neurophysiology services for the local population.</w:t>
            </w:r>
          </w:p>
        </w:tc>
        <w:tc>
          <w:tcPr>
            <w:tcW w:w="2694" w:type="dxa"/>
          </w:tcPr>
          <w:p w14:paraId="6979DCBA" w14:textId="77777777" w:rsidR="00DE3193" w:rsidRPr="009C6233" w:rsidRDefault="00DE3193" w:rsidP="00AA4595">
            <w:pPr>
              <w:pStyle w:val="ListParagraph"/>
              <w:ind w:left="360"/>
              <w:rPr>
                <w:rFonts w:asciiTheme="minorHAnsi" w:hAnsiTheme="minorHAnsi"/>
                <w:bCs/>
              </w:rPr>
            </w:pPr>
          </w:p>
        </w:tc>
        <w:tc>
          <w:tcPr>
            <w:tcW w:w="2743" w:type="dxa"/>
          </w:tcPr>
          <w:p w14:paraId="39B811C4" w14:textId="77777777" w:rsidR="00DE3193" w:rsidRDefault="00DE3193" w:rsidP="00AA4595">
            <w:pPr>
              <w:rPr>
                <w:rFonts w:asciiTheme="minorHAnsi" w:hAnsiTheme="minorHAnsi"/>
                <w:bCs/>
              </w:rPr>
            </w:pPr>
          </w:p>
        </w:tc>
      </w:tr>
    </w:tbl>
    <w:p w14:paraId="2163B763" w14:textId="77777777" w:rsidR="00DE3193" w:rsidRPr="00F64708" w:rsidRDefault="00DE3193" w:rsidP="00DE3193">
      <w:pPr>
        <w:pStyle w:val="NormaBulletIndent"/>
        <w:numPr>
          <w:ilvl w:val="0"/>
          <w:numId w:val="0"/>
        </w:numPr>
        <w:ind w:left="1077" w:hanging="360"/>
        <w:rPr>
          <w:szCs w:val="22"/>
        </w:rPr>
      </w:pPr>
    </w:p>
    <w:p w14:paraId="097F1F7E" w14:textId="77777777" w:rsidR="00DE3193" w:rsidRDefault="00DE3193" w:rsidP="00DE3193">
      <w:pPr>
        <w:rPr>
          <w:rFonts w:asciiTheme="minorHAnsi" w:hAnsiTheme="minorHAnsi"/>
          <w:bCs/>
        </w:rPr>
      </w:pPr>
      <w:r>
        <w:rPr>
          <w:rFonts w:asciiTheme="minorHAnsi" w:hAnsiTheme="minorHAnsi"/>
          <w:bCs/>
          <w:i/>
        </w:rPr>
        <w:t xml:space="preserve">Alignment to National Delivery Plans – </w:t>
      </w:r>
      <w:r>
        <w:rPr>
          <w:rFonts w:asciiTheme="minorHAnsi" w:hAnsiTheme="minorHAnsi"/>
          <w:bCs/>
        </w:rPr>
        <w:t xml:space="preserve">The Welsh Government has published a series of National Health Delivery Plans setting out national agreed actions and defining performance measures and outcomes within a frame of reference for action by Health Boards in Wales. In response, the Health Board has developed local delivery plans, further detail is provided in </w:t>
      </w:r>
      <w:r>
        <w:rPr>
          <w:rFonts w:asciiTheme="minorHAnsi" w:hAnsiTheme="minorHAnsi"/>
          <w:b/>
          <w:bCs/>
        </w:rPr>
        <w:t xml:space="preserve">Section </w:t>
      </w:r>
      <w:r w:rsidRPr="00AB1585">
        <w:rPr>
          <w:rFonts w:asciiTheme="minorHAnsi" w:hAnsiTheme="minorHAnsi"/>
          <w:bCs/>
        </w:rPr>
        <w:t>xxx</w:t>
      </w:r>
      <w:r>
        <w:rPr>
          <w:rFonts w:asciiTheme="minorHAnsi" w:hAnsiTheme="minorHAnsi"/>
          <w:bCs/>
        </w:rPr>
        <w:t xml:space="preserve">, </w:t>
      </w:r>
      <w:r w:rsidRPr="00AB1585">
        <w:rPr>
          <w:rFonts w:asciiTheme="minorHAnsi" w:hAnsiTheme="minorHAnsi"/>
          <w:bCs/>
        </w:rPr>
        <w:t>with</w:t>
      </w:r>
      <w:r>
        <w:rPr>
          <w:rFonts w:asciiTheme="minorHAnsi" w:hAnsiTheme="minorHAnsi"/>
          <w:bCs/>
        </w:rPr>
        <w:t xml:space="preserve"> the key priorities including:</w:t>
      </w:r>
    </w:p>
    <w:p w14:paraId="6CE7E609" w14:textId="77777777" w:rsidR="00DE3193" w:rsidRDefault="00DE3193" w:rsidP="00DE3193">
      <w:pPr>
        <w:rPr>
          <w:rFonts w:asciiTheme="minorHAnsi" w:hAnsiTheme="minorHAnsi"/>
          <w:bCs/>
        </w:rPr>
      </w:pPr>
    </w:p>
    <w:tbl>
      <w:tblPr>
        <w:tblStyle w:val="TableGrid"/>
        <w:tblW w:w="0" w:type="auto"/>
        <w:tblLayout w:type="fixed"/>
        <w:tblLook w:val="04A0" w:firstRow="1" w:lastRow="0" w:firstColumn="1" w:lastColumn="0" w:noHBand="0" w:noVBand="1"/>
      </w:tblPr>
      <w:tblGrid>
        <w:gridCol w:w="1413"/>
        <w:gridCol w:w="8555"/>
      </w:tblGrid>
      <w:tr w:rsidR="00DE3193" w:rsidRPr="00FC7D1E" w14:paraId="3345D9E7" w14:textId="77777777" w:rsidTr="00FC7D1E">
        <w:tc>
          <w:tcPr>
            <w:tcW w:w="1413" w:type="dxa"/>
            <w:shd w:val="clear" w:color="auto" w:fill="002060"/>
          </w:tcPr>
          <w:p w14:paraId="1770C921" w14:textId="77777777" w:rsidR="00DE3193" w:rsidRPr="00FC7D1E" w:rsidRDefault="00DE3193" w:rsidP="00AA4595">
            <w:pPr>
              <w:rPr>
                <w:rFonts w:asciiTheme="minorHAnsi" w:hAnsiTheme="minorHAnsi"/>
                <w:b/>
                <w:bCs/>
                <w:color w:val="FFFFFF" w:themeColor="background1"/>
                <w:sz w:val="22"/>
                <w:szCs w:val="22"/>
              </w:rPr>
            </w:pPr>
            <w:r w:rsidRPr="00FC7D1E">
              <w:rPr>
                <w:rFonts w:asciiTheme="minorHAnsi" w:hAnsiTheme="minorHAnsi"/>
                <w:b/>
                <w:bCs/>
                <w:color w:val="FFFFFF" w:themeColor="background1"/>
                <w:sz w:val="22"/>
                <w:szCs w:val="22"/>
              </w:rPr>
              <w:t>Delivery Plan</w:t>
            </w:r>
          </w:p>
        </w:tc>
        <w:tc>
          <w:tcPr>
            <w:tcW w:w="8555" w:type="dxa"/>
            <w:shd w:val="clear" w:color="auto" w:fill="002060"/>
          </w:tcPr>
          <w:p w14:paraId="5CE0B327" w14:textId="77777777" w:rsidR="00DE3193" w:rsidRPr="00FC7D1E" w:rsidRDefault="00DE3193" w:rsidP="00AA4595">
            <w:pPr>
              <w:rPr>
                <w:rFonts w:asciiTheme="minorHAnsi" w:hAnsiTheme="minorHAnsi"/>
                <w:b/>
                <w:bCs/>
                <w:color w:val="FFFFFF" w:themeColor="background1"/>
                <w:sz w:val="22"/>
                <w:szCs w:val="22"/>
              </w:rPr>
            </w:pPr>
            <w:r w:rsidRPr="00FC7D1E">
              <w:rPr>
                <w:rFonts w:asciiTheme="minorHAnsi" w:hAnsiTheme="minorHAnsi"/>
                <w:b/>
                <w:bCs/>
                <w:color w:val="FFFFFF" w:themeColor="background1"/>
                <w:sz w:val="22"/>
                <w:szCs w:val="22"/>
              </w:rPr>
              <w:t>Priorities 2020/21</w:t>
            </w:r>
          </w:p>
        </w:tc>
      </w:tr>
      <w:tr w:rsidR="00DE3193" w:rsidRPr="00FC7D1E" w14:paraId="1DA181D1" w14:textId="77777777" w:rsidTr="00FC7D1E">
        <w:tc>
          <w:tcPr>
            <w:tcW w:w="1413" w:type="dxa"/>
          </w:tcPr>
          <w:p w14:paraId="19C53AA1"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Cancer</w:t>
            </w:r>
          </w:p>
        </w:tc>
        <w:tc>
          <w:tcPr>
            <w:tcW w:w="8555" w:type="dxa"/>
          </w:tcPr>
          <w:p w14:paraId="3E66DF72"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Early Cancer Diagnosis Programme.</w:t>
            </w:r>
          </w:p>
          <w:p w14:paraId="0B96F1A8"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 xml:space="preserve">Single Cancer Pathway implementation. </w:t>
            </w:r>
          </w:p>
          <w:p w14:paraId="38C17A52"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 xml:space="preserve">Cancer workforce sustainability and succession planning. </w:t>
            </w:r>
          </w:p>
          <w:p w14:paraId="717E6FC8"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 xml:space="preserve">Maintain high level of peer review compliance. </w:t>
            </w:r>
          </w:p>
          <w:p w14:paraId="1A933D40"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 xml:space="preserve">Continue to engage with Velindre NHS Trust to explore opportunities to develop more integrated services with the aim of improving quality and patient experience. </w:t>
            </w:r>
          </w:p>
        </w:tc>
      </w:tr>
      <w:tr w:rsidR="00DE3193" w:rsidRPr="00FC7D1E" w14:paraId="61680F35" w14:textId="77777777" w:rsidTr="00FC7D1E">
        <w:tc>
          <w:tcPr>
            <w:tcW w:w="1413" w:type="dxa"/>
          </w:tcPr>
          <w:p w14:paraId="57FDDFEE"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Liver Disease</w:t>
            </w:r>
          </w:p>
        </w:tc>
        <w:tc>
          <w:tcPr>
            <w:tcW w:w="8555" w:type="dxa"/>
          </w:tcPr>
          <w:p w14:paraId="41847F5C"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Preventing liver disease.</w:t>
            </w:r>
          </w:p>
          <w:p w14:paraId="1316B45B"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Timely detection of liver disease.</w:t>
            </w:r>
          </w:p>
          <w:p w14:paraId="6911C8EB"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 xml:space="preserve">Implement robust pathways to deliver fast, effective and consistent care. </w:t>
            </w:r>
          </w:p>
          <w:p w14:paraId="6A55D29C"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 xml:space="preserve">Improving information for patients. </w:t>
            </w:r>
          </w:p>
          <w:p w14:paraId="797D9272"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 xml:space="preserve">Improved support for patients with to live with advanced liver disease. </w:t>
            </w:r>
          </w:p>
        </w:tc>
      </w:tr>
      <w:tr w:rsidR="00DE3193" w:rsidRPr="00FC7D1E" w14:paraId="0A6ED98D" w14:textId="77777777" w:rsidTr="00FC7D1E">
        <w:tc>
          <w:tcPr>
            <w:tcW w:w="1413" w:type="dxa"/>
          </w:tcPr>
          <w:p w14:paraId="701C3E64"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Neurological Conditions</w:t>
            </w:r>
          </w:p>
        </w:tc>
        <w:tc>
          <w:tcPr>
            <w:tcW w:w="8555" w:type="dxa"/>
          </w:tcPr>
          <w:p w14:paraId="06926FE1"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Development of Epilepsy Specialist Nursing Service.</w:t>
            </w:r>
          </w:p>
          <w:p w14:paraId="3ADAAD6E"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 xml:space="preserve">Development of long term Neurological Strategy for CTM. </w:t>
            </w:r>
          </w:p>
          <w:p w14:paraId="723C329E"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 xml:space="preserve">To improve neurophysiology waiting times. </w:t>
            </w:r>
          </w:p>
        </w:tc>
      </w:tr>
      <w:tr w:rsidR="00DE3193" w:rsidRPr="00FC7D1E" w14:paraId="1D73794C" w14:textId="77777777" w:rsidTr="00FC7D1E">
        <w:tc>
          <w:tcPr>
            <w:tcW w:w="1413" w:type="dxa"/>
          </w:tcPr>
          <w:p w14:paraId="599CBD54"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Rare Diseases</w:t>
            </w:r>
          </w:p>
        </w:tc>
        <w:tc>
          <w:tcPr>
            <w:tcW w:w="8555" w:type="dxa"/>
          </w:tcPr>
          <w:p w14:paraId="6D1827D0"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Identify and improve the pathway for patients with unknown or delayed diagnosis.</w:t>
            </w:r>
          </w:p>
          <w:p w14:paraId="52BC50C5"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 xml:space="preserve">Ensure better use of patient feedback, best practice and evidence to improve pathways for primary, secondary and specialist services. </w:t>
            </w:r>
          </w:p>
        </w:tc>
      </w:tr>
      <w:tr w:rsidR="00DE3193" w:rsidRPr="00FC7D1E" w14:paraId="4ABB61D4" w14:textId="77777777" w:rsidTr="00FC7D1E">
        <w:tc>
          <w:tcPr>
            <w:tcW w:w="1413" w:type="dxa"/>
          </w:tcPr>
          <w:p w14:paraId="72012961"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Chronic Fatigue Syndrome, Fibromyalgia and M.E.</w:t>
            </w:r>
          </w:p>
        </w:tc>
        <w:tc>
          <w:tcPr>
            <w:tcW w:w="8555" w:type="dxa"/>
          </w:tcPr>
          <w:p w14:paraId="319D6719"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Identification and collaborative working with Consultants with an interest in ME.</w:t>
            </w:r>
          </w:p>
          <w:p w14:paraId="7E890378"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Finalise the implementation of the fibromyalgia and CFS/ME pathways.</w:t>
            </w:r>
          </w:p>
          <w:p w14:paraId="6957072E"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Development of psychology support service for patients with CFS/ME/FM.</w:t>
            </w:r>
          </w:p>
        </w:tc>
      </w:tr>
      <w:tr w:rsidR="00DE3193" w:rsidRPr="00FC7D1E" w14:paraId="0AB15923" w14:textId="77777777" w:rsidTr="00FC7D1E">
        <w:tc>
          <w:tcPr>
            <w:tcW w:w="1413" w:type="dxa"/>
          </w:tcPr>
          <w:p w14:paraId="11A4CDFF"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lastRenderedPageBreak/>
              <w:t>Critical Care</w:t>
            </w:r>
          </w:p>
        </w:tc>
        <w:tc>
          <w:tcPr>
            <w:tcW w:w="8555" w:type="dxa"/>
          </w:tcPr>
          <w:p w14:paraId="7A7F6A27"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Ensure all acute admissions are assessed for the risk of developing acute kidney injury.</w:t>
            </w:r>
          </w:p>
          <w:p w14:paraId="0518550E"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Ensure all acutely unwell patients are screened for sepsis and appropriate care pathway delivered where indicated.</w:t>
            </w:r>
          </w:p>
          <w:p w14:paraId="1183A95E"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 xml:space="preserve">Ensure all patients requiring general surgery have their mortality risk calculated – those with greater than 10% will require assessment for post-operative critical care admission. </w:t>
            </w:r>
          </w:p>
          <w:p w14:paraId="0305463B"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 xml:space="preserve">Allocate critical care units as appropriate – unit capacity within the Health Board to be reviewed as it has been identified that the units are running over agreed level of bed utilisation. </w:t>
            </w:r>
          </w:p>
          <w:p w14:paraId="7C63F90E"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 xml:space="preserve">Ensure critical care patients are managed by dedicated critical care consultants and middle tier doctors. </w:t>
            </w:r>
          </w:p>
          <w:p w14:paraId="22569410"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 xml:space="preserve">Increased provision or enhancing services to care for level 1 patients outside of critical care where appropriate. </w:t>
            </w:r>
          </w:p>
          <w:p w14:paraId="6E7AEBAC"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Prioritise critical care discharges.</w:t>
            </w:r>
          </w:p>
          <w:p w14:paraId="7CB018B9"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 xml:space="preserve">Develop mechanisms to undertake ongoing assessment of impact of Delayed Transfers of Care. </w:t>
            </w:r>
          </w:p>
        </w:tc>
      </w:tr>
      <w:tr w:rsidR="00DE3193" w:rsidRPr="00FC7D1E" w14:paraId="367D38E5" w14:textId="77777777" w:rsidTr="00FC7D1E">
        <w:tc>
          <w:tcPr>
            <w:tcW w:w="1413" w:type="dxa"/>
          </w:tcPr>
          <w:p w14:paraId="50B544CB"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Eye Health</w:t>
            </w:r>
          </w:p>
        </w:tc>
        <w:tc>
          <w:tcPr>
            <w:tcW w:w="8555" w:type="dxa"/>
          </w:tcPr>
          <w:p w14:paraId="551CF89C"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 xml:space="preserve">The vision set out in the Eye Health Care Delivery Plan which extended to 2020 is being evaluated by Welsh Government and the new direction for service development is awaited. High quality, patient focused and integrated services which improve eye health for the population remain the priority along with ensuring those who develop sight impairment receive appropriate care, support and rehabilitation. </w:t>
            </w:r>
          </w:p>
          <w:p w14:paraId="537A62D8" w14:textId="77777777" w:rsidR="00DE3193" w:rsidRPr="00FC7D1E" w:rsidRDefault="00DE3193" w:rsidP="00AA4595">
            <w:pPr>
              <w:rPr>
                <w:rFonts w:asciiTheme="minorHAnsi" w:hAnsiTheme="minorHAnsi"/>
                <w:bCs/>
                <w:sz w:val="22"/>
                <w:szCs w:val="22"/>
              </w:rPr>
            </w:pPr>
          </w:p>
          <w:p w14:paraId="192EE112"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The Welsh Government’s current priority areas will continue to be incorporated in the Local Eye Care Plan with focus on preventing avoidable sight loss and improving eye health; early identification of poor eye health and sight problems; providing high quality, efficient, accessible services; ensuring integration of services and patient focussed delivery; and providing care and support for people living with sight / dual sensory impairment.</w:t>
            </w:r>
          </w:p>
        </w:tc>
      </w:tr>
      <w:tr w:rsidR="00DE3193" w:rsidRPr="00FC7D1E" w14:paraId="12FD0273" w14:textId="77777777" w:rsidTr="00FC7D1E">
        <w:tc>
          <w:tcPr>
            <w:tcW w:w="1413" w:type="dxa"/>
          </w:tcPr>
          <w:p w14:paraId="7CFC7C5C"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Oral Health</w:t>
            </w:r>
          </w:p>
        </w:tc>
        <w:tc>
          <w:tcPr>
            <w:tcW w:w="8555" w:type="dxa"/>
          </w:tcPr>
          <w:p w14:paraId="7D3BC716"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Implement the agreed set of actions to focus on targeting children and their parents to start oral health promotion and prevention early in a child’s life.</w:t>
            </w:r>
          </w:p>
          <w:p w14:paraId="795185F5"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 xml:space="preserve">Maintain the provision of Minor Oral Surgery (MOS) in Primary Care. </w:t>
            </w:r>
          </w:p>
          <w:p w14:paraId="478D08A8"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 xml:space="preserve">Continue to explore the range of services that can be delivered from the Dental Teaching Unit building on the successful introduction of MOS and sedation services. </w:t>
            </w:r>
          </w:p>
          <w:p w14:paraId="0891EA3A"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 xml:space="preserve">Explore the upskilling of the General Dental Practitioners workforce and seek to reduce the high number of referrals in to secondary care. </w:t>
            </w:r>
          </w:p>
          <w:p w14:paraId="60D37AB3"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 xml:space="preserve">Implementation of the recommendations from the completed Designed to Smile service review. </w:t>
            </w:r>
          </w:p>
          <w:p w14:paraId="2C1717BE"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Following transfer of Community Dental Service from Cardiff and Vale UHB and Swansea Bay (Bridgend), continue to review core services to ensure service delivery is integrated, streamlined and improved (where appropriate).</w:t>
            </w:r>
          </w:p>
          <w:p w14:paraId="0CF6B163"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Support the implementation of phase two if the dental e-referral system (phase one implemented July 2019).</w:t>
            </w:r>
          </w:p>
          <w:p w14:paraId="6EFFE2E0"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 xml:space="preserve">111 service redesign of dental call handling and review of current service to streamline urgent dental care across the Health Board. </w:t>
            </w:r>
          </w:p>
          <w:p w14:paraId="69AFA941"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 xml:space="preserve">Continue to raise awareness of oral cancer and its risks to improve patient outcomes. </w:t>
            </w:r>
          </w:p>
        </w:tc>
      </w:tr>
      <w:tr w:rsidR="00DE3193" w:rsidRPr="00FC7D1E" w14:paraId="41833934" w14:textId="77777777" w:rsidTr="00FC7D1E">
        <w:tc>
          <w:tcPr>
            <w:tcW w:w="1413" w:type="dxa"/>
          </w:tcPr>
          <w:p w14:paraId="0F53B578"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Heart Disease</w:t>
            </w:r>
          </w:p>
        </w:tc>
        <w:tc>
          <w:tcPr>
            <w:tcW w:w="8555" w:type="dxa"/>
          </w:tcPr>
          <w:p w14:paraId="19657F35"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Achieve RTT waiting times for outpatients, diagnostics and treatment pathways.</w:t>
            </w:r>
          </w:p>
          <w:p w14:paraId="65CDDA16"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 xml:space="preserve">Remodel chest pain pathway and implementation of the Heartflow system. </w:t>
            </w:r>
          </w:p>
          <w:p w14:paraId="253462EC"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Review of local cardiac physiology service.</w:t>
            </w:r>
          </w:p>
          <w:p w14:paraId="65C3C4E9"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Review of the heart failure pathway.</w:t>
            </w:r>
          </w:p>
          <w:p w14:paraId="2265FBEF"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Participation in Cardiac Peer Review and NCAP audit.</w:t>
            </w:r>
          </w:p>
          <w:p w14:paraId="3D7EB8C5"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 xml:space="preserve">Participation in the AWACI project, to include electronic test requesting and digitisation of notes. </w:t>
            </w:r>
          </w:p>
        </w:tc>
      </w:tr>
      <w:tr w:rsidR="00DE3193" w:rsidRPr="00FC7D1E" w14:paraId="7F7A382D" w14:textId="77777777" w:rsidTr="00FC7D1E">
        <w:tc>
          <w:tcPr>
            <w:tcW w:w="1413" w:type="dxa"/>
          </w:tcPr>
          <w:p w14:paraId="62365F59"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Diabetes and Endocrinology</w:t>
            </w:r>
          </w:p>
        </w:tc>
        <w:tc>
          <w:tcPr>
            <w:tcW w:w="8555" w:type="dxa"/>
          </w:tcPr>
          <w:p w14:paraId="5AF4C2E8"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 xml:space="preserve">Ensure referral pathway for children with suspected diabetes is embedded across the Health Board. </w:t>
            </w:r>
          </w:p>
          <w:p w14:paraId="7AE6157F"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 xml:space="preserve">Psychology business case for children’s services completed. </w:t>
            </w:r>
          </w:p>
          <w:p w14:paraId="67D39375"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lastRenderedPageBreak/>
              <w:t>Identify individuals at risk of diabetes and instigate supportive strategies to reduce the risk including clear signposting to lifestyle change / support activities / information.</w:t>
            </w:r>
          </w:p>
          <w:p w14:paraId="3ACCE61E"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 xml:space="preserve">Improve general diabetes in pregnancy education for people with diabetes. </w:t>
            </w:r>
          </w:p>
          <w:p w14:paraId="61A4D4FA"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 xml:space="preserve"> </w:t>
            </w:r>
          </w:p>
          <w:p w14:paraId="0B8B70FC" w14:textId="77777777" w:rsidR="00DE3193" w:rsidRPr="00FC7D1E" w:rsidRDefault="00DE3193" w:rsidP="00AA4595">
            <w:pPr>
              <w:rPr>
                <w:rFonts w:asciiTheme="minorHAnsi" w:hAnsiTheme="minorHAnsi"/>
                <w:bCs/>
                <w:sz w:val="22"/>
                <w:szCs w:val="22"/>
              </w:rPr>
            </w:pPr>
          </w:p>
        </w:tc>
      </w:tr>
      <w:tr w:rsidR="00DE3193" w:rsidRPr="00FC7D1E" w14:paraId="49505DCB" w14:textId="77777777" w:rsidTr="00FC7D1E">
        <w:tc>
          <w:tcPr>
            <w:tcW w:w="1413" w:type="dxa"/>
          </w:tcPr>
          <w:p w14:paraId="0ECA253D"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lastRenderedPageBreak/>
              <w:t>Respiratory disease</w:t>
            </w:r>
          </w:p>
        </w:tc>
        <w:tc>
          <w:tcPr>
            <w:tcW w:w="8555" w:type="dxa"/>
          </w:tcPr>
          <w:p w14:paraId="7C03579E"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Increase the number of smokers who are motivated to quit using NHS support.</w:t>
            </w:r>
          </w:p>
          <w:p w14:paraId="27454D06"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 xml:space="preserve">Implement evidence based pulmonary rehabilitation service across the whole Health Board. </w:t>
            </w:r>
          </w:p>
          <w:p w14:paraId="28A8A623"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 xml:space="preserve">Ensure quality standard for acute non-invasive ventilation service is met. </w:t>
            </w:r>
          </w:p>
          <w:p w14:paraId="68FA6714"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 xml:space="preserve">Enhance existing model for training and education of healthcare professionals working in GP practices, community services and community hospitals. </w:t>
            </w:r>
          </w:p>
          <w:p w14:paraId="6E04CD99" w14:textId="5AAB44D3"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Increase asthma awareness and improve outcomes for children and young people with asthma.</w:t>
            </w:r>
          </w:p>
        </w:tc>
      </w:tr>
      <w:tr w:rsidR="00DE3193" w:rsidRPr="00FC7D1E" w14:paraId="1B381716" w14:textId="77777777" w:rsidTr="00FC7D1E">
        <w:tc>
          <w:tcPr>
            <w:tcW w:w="1413" w:type="dxa"/>
          </w:tcPr>
          <w:p w14:paraId="2B2B0E49"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Pain Management</w:t>
            </w:r>
          </w:p>
        </w:tc>
        <w:tc>
          <w:tcPr>
            <w:tcW w:w="8555" w:type="dxa"/>
          </w:tcPr>
          <w:p w14:paraId="2DCFE2AF" w14:textId="77777777" w:rsidR="00DE3193" w:rsidRPr="00FC7D1E" w:rsidRDefault="00DE3193" w:rsidP="00AA4595">
            <w:pPr>
              <w:rPr>
                <w:rFonts w:asciiTheme="minorHAnsi" w:hAnsiTheme="minorHAnsi"/>
                <w:bCs/>
                <w:sz w:val="22"/>
                <w:szCs w:val="22"/>
              </w:rPr>
            </w:pPr>
            <w:r w:rsidRPr="00FC7D1E">
              <w:rPr>
                <w:rFonts w:asciiTheme="minorHAnsi" w:hAnsiTheme="minorHAnsi"/>
                <w:bCs/>
                <w:sz w:val="22"/>
                <w:szCs w:val="22"/>
              </w:rPr>
              <w:t>Within Cwm Taf Morgannwg, our aim has been to develop new, more accurate ways of assessing and treating types of chronic non-malignant pain and provide guidance about when patients should be referred to the chronic pain service.  This will allow patients in both primary care and hospital services to be referred to the most appropriate specialists for their needs</w:t>
            </w:r>
          </w:p>
        </w:tc>
      </w:tr>
    </w:tbl>
    <w:p w14:paraId="7DFB25A8" w14:textId="77777777" w:rsidR="00BF0C95" w:rsidRPr="00195C09" w:rsidRDefault="00BF0C95" w:rsidP="006B09CD">
      <w:pPr>
        <w:pStyle w:val="Heading4"/>
        <w:ind w:left="1077" w:hanging="1077"/>
        <w:rPr>
          <w:szCs w:val="22"/>
        </w:rPr>
      </w:pPr>
      <w:r w:rsidRPr="00195C09">
        <w:rPr>
          <w:szCs w:val="22"/>
        </w:rPr>
        <w:t>Regional Collaboration</w:t>
      </w:r>
      <w:bookmarkEnd w:id="106"/>
      <w:bookmarkEnd w:id="108"/>
    </w:p>
    <w:p w14:paraId="26E0A953" w14:textId="229EA6B2" w:rsidR="00BF0C95" w:rsidRPr="000227C6" w:rsidRDefault="00BF0C95" w:rsidP="00BF0C95">
      <w:r w:rsidRPr="000227C6">
        <w:t xml:space="preserve">Through the </w:t>
      </w:r>
      <w:r w:rsidRPr="000227C6">
        <w:rPr>
          <w:rFonts w:cs="Arial"/>
        </w:rPr>
        <w:t>Regional Planning and Delivery Forum, t</w:t>
      </w:r>
      <w:r w:rsidRPr="000227C6">
        <w:t>he Health Board is committed to working collaboratively and at pace with neighbouring organisations in the region to secure benefits for patients where this is appropriate</w:t>
      </w:r>
      <w:r w:rsidR="00803379" w:rsidRPr="000227C6">
        <w:t xml:space="preserve">.  </w:t>
      </w:r>
      <w:r w:rsidR="000227C6">
        <w:t>The following progress has been made over the course of 20</w:t>
      </w:r>
      <w:r w:rsidR="00A337DB">
        <w:t>1</w:t>
      </w:r>
      <w:r w:rsidR="008B534D">
        <w:t>9</w:t>
      </w:r>
      <w:r w:rsidR="000227C6">
        <w:t>/</w:t>
      </w:r>
      <w:r w:rsidR="008B534D">
        <w:t>20</w:t>
      </w:r>
      <w:r w:rsidR="00A337DB">
        <w:t>:</w:t>
      </w:r>
    </w:p>
    <w:p w14:paraId="58396EC7" w14:textId="77777777" w:rsidR="00BF0C95" w:rsidRDefault="00BF0C95" w:rsidP="00BF0C95">
      <w:pPr>
        <w:rPr>
          <w:highlight w:val="yellow"/>
        </w:rPr>
      </w:pPr>
    </w:p>
    <w:tbl>
      <w:tblPr>
        <w:tblW w:w="101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3"/>
        <w:gridCol w:w="8505"/>
      </w:tblGrid>
      <w:tr w:rsidR="007C77C9" w:rsidRPr="007C77C9" w14:paraId="6E45011C" w14:textId="77777777" w:rsidTr="007C77C9">
        <w:trPr>
          <w:trHeight w:val="351"/>
          <w:tblHeader/>
        </w:trPr>
        <w:tc>
          <w:tcPr>
            <w:tcW w:w="1663" w:type="dxa"/>
            <w:shd w:val="clear" w:color="auto" w:fill="17365D" w:themeFill="text2" w:themeFillShade="BF"/>
          </w:tcPr>
          <w:p w14:paraId="2E64C123" w14:textId="550FD766" w:rsidR="000227C6" w:rsidRPr="007C77C9" w:rsidRDefault="000227C6" w:rsidP="000227C6">
            <w:pPr>
              <w:autoSpaceDE w:val="0"/>
              <w:autoSpaceDN w:val="0"/>
              <w:adjustRightInd w:val="0"/>
              <w:jc w:val="left"/>
              <w:rPr>
                <w:rFonts w:asciiTheme="minorHAnsi" w:hAnsiTheme="minorHAnsi" w:cs="Calibri"/>
                <w:color w:val="FFFFFF" w:themeColor="background1"/>
                <w:szCs w:val="22"/>
              </w:rPr>
            </w:pPr>
            <w:r w:rsidRPr="007C77C9">
              <w:rPr>
                <w:rFonts w:asciiTheme="minorHAnsi" w:hAnsiTheme="minorHAnsi" w:cs="Calibri"/>
                <w:b/>
                <w:bCs/>
                <w:color w:val="FFFFFF" w:themeColor="background1"/>
                <w:szCs w:val="22"/>
              </w:rPr>
              <w:t xml:space="preserve">Workstream </w:t>
            </w:r>
          </w:p>
        </w:tc>
        <w:tc>
          <w:tcPr>
            <w:tcW w:w="8505" w:type="dxa"/>
            <w:shd w:val="clear" w:color="auto" w:fill="17365D" w:themeFill="text2" w:themeFillShade="BF"/>
          </w:tcPr>
          <w:p w14:paraId="6A523195" w14:textId="7B685DCA" w:rsidR="000227C6" w:rsidRPr="007C77C9" w:rsidRDefault="008B534D" w:rsidP="000227C6">
            <w:pPr>
              <w:autoSpaceDE w:val="0"/>
              <w:autoSpaceDN w:val="0"/>
              <w:adjustRightInd w:val="0"/>
              <w:jc w:val="left"/>
              <w:rPr>
                <w:rFonts w:asciiTheme="minorHAnsi" w:hAnsiTheme="minorHAnsi" w:cs="Calibri"/>
                <w:color w:val="FFFFFF" w:themeColor="background1"/>
                <w:szCs w:val="22"/>
              </w:rPr>
            </w:pPr>
            <w:r>
              <w:rPr>
                <w:rFonts w:asciiTheme="minorHAnsi" w:hAnsiTheme="minorHAnsi" w:cs="Calibri"/>
                <w:b/>
                <w:bCs/>
                <w:color w:val="FFFFFF" w:themeColor="background1"/>
                <w:szCs w:val="22"/>
              </w:rPr>
              <w:t>Progress in 2019</w:t>
            </w:r>
            <w:r w:rsidR="000227C6" w:rsidRPr="007C77C9">
              <w:rPr>
                <w:rFonts w:asciiTheme="minorHAnsi" w:hAnsiTheme="minorHAnsi" w:cs="Calibri"/>
                <w:b/>
                <w:bCs/>
                <w:color w:val="FFFFFF" w:themeColor="background1"/>
                <w:szCs w:val="22"/>
              </w:rPr>
              <w:t>/</w:t>
            </w:r>
            <w:r>
              <w:rPr>
                <w:rFonts w:asciiTheme="minorHAnsi" w:hAnsiTheme="minorHAnsi" w:cs="Calibri"/>
                <w:b/>
                <w:bCs/>
                <w:color w:val="FFFFFF" w:themeColor="background1"/>
                <w:szCs w:val="22"/>
              </w:rPr>
              <w:t>20</w:t>
            </w:r>
          </w:p>
        </w:tc>
      </w:tr>
      <w:tr w:rsidR="000227C6" w:rsidRPr="000227C6" w14:paraId="6E10AF71" w14:textId="77777777" w:rsidTr="007C77C9">
        <w:trPr>
          <w:trHeight w:val="1417"/>
        </w:trPr>
        <w:tc>
          <w:tcPr>
            <w:tcW w:w="1663" w:type="dxa"/>
          </w:tcPr>
          <w:p w14:paraId="68488329" w14:textId="77777777" w:rsidR="000227C6" w:rsidRPr="00E95113" w:rsidRDefault="000227C6" w:rsidP="000227C6">
            <w:pPr>
              <w:autoSpaceDE w:val="0"/>
              <w:autoSpaceDN w:val="0"/>
              <w:adjustRightInd w:val="0"/>
              <w:jc w:val="left"/>
              <w:rPr>
                <w:rFonts w:asciiTheme="minorHAnsi" w:hAnsiTheme="minorHAnsi" w:cs="Calibri"/>
                <w:b/>
                <w:color w:val="000000"/>
                <w:szCs w:val="22"/>
              </w:rPr>
            </w:pPr>
            <w:r w:rsidRPr="00E95113">
              <w:rPr>
                <w:rFonts w:asciiTheme="minorHAnsi" w:hAnsiTheme="minorHAnsi" w:cs="Calibri"/>
                <w:b/>
                <w:color w:val="000000"/>
                <w:szCs w:val="22"/>
              </w:rPr>
              <w:t xml:space="preserve">Paediatric, obstetrics and neonates </w:t>
            </w:r>
          </w:p>
        </w:tc>
        <w:tc>
          <w:tcPr>
            <w:tcW w:w="8505" w:type="dxa"/>
          </w:tcPr>
          <w:p w14:paraId="42B489EE" w14:textId="77777777" w:rsidR="00216D30" w:rsidRDefault="00216D30" w:rsidP="003B1653">
            <w:pPr>
              <w:numPr>
                <w:ilvl w:val="0"/>
                <w:numId w:val="51"/>
              </w:numPr>
              <w:spacing w:line="259" w:lineRule="auto"/>
              <w:jc w:val="left"/>
              <w:rPr>
                <w:rFonts w:cs="Arial"/>
                <w:color w:val="000000"/>
              </w:rPr>
            </w:pPr>
            <w:r>
              <w:rPr>
                <w:rFonts w:cs="Arial"/>
                <w:color w:val="000000"/>
              </w:rPr>
              <w:t xml:space="preserve">Implemented flow changes in March 2019 in line with the south wales programme service model reflecting adjusted activity following Cwm Taf internal engagement </w:t>
            </w:r>
          </w:p>
          <w:p w14:paraId="231C561D" w14:textId="77777777" w:rsidR="00216D30" w:rsidRDefault="00216D30" w:rsidP="003B1653">
            <w:pPr>
              <w:numPr>
                <w:ilvl w:val="0"/>
                <w:numId w:val="51"/>
              </w:numPr>
              <w:spacing w:line="259" w:lineRule="auto"/>
              <w:jc w:val="left"/>
              <w:rPr>
                <w:rFonts w:cs="Arial"/>
                <w:color w:val="000000"/>
              </w:rPr>
            </w:pPr>
            <w:r>
              <w:rPr>
                <w:rFonts w:cs="Arial"/>
                <w:color w:val="000000"/>
              </w:rPr>
              <w:t xml:space="preserve">Continued clinical collaboration to ensure quality service challenges have been collective managed across the region </w:t>
            </w:r>
          </w:p>
          <w:p w14:paraId="5CD5E68B" w14:textId="77777777" w:rsidR="00216D30" w:rsidRDefault="00216D30" w:rsidP="003B1653">
            <w:pPr>
              <w:numPr>
                <w:ilvl w:val="0"/>
                <w:numId w:val="51"/>
              </w:numPr>
              <w:spacing w:line="259" w:lineRule="auto"/>
              <w:jc w:val="left"/>
              <w:rPr>
                <w:rFonts w:cs="Arial"/>
                <w:color w:val="000000"/>
              </w:rPr>
            </w:pPr>
            <w:r>
              <w:rPr>
                <w:rFonts w:cs="Arial"/>
                <w:color w:val="000000"/>
              </w:rPr>
              <w:t>Following a readiness review of paediatric service change CTM deferred the transfer of service from Royal Glamorgan to PCH, the review considered workforce, training, and performance associated with the emergency departments</w:t>
            </w:r>
          </w:p>
          <w:p w14:paraId="6BF69721" w14:textId="57546C91" w:rsidR="000227C6" w:rsidRPr="00216D30" w:rsidRDefault="00216D30" w:rsidP="003B1653">
            <w:pPr>
              <w:numPr>
                <w:ilvl w:val="0"/>
                <w:numId w:val="51"/>
              </w:numPr>
              <w:spacing w:line="259" w:lineRule="auto"/>
              <w:jc w:val="left"/>
              <w:rPr>
                <w:rFonts w:cs="Arial"/>
                <w:color w:val="000000"/>
              </w:rPr>
            </w:pPr>
            <w:r w:rsidRPr="00216D30">
              <w:rPr>
                <w:rFonts w:cs="Arial"/>
                <w:color w:val="000000"/>
              </w:rPr>
              <w:t>Completed capital scheme in UHW Obstetrics.</w:t>
            </w:r>
          </w:p>
        </w:tc>
      </w:tr>
      <w:tr w:rsidR="000227C6" w:rsidRPr="000227C6" w14:paraId="70E341E4" w14:textId="77777777" w:rsidTr="007C77C9">
        <w:trPr>
          <w:trHeight w:val="1126"/>
        </w:trPr>
        <w:tc>
          <w:tcPr>
            <w:tcW w:w="1663" w:type="dxa"/>
          </w:tcPr>
          <w:p w14:paraId="112775F8" w14:textId="14FA439B" w:rsidR="000227C6" w:rsidRPr="00E95113" w:rsidRDefault="000227C6" w:rsidP="000227C6">
            <w:pPr>
              <w:autoSpaceDE w:val="0"/>
              <w:autoSpaceDN w:val="0"/>
              <w:adjustRightInd w:val="0"/>
              <w:jc w:val="left"/>
              <w:rPr>
                <w:rFonts w:asciiTheme="minorHAnsi" w:hAnsiTheme="minorHAnsi" w:cs="Calibri"/>
                <w:b/>
                <w:color w:val="000000"/>
                <w:szCs w:val="22"/>
              </w:rPr>
            </w:pPr>
            <w:r w:rsidRPr="00E95113">
              <w:rPr>
                <w:rFonts w:asciiTheme="minorHAnsi" w:hAnsiTheme="minorHAnsi" w:cs="Calibri"/>
                <w:b/>
                <w:color w:val="000000"/>
                <w:szCs w:val="22"/>
              </w:rPr>
              <w:t xml:space="preserve">Vascular services </w:t>
            </w:r>
          </w:p>
        </w:tc>
        <w:tc>
          <w:tcPr>
            <w:tcW w:w="8505" w:type="dxa"/>
          </w:tcPr>
          <w:p w14:paraId="3442BD3E" w14:textId="77777777" w:rsidR="00216D30" w:rsidRDefault="00216D30" w:rsidP="003B1653">
            <w:pPr>
              <w:numPr>
                <w:ilvl w:val="0"/>
                <w:numId w:val="52"/>
              </w:numPr>
              <w:spacing w:line="259" w:lineRule="auto"/>
              <w:jc w:val="left"/>
              <w:rPr>
                <w:rFonts w:cs="Arial"/>
                <w:color w:val="000000"/>
              </w:rPr>
            </w:pPr>
            <w:r>
              <w:rPr>
                <w:rFonts w:cs="Arial"/>
                <w:color w:val="000000"/>
              </w:rPr>
              <w:t>Delivered a</w:t>
            </w:r>
            <w:r w:rsidRPr="006637B7">
              <w:rPr>
                <w:rFonts w:cs="Arial"/>
                <w:color w:val="000000"/>
              </w:rPr>
              <w:t xml:space="preserve"> regional out of hour</w:t>
            </w:r>
            <w:r>
              <w:rPr>
                <w:rFonts w:cs="Arial"/>
                <w:color w:val="000000"/>
              </w:rPr>
              <w:t>s interventional radiology rota</w:t>
            </w:r>
          </w:p>
          <w:p w14:paraId="4BE02474" w14:textId="3E1B3165" w:rsidR="000227C6" w:rsidRPr="00216D30" w:rsidRDefault="00216D30" w:rsidP="003B1653">
            <w:pPr>
              <w:numPr>
                <w:ilvl w:val="0"/>
                <w:numId w:val="52"/>
              </w:numPr>
              <w:spacing w:line="259" w:lineRule="auto"/>
              <w:jc w:val="left"/>
              <w:rPr>
                <w:rFonts w:cs="Arial"/>
                <w:color w:val="000000"/>
              </w:rPr>
            </w:pPr>
            <w:r w:rsidRPr="00216D30">
              <w:rPr>
                <w:rFonts w:cs="Arial"/>
                <w:color w:val="000000"/>
              </w:rPr>
              <w:t>Continued detailed planning to centralise South East Wales Vascular network with aim to implement from August 2020 subject to successful public engagement and consultation in Q4 2019/20 and approved regional business case in Q1 2020.</w:t>
            </w:r>
          </w:p>
        </w:tc>
      </w:tr>
      <w:tr w:rsidR="000227C6" w:rsidRPr="000227C6" w14:paraId="7C358D48" w14:textId="77777777" w:rsidTr="007C77C9">
        <w:trPr>
          <w:trHeight w:val="837"/>
        </w:trPr>
        <w:tc>
          <w:tcPr>
            <w:tcW w:w="1663" w:type="dxa"/>
          </w:tcPr>
          <w:p w14:paraId="35AA66A1" w14:textId="7F62CD49" w:rsidR="000227C6" w:rsidRPr="00E95113" w:rsidRDefault="000227C6" w:rsidP="000227C6">
            <w:pPr>
              <w:autoSpaceDE w:val="0"/>
              <w:autoSpaceDN w:val="0"/>
              <w:adjustRightInd w:val="0"/>
              <w:jc w:val="left"/>
              <w:rPr>
                <w:rFonts w:asciiTheme="minorHAnsi" w:hAnsiTheme="minorHAnsi" w:cs="Calibri"/>
                <w:b/>
                <w:color w:val="000000"/>
                <w:szCs w:val="22"/>
              </w:rPr>
            </w:pPr>
            <w:r w:rsidRPr="00E95113">
              <w:rPr>
                <w:rFonts w:asciiTheme="minorHAnsi" w:hAnsiTheme="minorHAnsi" w:cs="Calibri"/>
                <w:b/>
                <w:color w:val="000000"/>
                <w:szCs w:val="22"/>
              </w:rPr>
              <w:t xml:space="preserve">ENT </w:t>
            </w:r>
          </w:p>
        </w:tc>
        <w:tc>
          <w:tcPr>
            <w:tcW w:w="8505" w:type="dxa"/>
          </w:tcPr>
          <w:p w14:paraId="47C06D66" w14:textId="77777777" w:rsidR="00216D30" w:rsidRDefault="00216D30" w:rsidP="003B1653">
            <w:pPr>
              <w:numPr>
                <w:ilvl w:val="0"/>
                <w:numId w:val="48"/>
              </w:numPr>
              <w:spacing w:line="259" w:lineRule="auto"/>
              <w:ind w:left="317"/>
              <w:jc w:val="left"/>
              <w:rPr>
                <w:rFonts w:cs="Arial"/>
                <w:color w:val="000000"/>
              </w:rPr>
            </w:pPr>
            <w:r>
              <w:rPr>
                <w:rFonts w:cs="Arial"/>
                <w:color w:val="000000"/>
              </w:rPr>
              <w:t xml:space="preserve">Sustainability issues have been addressed within Cwm Taf Morganwg through integrating the medical workforce across the CTM hospitals. </w:t>
            </w:r>
          </w:p>
          <w:p w14:paraId="652FF777" w14:textId="3C31BD8B" w:rsidR="000227C6" w:rsidRPr="0079578A" w:rsidRDefault="00216D30" w:rsidP="003B1653">
            <w:pPr>
              <w:pStyle w:val="ListParagraph"/>
              <w:numPr>
                <w:ilvl w:val="0"/>
                <w:numId w:val="48"/>
              </w:numPr>
              <w:autoSpaceDE w:val="0"/>
              <w:autoSpaceDN w:val="0"/>
              <w:adjustRightInd w:val="0"/>
              <w:ind w:left="317"/>
              <w:rPr>
                <w:rFonts w:asciiTheme="minorHAnsi" w:hAnsiTheme="minorHAnsi" w:cs="Calibri"/>
                <w:color w:val="000000"/>
                <w:szCs w:val="22"/>
              </w:rPr>
            </w:pPr>
            <w:r>
              <w:rPr>
                <w:rFonts w:cs="Arial"/>
                <w:color w:val="000000"/>
              </w:rPr>
              <w:t>The regional clinical body continue to work collaboratively to provide joint head and neck cancer MDT with surgery provided at both UHW and Royal Glamorgan</w:t>
            </w:r>
          </w:p>
        </w:tc>
      </w:tr>
      <w:tr w:rsidR="008B534D" w:rsidRPr="000227C6" w14:paraId="41A2D25F" w14:textId="77777777" w:rsidTr="007C77C9">
        <w:trPr>
          <w:trHeight w:val="837"/>
        </w:trPr>
        <w:tc>
          <w:tcPr>
            <w:tcW w:w="1663" w:type="dxa"/>
          </w:tcPr>
          <w:p w14:paraId="5963BA2B" w14:textId="12F933F2" w:rsidR="008B534D" w:rsidRPr="00E95113" w:rsidRDefault="008B534D" w:rsidP="008B534D">
            <w:pPr>
              <w:autoSpaceDE w:val="0"/>
              <w:autoSpaceDN w:val="0"/>
              <w:adjustRightInd w:val="0"/>
              <w:jc w:val="left"/>
              <w:rPr>
                <w:rFonts w:asciiTheme="minorHAnsi" w:hAnsiTheme="minorHAnsi" w:cs="Calibri"/>
                <w:b/>
                <w:color w:val="000000"/>
                <w:szCs w:val="22"/>
              </w:rPr>
            </w:pPr>
            <w:r w:rsidRPr="00E95113">
              <w:rPr>
                <w:rFonts w:asciiTheme="minorHAnsi" w:hAnsiTheme="minorHAnsi" w:cs="Calibri"/>
                <w:b/>
                <w:color w:val="000000"/>
                <w:szCs w:val="22"/>
              </w:rPr>
              <w:t>Diagnostics</w:t>
            </w:r>
          </w:p>
        </w:tc>
        <w:tc>
          <w:tcPr>
            <w:tcW w:w="8505" w:type="dxa"/>
          </w:tcPr>
          <w:p w14:paraId="2FFA1F76" w14:textId="77777777" w:rsidR="00216D30" w:rsidRPr="00F31EE8" w:rsidRDefault="00216D30" w:rsidP="00216D30">
            <w:pPr>
              <w:rPr>
                <w:rFonts w:cs="Arial"/>
                <w:b/>
                <w:color w:val="000000"/>
              </w:rPr>
            </w:pPr>
            <w:r w:rsidRPr="00F31EE8">
              <w:rPr>
                <w:rFonts w:cs="Arial"/>
                <w:b/>
                <w:color w:val="000000"/>
              </w:rPr>
              <w:t>CT/MRI</w:t>
            </w:r>
          </w:p>
          <w:p w14:paraId="2995ABCA" w14:textId="77777777" w:rsidR="00216D30" w:rsidRDefault="00216D30" w:rsidP="003B1653">
            <w:pPr>
              <w:pStyle w:val="ListParagraph"/>
              <w:numPr>
                <w:ilvl w:val="0"/>
                <w:numId w:val="53"/>
              </w:numPr>
              <w:jc w:val="left"/>
              <w:rPr>
                <w:rFonts w:cs="Arial"/>
                <w:color w:val="000000"/>
              </w:rPr>
            </w:pPr>
            <w:r>
              <w:rPr>
                <w:rFonts w:cs="Arial"/>
                <w:color w:val="000000"/>
              </w:rPr>
              <w:t>The Delivery Unit supported a standardised approach for repeating the regional demand and capacity work for MRI and CT for 2019/2020.</w:t>
            </w:r>
          </w:p>
          <w:p w14:paraId="6DEC2784" w14:textId="77777777" w:rsidR="00216D30" w:rsidRDefault="00216D30" w:rsidP="003B1653">
            <w:pPr>
              <w:pStyle w:val="ListParagraph"/>
              <w:numPr>
                <w:ilvl w:val="0"/>
                <w:numId w:val="53"/>
              </w:numPr>
              <w:jc w:val="left"/>
              <w:rPr>
                <w:rFonts w:cs="Arial"/>
                <w:color w:val="000000"/>
              </w:rPr>
            </w:pPr>
            <w:r w:rsidRPr="00F31EE8">
              <w:rPr>
                <w:rFonts w:cs="Arial"/>
                <w:color w:val="000000"/>
              </w:rPr>
              <w:t>Continued to utilise available capacity in MRI within CT</w:t>
            </w:r>
            <w:r>
              <w:rPr>
                <w:rFonts w:cs="Arial"/>
                <w:color w:val="000000"/>
              </w:rPr>
              <w:t>M</w:t>
            </w:r>
            <w:r w:rsidRPr="00F31EE8">
              <w:rPr>
                <w:rFonts w:cs="Arial"/>
                <w:color w:val="000000"/>
              </w:rPr>
              <w:t>UHB.</w:t>
            </w:r>
            <w:r>
              <w:rPr>
                <w:rFonts w:cs="Arial"/>
                <w:color w:val="000000"/>
              </w:rPr>
              <w:t xml:space="preserve">  Aneurin Bevan UHB are to utilise 400 of the 800 spare MRI slots available for utilisation within CTMUHB.</w:t>
            </w:r>
          </w:p>
          <w:p w14:paraId="17B4E991" w14:textId="77777777" w:rsidR="00216D30" w:rsidRPr="00F31EE8" w:rsidRDefault="00216D30" w:rsidP="003B1653">
            <w:pPr>
              <w:pStyle w:val="ListParagraph"/>
              <w:numPr>
                <w:ilvl w:val="0"/>
                <w:numId w:val="53"/>
              </w:numPr>
              <w:jc w:val="left"/>
              <w:rPr>
                <w:rFonts w:cs="Arial"/>
                <w:color w:val="000000"/>
              </w:rPr>
            </w:pPr>
            <w:r>
              <w:rPr>
                <w:rFonts w:cs="Arial"/>
                <w:color w:val="000000"/>
              </w:rPr>
              <w:t xml:space="preserve">Continued to offer </w:t>
            </w:r>
            <w:r w:rsidRPr="00F31EE8">
              <w:rPr>
                <w:rFonts w:cs="Arial"/>
                <w:color w:val="000000"/>
              </w:rPr>
              <w:t xml:space="preserve">the opportunity for C&amp;V to house a mobile unit on the RGH site, so </w:t>
            </w:r>
            <w:r>
              <w:rPr>
                <w:rFonts w:cs="Arial"/>
                <w:color w:val="000000"/>
              </w:rPr>
              <w:t xml:space="preserve">that they can increase capacity as and when required. </w:t>
            </w:r>
          </w:p>
          <w:p w14:paraId="127127D6" w14:textId="77777777" w:rsidR="00216D30" w:rsidRPr="00F31EE8" w:rsidRDefault="00216D30" w:rsidP="00216D30">
            <w:pPr>
              <w:rPr>
                <w:rFonts w:cs="Arial"/>
                <w:b/>
                <w:color w:val="000000"/>
              </w:rPr>
            </w:pPr>
            <w:r w:rsidRPr="00F31EE8">
              <w:rPr>
                <w:rFonts w:cs="Arial"/>
                <w:b/>
                <w:color w:val="000000"/>
              </w:rPr>
              <w:t>Endoscopy</w:t>
            </w:r>
          </w:p>
          <w:p w14:paraId="1A11ED26" w14:textId="77777777" w:rsidR="00216D30" w:rsidRDefault="00216D30" w:rsidP="003B1653">
            <w:pPr>
              <w:pStyle w:val="ListParagraph"/>
              <w:numPr>
                <w:ilvl w:val="0"/>
                <w:numId w:val="54"/>
              </w:numPr>
              <w:jc w:val="left"/>
              <w:rPr>
                <w:rFonts w:cs="Arial"/>
                <w:color w:val="000000"/>
              </w:rPr>
            </w:pPr>
            <w:r>
              <w:rPr>
                <w:rFonts w:cs="Arial"/>
                <w:color w:val="000000"/>
              </w:rPr>
              <w:t xml:space="preserve">The Regional diagnostic Planning group have developed a close working relationship with the National Endoscopy Programme Board.  This will avoid duplication and enhance the work of both groups. </w:t>
            </w:r>
          </w:p>
          <w:p w14:paraId="3CC38B52" w14:textId="77777777" w:rsidR="00216D30" w:rsidRPr="00F31EE8" w:rsidRDefault="00216D30" w:rsidP="003B1653">
            <w:pPr>
              <w:pStyle w:val="ListParagraph"/>
              <w:numPr>
                <w:ilvl w:val="0"/>
                <w:numId w:val="54"/>
              </w:numPr>
              <w:jc w:val="left"/>
              <w:rPr>
                <w:rFonts w:cs="Arial"/>
                <w:color w:val="000000"/>
              </w:rPr>
            </w:pPr>
            <w:r>
              <w:rPr>
                <w:rFonts w:cs="Arial"/>
                <w:color w:val="000000"/>
              </w:rPr>
              <w:t>To date the Regional Diagnostic Group has not come up with collaborative solutions for the delivery of endoscopic services in the short term.  However</w:t>
            </w:r>
            <w:proofErr w:type="gramStart"/>
            <w:r>
              <w:rPr>
                <w:rFonts w:cs="Arial"/>
                <w:color w:val="000000"/>
              </w:rPr>
              <w:t>,  work</w:t>
            </w:r>
            <w:proofErr w:type="gramEnd"/>
            <w:r>
              <w:rPr>
                <w:rFonts w:cs="Arial"/>
                <w:color w:val="000000"/>
              </w:rPr>
              <w:t xml:space="preserve"> has progressed </w:t>
            </w:r>
            <w:r>
              <w:rPr>
                <w:rFonts w:cs="Arial"/>
                <w:color w:val="000000"/>
              </w:rPr>
              <w:lastRenderedPageBreak/>
              <w:t>during 2019/2020 within CTMUHB to develop a plan for Phase 2 of the Diagnostic Hub for which there has been agreement that the emphasis will be on the development of endoscopic services. As with Phase 1 of the Diagnostic Hub which focused on CT and MRI services, there is an expectation from Welsh Government that the Hubs development will offer support at a regional level.   It must be noted that this is a 3 – 5 year plan.</w:t>
            </w:r>
          </w:p>
          <w:p w14:paraId="34C48B54" w14:textId="77777777" w:rsidR="00216D30" w:rsidRPr="00F31EE8" w:rsidRDefault="00216D30" w:rsidP="00216D30">
            <w:pPr>
              <w:rPr>
                <w:rFonts w:cs="Arial"/>
                <w:b/>
                <w:color w:val="000000"/>
              </w:rPr>
            </w:pPr>
            <w:r w:rsidRPr="00F31EE8">
              <w:rPr>
                <w:rFonts w:cs="Arial"/>
                <w:b/>
                <w:color w:val="000000"/>
              </w:rPr>
              <w:t>Endoscopic Ultrasound (EUS)</w:t>
            </w:r>
          </w:p>
          <w:p w14:paraId="7321D461" w14:textId="77777777" w:rsidR="00216D30" w:rsidRDefault="00216D30" w:rsidP="003B1653">
            <w:pPr>
              <w:pStyle w:val="ListParagraph"/>
              <w:numPr>
                <w:ilvl w:val="0"/>
                <w:numId w:val="55"/>
              </w:numPr>
              <w:jc w:val="left"/>
              <w:rPr>
                <w:rFonts w:cs="Arial"/>
                <w:color w:val="000000"/>
              </w:rPr>
            </w:pPr>
            <w:r>
              <w:rPr>
                <w:rFonts w:cs="Arial"/>
                <w:color w:val="000000"/>
              </w:rPr>
              <w:t>During 2019/2020 a regional option appraisal process was undertaken.  To ensure robust engagement with key stakeholders this was undertaken both “in-house” within health boards and at a regional workshop held on 13</w:t>
            </w:r>
            <w:r w:rsidRPr="00854EC8">
              <w:rPr>
                <w:rFonts w:cs="Arial"/>
                <w:color w:val="000000"/>
                <w:vertAlign w:val="superscript"/>
              </w:rPr>
              <w:t>th</w:t>
            </w:r>
            <w:r>
              <w:rPr>
                <w:rFonts w:cs="Arial"/>
                <w:color w:val="000000"/>
              </w:rPr>
              <w:t xml:space="preserve"> May 2019.  </w:t>
            </w:r>
          </w:p>
          <w:p w14:paraId="73DD7649" w14:textId="77777777" w:rsidR="00216D30" w:rsidRDefault="00216D30" w:rsidP="003B1653">
            <w:pPr>
              <w:pStyle w:val="ListParagraph"/>
              <w:numPr>
                <w:ilvl w:val="0"/>
                <w:numId w:val="55"/>
              </w:numPr>
              <w:jc w:val="left"/>
              <w:rPr>
                <w:rFonts w:cs="Arial"/>
                <w:color w:val="000000"/>
              </w:rPr>
            </w:pPr>
            <w:r>
              <w:rPr>
                <w:rFonts w:cs="Arial"/>
                <w:color w:val="000000"/>
              </w:rPr>
              <w:t xml:space="preserve">The Preferred Option:  All health boards agreed there would be enough activity in the future for a three site model, when demand reached the expected levels and that plans would be developed for a phased approach, as demand increased incrementally.  </w:t>
            </w:r>
          </w:p>
          <w:p w14:paraId="55C08CA9" w14:textId="77777777" w:rsidR="00216D30" w:rsidRDefault="00216D30" w:rsidP="003B1653">
            <w:pPr>
              <w:pStyle w:val="ListParagraph"/>
              <w:numPr>
                <w:ilvl w:val="0"/>
                <w:numId w:val="55"/>
              </w:numPr>
              <w:jc w:val="left"/>
              <w:rPr>
                <w:rFonts w:cs="Arial"/>
                <w:color w:val="000000"/>
              </w:rPr>
            </w:pPr>
            <w:r>
              <w:rPr>
                <w:rFonts w:cs="Arial"/>
                <w:color w:val="000000"/>
              </w:rPr>
              <w:t xml:space="preserve">Phase 1: To develop a networked two site model based on the current two providers in SE Wales at Aneurin Bevan and Cardiff and Vale UHBs.  This phase would focus on improving the sustainability of these current units by increasing capacity, trained operatives as well as utilising the capacity regionally. </w:t>
            </w:r>
          </w:p>
          <w:p w14:paraId="42654207" w14:textId="56E12388" w:rsidR="008B534D" w:rsidRPr="00216D30" w:rsidRDefault="00216D30" w:rsidP="003B1653">
            <w:pPr>
              <w:pStyle w:val="ListParagraph"/>
              <w:numPr>
                <w:ilvl w:val="0"/>
                <w:numId w:val="55"/>
              </w:numPr>
              <w:jc w:val="left"/>
              <w:rPr>
                <w:rFonts w:cs="Arial"/>
                <w:color w:val="000000"/>
              </w:rPr>
            </w:pPr>
            <w:r w:rsidRPr="00216D30">
              <w:rPr>
                <w:rFonts w:cs="Arial"/>
                <w:color w:val="000000"/>
              </w:rPr>
              <w:t xml:space="preserve">Phase 2:  As demand on the service increases, it was agreed there will be a need for extension of service provision.  There service would then be expanded to a three site model i.e development within the Diagnostic Hub within CTMUHB.  The training programme undertaken in Phase 1 to extend to CTMUHB staff.  </w:t>
            </w:r>
            <w:r w:rsidR="008B534D" w:rsidRPr="00216D30">
              <w:rPr>
                <w:rFonts w:cs="Arial"/>
                <w:color w:val="000000"/>
              </w:rPr>
              <w:t xml:space="preserve">  </w:t>
            </w:r>
          </w:p>
        </w:tc>
      </w:tr>
      <w:tr w:rsidR="008B534D" w:rsidRPr="000227C6" w14:paraId="38398BA2" w14:textId="77777777" w:rsidTr="007C77C9">
        <w:trPr>
          <w:trHeight w:val="837"/>
        </w:trPr>
        <w:tc>
          <w:tcPr>
            <w:tcW w:w="1663" w:type="dxa"/>
          </w:tcPr>
          <w:p w14:paraId="313D4970" w14:textId="697917FA" w:rsidR="008B534D" w:rsidRPr="00E95113" w:rsidRDefault="008B534D" w:rsidP="008B534D">
            <w:pPr>
              <w:autoSpaceDE w:val="0"/>
              <w:autoSpaceDN w:val="0"/>
              <w:adjustRightInd w:val="0"/>
              <w:jc w:val="left"/>
              <w:rPr>
                <w:rFonts w:asciiTheme="minorHAnsi" w:hAnsiTheme="minorHAnsi" w:cs="Calibri"/>
                <w:b/>
                <w:color w:val="000000"/>
                <w:szCs w:val="22"/>
              </w:rPr>
            </w:pPr>
            <w:r w:rsidRPr="00E95113">
              <w:rPr>
                <w:rFonts w:asciiTheme="minorHAnsi" w:hAnsiTheme="minorHAnsi" w:cs="Arial"/>
                <w:b/>
                <w:szCs w:val="22"/>
              </w:rPr>
              <w:lastRenderedPageBreak/>
              <w:t>Ophthalmology</w:t>
            </w:r>
          </w:p>
        </w:tc>
        <w:tc>
          <w:tcPr>
            <w:tcW w:w="8505" w:type="dxa"/>
          </w:tcPr>
          <w:p w14:paraId="17371BFE" w14:textId="0D855674" w:rsidR="008B534D" w:rsidRPr="00FC7D1E" w:rsidRDefault="00FC7D1E" w:rsidP="008B534D">
            <w:pPr>
              <w:rPr>
                <w:rFonts w:asciiTheme="minorHAnsi" w:hAnsiTheme="minorHAnsi" w:cs="Arial"/>
                <w:szCs w:val="22"/>
              </w:rPr>
            </w:pPr>
            <w:r w:rsidRPr="00FC7D1E">
              <w:rPr>
                <w:rFonts w:asciiTheme="minorHAnsi" w:hAnsiTheme="minorHAnsi" w:cs="Arial"/>
                <w:color w:val="943634" w:themeColor="accent2" w:themeShade="BF"/>
                <w:szCs w:val="22"/>
              </w:rPr>
              <w:t>ABUHB to provide</w:t>
            </w:r>
          </w:p>
        </w:tc>
      </w:tr>
      <w:tr w:rsidR="008B534D" w:rsidRPr="000227C6" w14:paraId="6AB8A404" w14:textId="77777777" w:rsidTr="007C77C9">
        <w:trPr>
          <w:trHeight w:val="837"/>
        </w:trPr>
        <w:tc>
          <w:tcPr>
            <w:tcW w:w="1663" w:type="dxa"/>
          </w:tcPr>
          <w:p w14:paraId="0C91252B" w14:textId="01C7B56A" w:rsidR="008B534D" w:rsidRPr="00E95113" w:rsidRDefault="008B534D" w:rsidP="008B534D">
            <w:pPr>
              <w:autoSpaceDE w:val="0"/>
              <w:autoSpaceDN w:val="0"/>
              <w:adjustRightInd w:val="0"/>
              <w:jc w:val="left"/>
              <w:rPr>
                <w:rFonts w:asciiTheme="minorHAnsi" w:hAnsiTheme="minorHAnsi" w:cs="Arial"/>
                <w:b/>
                <w:szCs w:val="22"/>
              </w:rPr>
            </w:pPr>
            <w:r w:rsidRPr="00E95113">
              <w:rPr>
                <w:rFonts w:asciiTheme="minorHAnsi" w:hAnsiTheme="minorHAnsi" w:cs="Arial"/>
                <w:b/>
                <w:szCs w:val="22"/>
              </w:rPr>
              <w:t>Orthopaedics</w:t>
            </w:r>
          </w:p>
        </w:tc>
        <w:tc>
          <w:tcPr>
            <w:tcW w:w="8505" w:type="dxa"/>
          </w:tcPr>
          <w:p w14:paraId="1409DB8B" w14:textId="77777777" w:rsidR="00216D30" w:rsidRPr="004E1621" w:rsidRDefault="00216D30" w:rsidP="003B1653">
            <w:pPr>
              <w:numPr>
                <w:ilvl w:val="0"/>
                <w:numId w:val="56"/>
              </w:numPr>
              <w:jc w:val="left"/>
              <w:rPr>
                <w:rFonts w:cs="Arial"/>
                <w:color w:val="000000"/>
              </w:rPr>
            </w:pPr>
            <w:r w:rsidRPr="004E1621">
              <w:rPr>
                <w:rFonts w:cs="Arial"/>
                <w:color w:val="000000"/>
              </w:rPr>
              <w:t>The Orthopaedics planning group identified limited benefits to regional collaboration on enhancing capacity given the local opportunities for both service pathway improvements and capacity development planning. Each UHB was focusing on specific local pathway and capacity reconfiguration and redevelopment opportunities to optimise local service sustainability and access. This related specifically to:</w:t>
            </w:r>
          </w:p>
          <w:p w14:paraId="59381D90" w14:textId="77777777" w:rsidR="00216D30" w:rsidRDefault="00216D30" w:rsidP="003B1653">
            <w:pPr>
              <w:pStyle w:val="ListParagraph"/>
              <w:numPr>
                <w:ilvl w:val="0"/>
                <w:numId w:val="57"/>
              </w:numPr>
              <w:jc w:val="left"/>
              <w:rPr>
                <w:rFonts w:cs="Arial"/>
                <w:color w:val="000000"/>
              </w:rPr>
            </w:pPr>
            <w:r w:rsidRPr="004E1621">
              <w:rPr>
                <w:rFonts w:cs="Arial"/>
                <w:color w:val="000000"/>
              </w:rPr>
              <w:t>the implementation of the clinical futures strategy in AB UHB;</w:t>
            </w:r>
          </w:p>
          <w:p w14:paraId="58D314BF" w14:textId="77777777" w:rsidR="00216D30" w:rsidRDefault="00216D30" w:rsidP="003B1653">
            <w:pPr>
              <w:pStyle w:val="ListParagraph"/>
              <w:numPr>
                <w:ilvl w:val="0"/>
                <w:numId w:val="57"/>
              </w:numPr>
              <w:jc w:val="left"/>
              <w:rPr>
                <w:rFonts w:cs="Arial"/>
                <w:color w:val="000000"/>
              </w:rPr>
            </w:pPr>
            <w:r w:rsidRPr="004E1621">
              <w:rPr>
                <w:rFonts w:cs="Arial"/>
                <w:color w:val="000000"/>
              </w:rPr>
              <w:t>the configuration opportunities presenting in CTM UHB with the inclusion of Princess of Wales within the UHB’s service and estates infrastructure; and</w:t>
            </w:r>
          </w:p>
          <w:p w14:paraId="1F76A429" w14:textId="54CABF1B" w:rsidR="00216D30" w:rsidRPr="00216D30" w:rsidRDefault="00216D30" w:rsidP="003B1653">
            <w:pPr>
              <w:pStyle w:val="ListParagraph"/>
              <w:numPr>
                <w:ilvl w:val="0"/>
                <w:numId w:val="57"/>
              </w:numPr>
              <w:jc w:val="left"/>
              <w:rPr>
                <w:rFonts w:cs="Arial"/>
                <w:color w:val="000000"/>
              </w:rPr>
            </w:pPr>
            <w:proofErr w:type="gramStart"/>
            <w:r w:rsidRPr="004E1621">
              <w:rPr>
                <w:rFonts w:cs="Arial"/>
                <w:color w:val="000000"/>
              </w:rPr>
              <w:t>the</w:t>
            </w:r>
            <w:proofErr w:type="gramEnd"/>
            <w:r w:rsidRPr="004E1621">
              <w:rPr>
                <w:rFonts w:cs="Arial"/>
                <w:color w:val="000000"/>
              </w:rPr>
              <w:t xml:space="preserve"> development of CAVOC at UHL as part of Cardiff’s strategic clinical services plan.</w:t>
            </w:r>
          </w:p>
          <w:p w14:paraId="374B9C51" w14:textId="23AEC84F" w:rsidR="008B534D" w:rsidRPr="00216D30" w:rsidRDefault="00216D30" w:rsidP="003B1653">
            <w:pPr>
              <w:pStyle w:val="ListParagraph"/>
              <w:numPr>
                <w:ilvl w:val="0"/>
                <w:numId w:val="58"/>
              </w:numPr>
              <w:ind w:left="317"/>
              <w:rPr>
                <w:rFonts w:asciiTheme="minorHAnsi" w:hAnsiTheme="minorHAnsi" w:cs="Arial"/>
                <w:b/>
                <w:szCs w:val="22"/>
              </w:rPr>
            </w:pPr>
            <w:r w:rsidRPr="00216D30">
              <w:rPr>
                <w:rFonts w:cs="Arial"/>
                <w:color w:val="000000"/>
              </w:rPr>
              <w:t>The clinical and planning time and commitment that is required to support the above is significant and was considered to be of better value to the individual UHBs and the wider regional system.</w:t>
            </w:r>
          </w:p>
        </w:tc>
      </w:tr>
    </w:tbl>
    <w:p w14:paraId="73CF70A5" w14:textId="77777777" w:rsidR="000227C6" w:rsidRPr="000227C6" w:rsidRDefault="000227C6" w:rsidP="00BF0C95">
      <w:pPr>
        <w:rPr>
          <w:rFonts w:asciiTheme="minorHAnsi" w:hAnsiTheme="minorHAnsi"/>
          <w:szCs w:val="22"/>
          <w:highlight w:val="yellow"/>
        </w:rPr>
      </w:pPr>
    </w:p>
    <w:p w14:paraId="3CC43207" w14:textId="605DE2DA" w:rsidR="000227C6" w:rsidRPr="000227C6" w:rsidRDefault="008B534D" w:rsidP="000227C6">
      <w:pPr>
        <w:rPr>
          <w:rFonts w:asciiTheme="minorHAnsi" w:hAnsiTheme="minorHAnsi" w:cs="Arial"/>
          <w:szCs w:val="22"/>
        </w:rPr>
      </w:pPr>
      <w:r>
        <w:rPr>
          <w:rFonts w:asciiTheme="minorHAnsi" w:hAnsiTheme="minorHAnsi" w:cs="Arial"/>
          <w:szCs w:val="22"/>
        </w:rPr>
        <w:t>The 2020/21</w:t>
      </w:r>
      <w:r w:rsidR="000227C6" w:rsidRPr="000227C6">
        <w:rPr>
          <w:rFonts w:asciiTheme="minorHAnsi" w:hAnsiTheme="minorHAnsi" w:cs="Arial"/>
          <w:szCs w:val="22"/>
        </w:rPr>
        <w:t xml:space="preserve"> work programme seeks to build upon progress made to date and the maturing approach to regional planning, with the following summarising the specialty work programmes.</w:t>
      </w:r>
    </w:p>
    <w:p w14:paraId="6D25AFF1" w14:textId="77777777" w:rsidR="000227C6" w:rsidRPr="000227C6" w:rsidRDefault="000227C6" w:rsidP="00BF0C95">
      <w:pPr>
        <w:rPr>
          <w:rFonts w:asciiTheme="minorHAnsi" w:hAnsiTheme="minorHAnsi"/>
          <w:szCs w:val="22"/>
          <w:highlight w:val="yellow"/>
        </w:rPr>
      </w:pPr>
    </w:p>
    <w:tbl>
      <w:tblPr>
        <w:tblW w:w="101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3"/>
        <w:gridCol w:w="8505"/>
      </w:tblGrid>
      <w:tr w:rsidR="007C77C9" w:rsidRPr="007C77C9" w14:paraId="5736993F" w14:textId="77777777" w:rsidTr="007C77C9">
        <w:trPr>
          <w:trHeight w:val="351"/>
          <w:tblHeader/>
        </w:trPr>
        <w:tc>
          <w:tcPr>
            <w:tcW w:w="1663" w:type="dxa"/>
            <w:shd w:val="clear" w:color="auto" w:fill="17365D" w:themeFill="text2" w:themeFillShade="BF"/>
          </w:tcPr>
          <w:p w14:paraId="6C7F972A" w14:textId="77777777" w:rsidR="000227C6" w:rsidRPr="00F33761" w:rsidRDefault="000227C6" w:rsidP="00195C09">
            <w:pPr>
              <w:autoSpaceDE w:val="0"/>
              <w:autoSpaceDN w:val="0"/>
              <w:adjustRightInd w:val="0"/>
              <w:jc w:val="left"/>
              <w:rPr>
                <w:rFonts w:asciiTheme="minorHAnsi" w:hAnsiTheme="minorHAnsi" w:cs="Calibri"/>
                <w:color w:val="FFFFFF" w:themeColor="background1"/>
                <w:szCs w:val="22"/>
              </w:rPr>
            </w:pPr>
            <w:r w:rsidRPr="00F33761">
              <w:rPr>
                <w:rFonts w:asciiTheme="minorHAnsi" w:hAnsiTheme="minorHAnsi" w:cs="Calibri"/>
                <w:bCs/>
                <w:color w:val="FFFFFF" w:themeColor="background1"/>
                <w:szCs w:val="22"/>
              </w:rPr>
              <w:t xml:space="preserve">Workstream </w:t>
            </w:r>
          </w:p>
        </w:tc>
        <w:tc>
          <w:tcPr>
            <w:tcW w:w="8505" w:type="dxa"/>
            <w:shd w:val="clear" w:color="auto" w:fill="17365D" w:themeFill="text2" w:themeFillShade="BF"/>
          </w:tcPr>
          <w:p w14:paraId="75D71467" w14:textId="6C502209" w:rsidR="000227C6" w:rsidRPr="007C77C9" w:rsidRDefault="008B534D" w:rsidP="00195C09">
            <w:pPr>
              <w:autoSpaceDE w:val="0"/>
              <w:autoSpaceDN w:val="0"/>
              <w:adjustRightInd w:val="0"/>
              <w:jc w:val="left"/>
              <w:rPr>
                <w:rFonts w:asciiTheme="minorHAnsi" w:hAnsiTheme="minorHAnsi" w:cs="Calibri"/>
                <w:color w:val="FFFFFF" w:themeColor="background1"/>
                <w:szCs w:val="22"/>
              </w:rPr>
            </w:pPr>
            <w:r>
              <w:rPr>
                <w:rFonts w:asciiTheme="minorHAnsi" w:hAnsiTheme="minorHAnsi" w:cs="Calibri"/>
                <w:b/>
                <w:bCs/>
                <w:color w:val="FFFFFF" w:themeColor="background1"/>
                <w:szCs w:val="22"/>
              </w:rPr>
              <w:t>2020/21</w:t>
            </w:r>
            <w:r w:rsidR="000227C6" w:rsidRPr="007C77C9">
              <w:rPr>
                <w:rFonts w:asciiTheme="minorHAnsi" w:hAnsiTheme="minorHAnsi" w:cs="Calibri"/>
                <w:b/>
                <w:bCs/>
                <w:color w:val="FFFFFF" w:themeColor="background1"/>
                <w:szCs w:val="22"/>
              </w:rPr>
              <w:t xml:space="preserve"> Work Programme</w:t>
            </w:r>
          </w:p>
        </w:tc>
      </w:tr>
      <w:tr w:rsidR="000227C6" w:rsidRPr="000227C6" w14:paraId="67C61AD2" w14:textId="77777777" w:rsidTr="007C77C9">
        <w:trPr>
          <w:trHeight w:val="925"/>
        </w:trPr>
        <w:tc>
          <w:tcPr>
            <w:tcW w:w="1663" w:type="dxa"/>
          </w:tcPr>
          <w:p w14:paraId="64A1DA07" w14:textId="2860809D" w:rsidR="000227C6" w:rsidRPr="00F33761" w:rsidRDefault="00F33761" w:rsidP="00195C09">
            <w:pPr>
              <w:autoSpaceDE w:val="0"/>
              <w:autoSpaceDN w:val="0"/>
              <w:adjustRightInd w:val="0"/>
              <w:jc w:val="left"/>
              <w:rPr>
                <w:rFonts w:asciiTheme="minorHAnsi" w:hAnsiTheme="minorHAnsi" w:cs="Calibri"/>
                <w:b/>
                <w:color w:val="000000"/>
                <w:szCs w:val="22"/>
              </w:rPr>
            </w:pPr>
            <w:r>
              <w:rPr>
                <w:rFonts w:asciiTheme="minorHAnsi" w:hAnsiTheme="minorHAnsi" w:cs="Calibri"/>
                <w:b/>
                <w:color w:val="000000"/>
                <w:szCs w:val="22"/>
              </w:rPr>
              <w:t>Emergency Medicine (A&amp;E), acute Medicine and Inpatient Paediatrics</w:t>
            </w:r>
          </w:p>
        </w:tc>
        <w:tc>
          <w:tcPr>
            <w:tcW w:w="8505" w:type="dxa"/>
          </w:tcPr>
          <w:p w14:paraId="6DF4E2D2" w14:textId="77777777" w:rsidR="00F33761" w:rsidRPr="004E1621" w:rsidRDefault="00F33761" w:rsidP="003B1653">
            <w:pPr>
              <w:numPr>
                <w:ilvl w:val="0"/>
                <w:numId w:val="24"/>
              </w:numPr>
              <w:spacing w:line="259" w:lineRule="auto"/>
              <w:ind w:left="317"/>
              <w:jc w:val="left"/>
              <w:rPr>
                <w:rFonts w:cs="Arial"/>
              </w:rPr>
            </w:pPr>
            <w:r w:rsidRPr="004E1621">
              <w:rPr>
                <w:rFonts w:cs="Arial"/>
              </w:rPr>
              <w:t>To establish a programme of work to implement the remaining requirements of the South Wales Programme (SWP) namely emergency medicine, acute medicine and consultant led inpatient paediatric services</w:t>
            </w:r>
          </w:p>
          <w:p w14:paraId="66AE7CAF" w14:textId="77777777" w:rsidR="00F33761" w:rsidRPr="004E1621" w:rsidRDefault="00F33761" w:rsidP="003B1653">
            <w:pPr>
              <w:pStyle w:val="ListParagraph"/>
              <w:numPr>
                <w:ilvl w:val="0"/>
                <w:numId w:val="24"/>
              </w:numPr>
              <w:ind w:left="317"/>
              <w:jc w:val="left"/>
              <w:rPr>
                <w:rFonts w:cs="Arial"/>
              </w:rPr>
            </w:pPr>
            <w:r w:rsidRPr="004E1621">
              <w:rPr>
                <w:rFonts w:cs="Arial"/>
              </w:rPr>
              <w:t>To establish a regional project structure.</w:t>
            </w:r>
          </w:p>
          <w:p w14:paraId="2BF81839" w14:textId="4EF24314" w:rsidR="000227C6" w:rsidRPr="00195C09" w:rsidRDefault="00F33761" w:rsidP="003B1653">
            <w:pPr>
              <w:pStyle w:val="ListParagraph"/>
              <w:numPr>
                <w:ilvl w:val="0"/>
                <w:numId w:val="24"/>
              </w:numPr>
              <w:autoSpaceDE w:val="0"/>
              <w:autoSpaceDN w:val="0"/>
              <w:adjustRightInd w:val="0"/>
              <w:ind w:left="317"/>
              <w:jc w:val="left"/>
              <w:rPr>
                <w:rFonts w:asciiTheme="minorHAnsi" w:hAnsiTheme="minorHAnsi" w:cs="Calibri"/>
                <w:color w:val="000000"/>
                <w:szCs w:val="22"/>
              </w:rPr>
            </w:pPr>
            <w:r w:rsidRPr="004E1621">
              <w:rPr>
                <w:rFonts w:cs="Arial"/>
              </w:rPr>
              <w:t>To review the SWP emergency medicine model within the current regional context, understanding any changes which have taken place since the SWP agreement.</w:t>
            </w:r>
          </w:p>
        </w:tc>
      </w:tr>
      <w:tr w:rsidR="000227C6" w:rsidRPr="000227C6" w14:paraId="6D9A9781" w14:textId="77777777" w:rsidTr="007C77C9">
        <w:trPr>
          <w:trHeight w:val="1126"/>
        </w:trPr>
        <w:tc>
          <w:tcPr>
            <w:tcW w:w="1663" w:type="dxa"/>
          </w:tcPr>
          <w:p w14:paraId="35FFDB82" w14:textId="77777777" w:rsidR="000227C6" w:rsidRPr="00E95113" w:rsidRDefault="000227C6" w:rsidP="00195C09">
            <w:pPr>
              <w:autoSpaceDE w:val="0"/>
              <w:autoSpaceDN w:val="0"/>
              <w:adjustRightInd w:val="0"/>
              <w:jc w:val="left"/>
              <w:rPr>
                <w:rFonts w:asciiTheme="minorHAnsi" w:hAnsiTheme="minorHAnsi" w:cs="Calibri"/>
                <w:b/>
                <w:color w:val="000000"/>
                <w:szCs w:val="22"/>
              </w:rPr>
            </w:pPr>
            <w:r w:rsidRPr="00E95113">
              <w:rPr>
                <w:rFonts w:asciiTheme="minorHAnsi" w:hAnsiTheme="minorHAnsi" w:cs="Calibri"/>
                <w:b/>
                <w:color w:val="000000"/>
                <w:szCs w:val="22"/>
              </w:rPr>
              <w:t xml:space="preserve">Vascular services </w:t>
            </w:r>
          </w:p>
        </w:tc>
        <w:tc>
          <w:tcPr>
            <w:tcW w:w="8505" w:type="dxa"/>
          </w:tcPr>
          <w:p w14:paraId="63F40DE0" w14:textId="77777777" w:rsidR="00F33761" w:rsidRPr="006637B7" w:rsidRDefault="00803379" w:rsidP="003B1653">
            <w:pPr>
              <w:numPr>
                <w:ilvl w:val="0"/>
                <w:numId w:val="52"/>
              </w:numPr>
              <w:spacing w:line="259" w:lineRule="auto"/>
              <w:jc w:val="left"/>
              <w:rPr>
                <w:rFonts w:cs="Arial"/>
                <w:color w:val="000000"/>
              </w:rPr>
            </w:pPr>
            <w:r w:rsidRPr="00195C09">
              <w:rPr>
                <w:rFonts w:asciiTheme="minorHAnsi" w:hAnsiTheme="minorHAnsi" w:cs="Calibri"/>
                <w:color w:val="000000"/>
                <w:szCs w:val="22"/>
              </w:rPr>
              <w:t xml:space="preserve"> </w:t>
            </w:r>
            <w:r w:rsidR="00F33761" w:rsidRPr="006637B7">
              <w:rPr>
                <w:rFonts w:cs="Arial"/>
                <w:color w:val="000000"/>
              </w:rPr>
              <w:t>Post implementation review of the Out of Hours Interventional Radiology Service.</w:t>
            </w:r>
          </w:p>
          <w:p w14:paraId="2566FCDA" w14:textId="77777777" w:rsidR="000227C6" w:rsidRPr="00F33761" w:rsidRDefault="00F33761" w:rsidP="003B1653">
            <w:pPr>
              <w:pStyle w:val="ListParagraph"/>
              <w:numPr>
                <w:ilvl w:val="0"/>
                <w:numId w:val="24"/>
              </w:numPr>
              <w:autoSpaceDE w:val="0"/>
              <w:autoSpaceDN w:val="0"/>
              <w:adjustRightInd w:val="0"/>
              <w:ind w:left="357" w:hanging="357"/>
              <w:jc w:val="left"/>
              <w:rPr>
                <w:rFonts w:asciiTheme="minorHAnsi" w:hAnsiTheme="minorHAnsi" w:cs="Calibri"/>
                <w:color w:val="000000"/>
                <w:szCs w:val="22"/>
              </w:rPr>
            </w:pPr>
            <w:proofErr w:type="gramStart"/>
            <w:r>
              <w:rPr>
                <w:rFonts w:cs="Arial"/>
                <w:color w:val="000000"/>
              </w:rPr>
              <w:t>to</w:t>
            </w:r>
            <w:proofErr w:type="gramEnd"/>
            <w:r>
              <w:rPr>
                <w:rFonts w:cs="Arial"/>
                <w:color w:val="000000"/>
              </w:rPr>
              <w:t xml:space="preserve"> implement from August 2020 subject to successful public engagement and consultation</w:t>
            </w:r>
            <w:r w:rsidRPr="006637B7">
              <w:rPr>
                <w:rFonts w:cs="Arial"/>
                <w:color w:val="000000"/>
              </w:rPr>
              <w:t xml:space="preserve"> Submission of a capital case for a hybrid theatre at the University Hospital of Wales to support centralisation</w:t>
            </w:r>
            <w:r>
              <w:rPr>
                <w:rFonts w:cs="Arial"/>
                <w:color w:val="000000"/>
              </w:rPr>
              <w:t>.</w:t>
            </w:r>
          </w:p>
          <w:p w14:paraId="6EE1F5AB" w14:textId="2634B855" w:rsidR="00F33761" w:rsidRPr="00195C09" w:rsidRDefault="00F33761" w:rsidP="003B1653">
            <w:pPr>
              <w:pStyle w:val="ListParagraph"/>
              <w:numPr>
                <w:ilvl w:val="0"/>
                <w:numId w:val="24"/>
              </w:numPr>
              <w:autoSpaceDE w:val="0"/>
              <w:autoSpaceDN w:val="0"/>
              <w:adjustRightInd w:val="0"/>
              <w:ind w:left="357" w:hanging="357"/>
              <w:jc w:val="left"/>
              <w:rPr>
                <w:rFonts w:asciiTheme="minorHAnsi" w:hAnsiTheme="minorHAnsi" w:cs="Calibri"/>
                <w:color w:val="000000"/>
                <w:szCs w:val="22"/>
              </w:rPr>
            </w:pPr>
            <w:r>
              <w:rPr>
                <w:rFonts w:cs="Arial"/>
                <w:color w:val="000000"/>
              </w:rPr>
              <w:lastRenderedPageBreak/>
              <w:t>Undertake Public Engagement and consultation in early 2020</w:t>
            </w:r>
          </w:p>
        </w:tc>
      </w:tr>
      <w:tr w:rsidR="00195C09" w:rsidRPr="000227C6" w14:paraId="395F666E" w14:textId="77777777" w:rsidTr="007C77C9">
        <w:trPr>
          <w:trHeight w:val="837"/>
        </w:trPr>
        <w:tc>
          <w:tcPr>
            <w:tcW w:w="1663" w:type="dxa"/>
          </w:tcPr>
          <w:p w14:paraId="02249C70" w14:textId="77777777" w:rsidR="00195C09" w:rsidRPr="00E95113" w:rsidRDefault="00195C09" w:rsidP="00195C09">
            <w:pPr>
              <w:autoSpaceDE w:val="0"/>
              <w:autoSpaceDN w:val="0"/>
              <w:adjustRightInd w:val="0"/>
              <w:jc w:val="left"/>
              <w:rPr>
                <w:rFonts w:asciiTheme="minorHAnsi" w:hAnsiTheme="minorHAnsi" w:cs="Calibri"/>
                <w:b/>
                <w:color w:val="000000"/>
                <w:szCs w:val="22"/>
              </w:rPr>
            </w:pPr>
            <w:r w:rsidRPr="00E95113">
              <w:rPr>
                <w:rFonts w:asciiTheme="minorHAnsi" w:hAnsiTheme="minorHAnsi" w:cs="Calibri"/>
                <w:b/>
                <w:color w:val="000000"/>
                <w:szCs w:val="22"/>
              </w:rPr>
              <w:lastRenderedPageBreak/>
              <w:t>Diagnostics</w:t>
            </w:r>
          </w:p>
        </w:tc>
        <w:tc>
          <w:tcPr>
            <w:tcW w:w="8505" w:type="dxa"/>
          </w:tcPr>
          <w:p w14:paraId="1C99C34E" w14:textId="134702FB" w:rsidR="008B534D" w:rsidRPr="008B534D" w:rsidRDefault="008B534D" w:rsidP="008B534D">
            <w:pPr>
              <w:spacing w:line="259" w:lineRule="auto"/>
              <w:rPr>
                <w:rFonts w:cs="Arial"/>
              </w:rPr>
            </w:pPr>
            <w:r w:rsidRPr="008B534D">
              <w:rPr>
                <w:rFonts w:cs="Arial"/>
              </w:rPr>
              <w:t>In relation to CT and MRI the regional group has:</w:t>
            </w:r>
          </w:p>
          <w:p w14:paraId="51E63EB5" w14:textId="77777777" w:rsidR="008B534D" w:rsidRPr="008B534D" w:rsidRDefault="008B534D" w:rsidP="003B1653">
            <w:pPr>
              <w:pStyle w:val="ListParagraph"/>
              <w:numPr>
                <w:ilvl w:val="0"/>
                <w:numId w:val="46"/>
              </w:numPr>
              <w:spacing w:line="259" w:lineRule="auto"/>
              <w:ind w:left="357" w:hanging="357"/>
              <w:jc w:val="left"/>
              <w:rPr>
                <w:rFonts w:cs="Arial"/>
              </w:rPr>
            </w:pPr>
            <w:r w:rsidRPr="008B534D">
              <w:rPr>
                <w:rFonts w:cs="Arial"/>
              </w:rPr>
              <w:t>Agreed to continue using a standardised approach to demand and capacity planning with the support of the delivery Unit, to strengthen the planning of the regional work.</w:t>
            </w:r>
          </w:p>
          <w:p w14:paraId="09008883" w14:textId="77777777" w:rsidR="008B534D" w:rsidRPr="008B534D" w:rsidRDefault="008B534D" w:rsidP="003B1653">
            <w:pPr>
              <w:pStyle w:val="ListParagraph"/>
              <w:numPr>
                <w:ilvl w:val="0"/>
                <w:numId w:val="46"/>
              </w:numPr>
              <w:spacing w:line="259" w:lineRule="auto"/>
              <w:ind w:left="357" w:hanging="357"/>
              <w:jc w:val="left"/>
              <w:rPr>
                <w:rFonts w:cs="Arial"/>
              </w:rPr>
            </w:pPr>
            <w:r w:rsidRPr="008B534D">
              <w:rPr>
                <w:rFonts w:cs="Arial"/>
              </w:rPr>
              <w:t xml:space="preserve">As part of the collaborative approach, spare capacity within the CTMUHB Diagnostic hub will continue to be offered </w:t>
            </w:r>
            <w:proofErr w:type="gramStart"/>
            <w:r w:rsidRPr="008B534D">
              <w:rPr>
                <w:rFonts w:cs="Arial"/>
              </w:rPr>
              <w:t>up  to</w:t>
            </w:r>
            <w:proofErr w:type="gramEnd"/>
            <w:r w:rsidRPr="008B534D">
              <w:rPr>
                <w:rFonts w:cs="Arial"/>
              </w:rPr>
              <w:t xml:space="preserve"> partners in the region.  Commissioning arrangements are to be formalised.</w:t>
            </w:r>
          </w:p>
          <w:p w14:paraId="7481CC7F" w14:textId="77777777" w:rsidR="008B534D" w:rsidRPr="008B534D" w:rsidRDefault="008B534D" w:rsidP="003B1653">
            <w:pPr>
              <w:pStyle w:val="ListParagraph"/>
              <w:numPr>
                <w:ilvl w:val="0"/>
                <w:numId w:val="46"/>
              </w:numPr>
              <w:spacing w:line="259" w:lineRule="auto"/>
              <w:ind w:left="357" w:hanging="357"/>
              <w:jc w:val="left"/>
              <w:rPr>
                <w:rFonts w:cs="Arial"/>
              </w:rPr>
            </w:pPr>
            <w:r w:rsidRPr="008B534D">
              <w:rPr>
                <w:rFonts w:cs="Arial"/>
              </w:rPr>
              <w:t>Work on how the mobile MRIs currently in use in Cardiff will be managed regionally via Diagnostic Hub in 2020/21.</w:t>
            </w:r>
          </w:p>
          <w:p w14:paraId="328F2C35" w14:textId="77777777" w:rsidR="008B534D" w:rsidRPr="008B534D" w:rsidRDefault="008B534D" w:rsidP="003B1653">
            <w:pPr>
              <w:pStyle w:val="ListParagraph"/>
              <w:numPr>
                <w:ilvl w:val="0"/>
                <w:numId w:val="46"/>
              </w:numPr>
              <w:spacing w:line="259" w:lineRule="auto"/>
              <w:ind w:left="357" w:hanging="357"/>
              <w:jc w:val="left"/>
              <w:rPr>
                <w:rFonts w:cs="Arial"/>
              </w:rPr>
            </w:pPr>
            <w:r w:rsidRPr="008B534D">
              <w:rPr>
                <w:rFonts w:cs="Arial"/>
              </w:rPr>
              <w:t>All Health Boards have identified that reporting capacity remains an issue and that all were outsourcing to managing this increasing problem.  The South Central &amp; East Regional Planning &amp; Delivery Forum have requested an assessment across health boards be undertake to determine the scale of the problem.  Following this exercise a decision will be made as to whether imaging reporting becomes a work stream to be taken forward collaboratively during 2020/21.</w:t>
            </w:r>
          </w:p>
          <w:p w14:paraId="399FC1B3" w14:textId="77777777" w:rsidR="008B534D" w:rsidRPr="008B534D" w:rsidRDefault="008B534D" w:rsidP="008B534D">
            <w:pPr>
              <w:spacing w:line="259" w:lineRule="auto"/>
              <w:rPr>
                <w:rFonts w:cs="Arial"/>
              </w:rPr>
            </w:pPr>
            <w:r w:rsidRPr="008B534D">
              <w:rPr>
                <w:rFonts w:cs="Arial"/>
              </w:rPr>
              <w:t>Endoscopy</w:t>
            </w:r>
          </w:p>
          <w:p w14:paraId="40D6BEB4" w14:textId="77777777" w:rsidR="008B534D" w:rsidRPr="008B534D" w:rsidRDefault="008B534D" w:rsidP="008B534D">
            <w:pPr>
              <w:spacing w:line="259" w:lineRule="auto"/>
              <w:rPr>
                <w:rFonts w:cs="Arial"/>
                <w:iCs/>
              </w:rPr>
            </w:pPr>
            <w:r w:rsidRPr="008B534D">
              <w:rPr>
                <w:rFonts w:cs="Arial"/>
                <w:iCs/>
              </w:rPr>
              <w:t>For 2020/21, the regional group will:</w:t>
            </w:r>
          </w:p>
          <w:p w14:paraId="095ECE98" w14:textId="77777777" w:rsidR="008B534D" w:rsidRPr="008B534D" w:rsidRDefault="008B534D" w:rsidP="003B1653">
            <w:pPr>
              <w:pStyle w:val="ListParagraph"/>
              <w:numPr>
                <w:ilvl w:val="0"/>
                <w:numId w:val="47"/>
              </w:numPr>
              <w:spacing w:line="259" w:lineRule="auto"/>
              <w:ind w:left="357" w:hanging="357"/>
              <w:jc w:val="left"/>
              <w:rPr>
                <w:rFonts w:cs="Arial"/>
                <w:iCs/>
              </w:rPr>
            </w:pPr>
            <w:r w:rsidRPr="008B534D">
              <w:rPr>
                <w:rFonts w:cs="Arial"/>
                <w:iCs/>
              </w:rPr>
              <w:t xml:space="preserve">Utilise the standardised approach to demand and capacity planning for endoscopy being developed, with the support of the delivery unit, within the National Endoscopy Programme Board.  </w:t>
            </w:r>
          </w:p>
          <w:p w14:paraId="15285079" w14:textId="77777777" w:rsidR="008B534D" w:rsidRPr="008B534D" w:rsidRDefault="008B534D" w:rsidP="003B1653">
            <w:pPr>
              <w:pStyle w:val="ListParagraph"/>
              <w:numPr>
                <w:ilvl w:val="0"/>
                <w:numId w:val="47"/>
              </w:numPr>
              <w:spacing w:line="259" w:lineRule="auto"/>
              <w:ind w:left="357" w:hanging="357"/>
              <w:jc w:val="left"/>
              <w:rPr>
                <w:rFonts w:cs="Arial"/>
                <w:iCs/>
              </w:rPr>
            </w:pPr>
            <w:r w:rsidRPr="008B534D">
              <w:rPr>
                <w:rFonts w:cs="Arial"/>
                <w:iCs/>
              </w:rPr>
              <w:t xml:space="preserve">Assess demand and capacity and explore opportunities for joint working and shared working </w:t>
            </w:r>
            <w:r w:rsidRPr="008B534D">
              <w:rPr>
                <w:rFonts w:cs="Arial"/>
              </w:rPr>
              <w:t>around solutions for meeting any shortfall in capacity.</w:t>
            </w:r>
          </w:p>
          <w:p w14:paraId="46A3EEB9" w14:textId="77777777" w:rsidR="008B534D" w:rsidRPr="008B534D" w:rsidRDefault="008B534D" w:rsidP="003B1653">
            <w:pPr>
              <w:pStyle w:val="ListParagraph"/>
              <w:numPr>
                <w:ilvl w:val="0"/>
                <w:numId w:val="47"/>
              </w:numPr>
              <w:spacing w:line="259" w:lineRule="auto"/>
              <w:ind w:left="357" w:hanging="357"/>
              <w:jc w:val="left"/>
              <w:rPr>
                <w:rFonts w:cs="Arial"/>
              </w:rPr>
            </w:pPr>
            <w:r w:rsidRPr="008B534D">
              <w:rPr>
                <w:rFonts w:cs="Arial"/>
              </w:rPr>
              <w:t>CTMUHB will continue to progress plans to expand Endoscopy services as part of phase 2 of the Diagnostic hub project, which could provide opportunities for the region.</w:t>
            </w:r>
          </w:p>
          <w:p w14:paraId="1A0A14F6" w14:textId="77777777" w:rsidR="008B534D" w:rsidRPr="008B534D" w:rsidRDefault="008B534D" w:rsidP="008B534D">
            <w:pPr>
              <w:spacing w:line="259" w:lineRule="auto"/>
              <w:rPr>
                <w:rFonts w:cs="Arial"/>
                <w:iCs/>
              </w:rPr>
            </w:pPr>
            <w:r w:rsidRPr="008B534D">
              <w:rPr>
                <w:rFonts w:cs="Arial"/>
                <w:iCs/>
              </w:rPr>
              <w:t>EUS</w:t>
            </w:r>
          </w:p>
          <w:p w14:paraId="0FD2EE79" w14:textId="77777777" w:rsidR="008B534D" w:rsidRPr="008B534D" w:rsidRDefault="008B534D" w:rsidP="003B1653">
            <w:pPr>
              <w:pStyle w:val="ListParagraph"/>
              <w:numPr>
                <w:ilvl w:val="0"/>
                <w:numId w:val="45"/>
              </w:numPr>
              <w:jc w:val="left"/>
              <w:rPr>
                <w:rFonts w:cs="Arial"/>
                <w:iCs/>
              </w:rPr>
            </w:pPr>
            <w:r w:rsidRPr="008B534D">
              <w:rPr>
                <w:rFonts w:cs="Arial"/>
                <w:iCs/>
              </w:rPr>
              <w:t>Continue to progress work to implement Phase 1 of the network EUS model as described between Aneurin Bevan and Cardiff and Vale UHBs.</w:t>
            </w:r>
          </w:p>
          <w:p w14:paraId="2A1347EA" w14:textId="77777777" w:rsidR="008B534D" w:rsidRPr="008B534D" w:rsidRDefault="008B534D" w:rsidP="003B1653">
            <w:pPr>
              <w:pStyle w:val="ListParagraph"/>
              <w:numPr>
                <w:ilvl w:val="0"/>
                <w:numId w:val="45"/>
              </w:numPr>
              <w:jc w:val="left"/>
              <w:rPr>
                <w:rFonts w:cs="Arial"/>
                <w:iCs/>
              </w:rPr>
            </w:pPr>
            <w:r w:rsidRPr="008B534D">
              <w:rPr>
                <w:rFonts w:cs="Arial"/>
                <w:iCs/>
              </w:rPr>
              <w:t xml:space="preserve">Continue to establish and implement a training programme across the three UHBs. </w:t>
            </w:r>
          </w:p>
          <w:p w14:paraId="72E0E934" w14:textId="40BA9913" w:rsidR="00195C09" w:rsidRPr="008B534D" w:rsidRDefault="008B534D" w:rsidP="003B1653">
            <w:pPr>
              <w:pStyle w:val="ListParagraph"/>
              <w:numPr>
                <w:ilvl w:val="0"/>
                <w:numId w:val="25"/>
              </w:numPr>
              <w:autoSpaceDE w:val="0"/>
              <w:autoSpaceDN w:val="0"/>
              <w:adjustRightInd w:val="0"/>
              <w:ind w:left="357" w:hanging="357"/>
              <w:jc w:val="left"/>
              <w:rPr>
                <w:rFonts w:asciiTheme="minorHAnsi" w:hAnsiTheme="minorHAnsi" w:cs="Calibri"/>
                <w:szCs w:val="22"/>
              </w:rPr>
            </w:pPr>
            <w:r w:rsidRPr="008B534D">
              <w:rPr>
                <w:rFonts w:cs="Arial"/>
                <w:iCs/>
              </w:rPr>
              <w:t xml:space="preserve">Continue to develop a joint booking system for the EUS service.  </w:t>
            </w:r>
          </w:p>
        </w:tc>
      </w:tr>
      <w:tr w:rsidR="00195C09" w:rsidRPr="000227C6" w14:paraId="6B125307" w14:textId="77777777" w:rsidTr="007C77C9">
        <w:trPr>
          <w:trHeight w:val="837"/>
        </w:trPr>
        <w:tc>
          <w:tcPr>
            <w:tcW w:w="1663" w:type="dxa"/>
          </w:tcPr>
          <w:p w14:paraId="1BE94B3A" w14:textId="77777777" w:rsidR="00195C09" w:rsidRPr="00E95113" w:rsidRDefault="00195C09" w:rsidP="00195C09">
            <w:pPr>
              <w:autoSpaceDE w:val="0"/>
              <w:autoSpaceDN w:val="0"/>
              <w:adjustRightInd w:val="0"/>
              <w:jc w:val="left"/>
              <w:rPr>
                <w:rFonts w:asciiTheme="minorHAnsi" w:hAnsiTheme="minorHAnsi" w:cs="Calibri"/>
                <w:b/>
                <w:color w:val="000000"/>
                <w:szCs w:val="22"/>
              </w:rPr>
            </w:pPr>
            <w:r w:rsidRPr="00E95113">
              <w:rPr>
                <w:rFonts w:asciiTheme="minorHAnsi" w:hAnsiTheme="minorHAnsi" w:cs="Arial"/>
                <w:b/>
                <w:szCs w:val="22"/>
              </w:rPr>
              <w:t>Ophthalmology</w:t>
            </w:r>
          </w:p>
        </w:tc>
        <w:tc>
          <w:tcPr>
            <w:tcW w:w="8505" w:type="dxa"/>
          </w:tcPr>
          <w:p w14:paraId="5BE49418" w14:textId="4F834285" w:rsidR="00195C09" w:rsidRPr="00195C09" w:rsidRDefault="00FC7D1E" w:rsidP="003B1653">
            <w:pPr>
              <w:pStyle w:val="ListParagraph"/>
              <w:numPr>
                <w:ilvl w:val="0"/>
                <w:numId w:val="25"/>
              </w:numPr>
              <w:ind w:left="357" w:hanging="357"/>
              <w:rPr>
                <w:rFonts w:asciiTheme="minorHAnsi" w:hAnsiTheme="minorHAnsi" w:cs="Arial"/>
                <w:b/>
                <w:szCs w:val="22"/>
              </w:rPr>
            </w:pPr>
            <w:r w:rsidRPr="00FC7D1E">
              <w:rPr>
                <w:rFonts w:asciiTheme="minorHAnsi" w:hAnsiTheme="minorHAnsi" w:cs="Arial"/>
                <w:color w:val="943634" w:themeColor="accent2" w:themeShade="BF"/>
                <w:szCs w:val="22"/>
              </w:rPr>
              <w:t>ABUHB to provide</w:t>
            </w:r>
          </w:p>
        </w:tc>
      </w:tr>
    </w:tbl>
    <w:p w14:paraId="6DBBEFC6" w14:textId="5DEA62BC" w:rsidR="00404AD9" w:rsidRPr="00195C09" w:rsidRDefault="00404AD9" w:rsidP="00404AD9">
      <w:pPr>
        <w:pStyle w:val="Heading4"/>
        <w:ind w:left="1077" w:hanging="1077"/>
        <w:rPr>
          <w:szCs w:val="22"/>
        </w:rPr>
      </w:pPr>
      <w:r>
        <w:rPr>
          <w:szCs w:val="22"/>
        </w:rPr>
        <w:t xml:space="preserve">Additional </w:t>
      </w:r>
      <w:r w:rsidRPr="00195C09">
        <w:rPr>
          <w:szCs w:val="22"/>
        </w:rPr>
        <w:t>Regional Collaboration</w:t>
      </w:r>
    </w:p>
    <w:p w14:paraId="024653AE" w14:textId="7D95C9D9" w:rsidR="00404AD9" w:rsidRPr="0079578A" w:rsidRDefault="00404AD9" w:rsidP="0079578A">
      <w:pPr>
        <w:autoSpaceDE w:val="0"/>
        <w:autoSpaceDN w:val="0"/>
        <w:adjustRightInd w:val="0"/>
      </w:pPr>
      <w:r>
        <w:t xml:space="preserve">The </w:t>
      </w:r>
      <w:r w:rsidRPr="0079578A">
        <w:t xml:space="preserve">Health Board remains committed to the following regional </w:t>
      </w:r>
      <w:r w:rsidR="00A337DB" w:rsidRPr="0079578A">
        <w:t>collaboration</w:t>
      </w:r>
      <w:r w:rsidR="0079578A" w:rsidRPr="0079578A">
        <w:t xml:space="preserve">: </w:t>
      </w:r>
      <w:r w:rsidR="0079578A" w:rsidRPr="0079578A">
        <w:rPr>
          <w:rFonts w:asciiTheme="minorHAnsi" w:hAnsiTheme="minorHAnsi" w:cs="Arial"/>
          <w:szCs w:val="22"/>
        </w:rPr>
        <w:t>Major Trauma</w:t>
      </w:r>
      <w:r w:rsidR="0079578A">
        <w:rPr>
          <w:rFonts w:asciiTheme="minorHAnsi" w:hAnsiTheme="minorHAnsi" w:cs="Arial"/>
          <w:szCs w:val="22"/>
        </w:rPr>
        <w:t xml:space="preserve"> a</w:t>
      </w:r>
      <w:r w:rsidR="0079578A" w:rsidRPr="0079578A">
        <w:rPr>
          <w:rFonts w:asciiTheme="minorHAnsi" w:hAnsiTheme="minorHAnsi" w:cs="Arial"/>
          <w:szCs w:val="22"/>
        </w:rPr>
        <w:t xml:space="preserve">nd </w:t>
      </w:r>
      <w:r w:rsidR="0079578A" w:rsidRPr="0079578A">
        <w:rPr>
          <w:rFonts w:cs="Calibri"/>
          <w:bCs/>
          <w:color w:val="000000"/>
          <w:szCs w:val="22"/>
        </w:rPr>
        <w:t>Emergency Medical Retrieval and Transfer Service (EMRTS Cymru)</w:t>
      </w:r>
      <w:r w:rsidR="0079578A">
        <w:rPr>
          <w:rFonts w:cs="Calibri"/>
          <w:bCs/>
          <w:color w:val="000000"/>
          <w:szCs w:val="22"/>
        </w:rPr>
        <w:t xml:space="preserve"> </w:t>
      </w:r>
      <w:r w:rsidR="0079578A" w:rsidRPr="0079578A">
        <w:rPr>
          <w:rFonts w:cs="Calibri"/>
          <w:bCs/>
          <w:color w:val="000000"/>
          <w:szCs w:val="22"/>
          <w:highlight w:val="yellow"/>
        </w:rPr>
        <w:t>section xxx</w:t>
      </w:r>
      <w:r w:rsidR="0079578A" w:rsidRPr="0079578A">
        <w:rPr>
          <w:rFonts w:cs="Calibri"/>
          <w:bCs/>
          <w:color w:val="000000"/>
          <w:szCs w:val="22"/>
        </w:rPr>
        <w:t xml:space="preserve"> and Sexual Assault Referral Centre (SARC)</w:t>
      </w:r>
      <w:r w:rsidR="0079578A">
        <w:rPr>
          <w:rFonts w:cs="Calibri"/>
          <w:bCs/>
          <w:color w:val="000000"/>
          <w:szCs w:val="22"/>
        </w:rPr>
        <w:t xml:space="preserve"> </w:t>
      </w:r>
      <w:r w:rsidR="0079578A" w:rsidRPr="0079578A">
        <w:rPr>
          <w:rFonts w:cs="Calibri"/>
          <w:bCs/>
          <w:color w:val="000000"/>
          <w:szCs w:val="22"/>
          <w:highlight w:val="yellow"/>
        </w:rPr>
        <w:t>section xxx</w:t>
      </w:r>
      <w:r w:rsidR="0079578A">
        <w:rPr>
          <w:rFonts w:cs="Calibri"/>
          <w:bCs/>
          <w:color w:val="000000"/>
          <w:szCs w:val="22"/>
        </w:rPr>
        <w:t>.</w:t>
      </w:r>
    </w:p>
    <w:p w14:paraId="61184032" w14:textId="354324DB" w:rsidR="00B63491" w:rsidRPr="001616A4" w:rsidRDefault="00121F97" w:rsidP="00EC4298">
      <w:r w:rsidRPr="00195C09">
        <w:rPr>
          <w:noProof/>
        </w:rPr>
        <w:drawing>
          <wp:anchor distT="0" distB="0" distL="114300" distR="114300" simplePos="0" relativeHeight="252639232" behindDoc="0" locked="0" layoutInCell="1" allowOverlap="1" wp14:anchorId="78F467FB" wp14:editId="13644E52">
            <wp:simplePos x="0" y="0"/>
            <wp:positionH relativeFrom="column">
              <wp:posOffset>5923611</wp:posOffset>
            </wp:positionH>
            <wp:positionV relativeFrom="paragraph">
              <wp:posOffset>100137</wp:posOffset>
            </wp:positionV>
            <wp:extent cx="454025" cy="532130"/>
            <wp:effectExtent l="0" t="0" r="3175" b="1270"/>
            <wp:wrapNone/>
            <wp:docPr id="1866" name="Picture 1866"/>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54025" cy="532130"/>
                    </a:xfrm>
                    <a:prstGeom prst="rect">
                      <a:avLst/>
                    </a:prstGeom>
                  </pic:spPr>
                </pic:pic>
              </a:graphicData>
            </a:graphic>
            <wp14:sizeRelH relativeFrom="margin">
              <wp14:pctWidth>0</wp14:pctWidth>
            </wp14:sizeRelH>
            <wp14:sizeRelV relativeFrom="margin">
              <wp14:pctHeight>0</wp14:pctHeight>
            </wp14:sizeRelV>
          </wp:anchor>
        </w:drawing>
      </w:r>
    </w:p>
    <w:p w14:paraId="6233C1E3" w14:textId="6C1B781B" w:rsidR="00BF0C95" w:rsidRPr="005B44BD" w:rsidRDefault="00BF0C95" w:rsidP="00B63491">
      <w:pPr>
        <w:pStyle w:val="Heading2"/>
        <w:shd w:val="clear" w:color="auto" w:fill="92CDDC" w:themeFill="accent5" w:themeFillTint="99"/>
        <w:rPr>
          <w:szCs w:val="22"/>
        </w:rPr>
      </w:pPr>
      <w:bookmarkStart w:id="109" w:name="_Toc532299682"/>
      <w:bookmarkStart w:id="110" w:name="_Toc532463997"/>
      <w:bookmarkStart w:id="111" w:name="_Toc536195563"/>
      <w:bookmarkStart w:id="112" w:name="_Toc25262179"/>
      <w:r w:rsidRPr="005B44BD">
        <w:rPr>
          <w:szCs w:val="22"/>
        </w:rPr>
        <w:t>Tertiary Services</w:t>
      </w:r>
      <w:bookmarkEnd w:id="109"/>
      <w:bookmarkEnd w:id="110"/>
      <w:bookmarkEnd w:id="111"/>
      <w:bookmarkEnd w:id="112"/>
    </w:p>
    <w:p w14:paraId="55EBAC46" w14:textId="457123C3" w:rsidR="00697BD6" w:rsidRPr="0079578A" w:rsidRDefault="00697BD6" w:rsidP="00697BD6">
      <w:pPr>
        <w:rPr>
          <w:rFonts w:asciiTheme="minorHAnsi" w:hAnsiTheme="minorHAnsi"/>
          <w:color w:val="943634" w:themeColor="accent2" w:themeShade="BF"/>
          <w:szCs w:val="22"/>
        </w:rPr>
      </w:pPr>
      <w:bookmarkStart w:id="113" w:name="_Toc441757246"/>
      <w:bookmarkStart w:id="114" w:name="_Toc447195651"/>
      <w:bookmarkStart w:id="115" w:name="_Toc471829997"/>
      <w:bookmarkStart w:id="116" w:name="_Toc473290323"/>
      <w:bookmarkStart w:id="117" w:name="_Toc478738534"/>
      <w:bookmarkStart w:id="118" w:name="_Toc441757245"/>
      <w:r w:rsidRPr="0079578A">
        <w:rPr>
          <w:rFonts w:asciiTheme="minorHAnsi" w:hAnsiTheme="minorHAnsi"/>
          <w:color w:val="943634" w:themeColor="accent2" w:themeShade="BF"/>
          <w:szCs w:val="22"/>
        </w:rPr>
        <w:t xml:space="preserve">The Health Board commissions a range of services from neighbouring </w:t>
      </w:r>
      <w:r w:rsidR="006B09CD" w:rsidRPr="0079578A">
        <w:rPr>
          <w:rFonts w:asciiTheme="minorHAnsi" w:hAnsiTheme="minorHAnsi"/>
          <w:color w:val="943634" w:themeColor="accent2" w:themeShade="BF"/>
          <w:szCs w:val="22"/>
        </w:rPr>
        <w:t>H</w:t>
      </w:r>
      <w:r w:rsidRPr="0079578A">
        <w:rPr>
          <w:rFonts w:asciiTheme="minorHAnsi" w:hAnsiTheme="minorHAnsi"/>
          <w:color w:val="943634" w:themeColor="accent2" w:themeShade="BF"/>
          <w:szCs w:val="22"/>
        </w:rPr>
        <w:t xml:space="preserve">ealth </w:t>
      </w:r>
      <w:r w:rsidR="006B09CD" w:rsidRPr="0079578A">
        <w:rPr>
          <w:rFonts w:asciiTheme="minorHAnsi" w:hAnsiTheme="minorHAnsi"/>
          <w:color w:val="943634" w:themeColor="accent2" w:themeShade="BF"/>
          <w:szCs w:val="22"/>
        </w:rPr>
        <w:t>B</w:t>
      </w:r>
      <w:r w:rsidRPr="0079578A">
        <w:rPr>
          <w:rFonts w:asciiTheme="minorHAnsi" w:hAnsiTheme="minorHAnsi"/>
          <w:color w:val="943634" w:themeColor="accent2" w:themeShade="BF"/>
          <w:szCs w:val="22"/>
        </w:rPr>
        <w:t>oards and from specialist centres across both Wales and England</w:t>
      </w:r>
      <w:r w:rsidR="00144B09" w:rsidRPr="0079578A">
        <w:rPr>
          <w:rFonts w:asciiTheme="minorHAnsi" w:hAnsiTheme="minorHAnsi"/>
          <w:color w:val="943634" w:themeColor="accent2" w:themeShade="BF"/>
          <w:szCs w:val="22"/>
        </w:rPr>
        <w:t xml:space="preserve">.  </w:t>
      </w:r>
      <w:r w:rsidRPr="0079578A">
        <w:rPr>
          <w:rFonts w:asciiTheme="minorHAnsi" w:hAnsiTheme="minorHAnsi"/>
          <w:color w:val="943634" w:themeColor="accent2" w:themeShade="BF"/>
          <w:szCs w:val="22"/>
        </w:rPr>
        <w:t xml:space="preserve">Whilst most are commissioned through our specialist commissioners including WHSSC and EASC, there are some tertiary and specialised services that remain the commissioning responsibility of </w:t>
      </w:r>
      <w:r w:rsidR="006B09CD" w:rsidRPr="0079578A">
        <w:rPr>
          <w:rFonts w:asciiTheme="minorHAnsi" w:hAnsiTheme="minorHAnsi"/>
          <w:color w:val="943634" w:themeColor="accent2" w:themeShade="BF"/>
          <w:szCs w:val="22"/>
        </w:rPr>
        <w:t xml:space="preserve">the </w:t>
      </w:r>
      <w:r w:rsidRPr="0079578A">
        <w:rPr>
          <w:rFonts w:asciiTheme="minorHAnsi" w:hAnsiTheme="minorHAnsi"/>
          <w:color w:val="943634" w:themeColor="accent2" w:themeShade="BF"/>
          <w:szCs w:val="22"/>
        </w:rPr>
        <w:t>Health Board.</w:t>
      </w:r>
    </w:p>
    <w:p w14:paraId="4D3CCDE0" w14:textId="77777777" w:rsidR="00697BD6" w:rsidRPr="0079578A" w:rsidRDefault="00697BD6" w:rsidP="00697BD6">
      <w:pPr>
        <w:rPr>
          <w:rFonts w:asciiTheme="minorHAnsi" w:hAnsiTheme="minorHAnsi"/>
          <w:color w:val="943634" w:themeColor="accent2" w:themeShade="BF"/>
          <w:szCs w:val="22"/>
        </w:rPr>
      </w:pPr>
    </w:p>
    <w:p w14:paraId="30B2D90D" w14:textId="25151886" w:rsidR="00697BD6" w:rsidRPr="0079578A" w:rsidRDefault="00697BD6" w:rsidP="00697BD6">
      <w:pPr>
        <w:rPr>
          <w:rFonts w:asciiTheme="minorHAnsi" w:hAnsiTheme="minorHAnsi"/>
          <w:color w:val="943634" w:themeColor="accent2" w:themeShade="BF"/>
          <w:szCs w:val="22"/>
        </w:rPr>
      </w:pPr>
      <w:r w:rsidRPr="0079578A">
        <w:rPr>
          <w:rFonts w:asciiTheme="minorHAnsi" w:hAnsiTheme="minorHAnsi"/>
          <w:color w:val="943634" w:themeColor="accent2" w:themeShade="BF"/>
          <w:szCs w:val="22"/>
        </w:rPr>
        <w:lastRenderedPageBreak/>
        <w:t xml:space="preserve">Some of these tertiary services are commissioned on a collaborative basis with other commissioners, such as cancer services from Velindre NHS Trust where a Velindre Collective </w:t>
      </w:r>
      <w:r w:rsidR="006B09CD" w:rsidRPr="0079578A">
        <w:rPr>
          <w:rFonts w:asciiTheme="minorHAnsi" w:hAnsiTheme="minorHAnsi"/>
          <w:color w:val="943634" w:themeColor="accent2" w:themeShade="BF"/>
          <w:szCs w:val="22"/>
        </w:rPr>
        <w:t>C</w:t>
      </w:r>
      <w:r w:rsidRPr="0079578A">
        <w:rPr>
          <w:rFonts w:asciiTheme="minorHAnsi" w:hAnsiTheme="minorHAnsi"/>
          <w:color w:val="943634" w:themeColor="accent2" w:themeShade="BF"/>
          <w:szCs w:val="22"/>
        </w:rPr>
        <w:t xml:space="preserve">ommissioning </w:t>
      </w:r>
      <w:r w:rsidR="006B09CD" w:rsidRPr="0079578A">
        <w:rPr>
          <w:rFonts w:asciiTheme="minorHAnsi" w:hAnsiTheme="minorHAnsi"/>
          <w:color w:val="943634" w:themeColor="accent2" w:themeShade="BF"/>
          <w:szCs w:val="22"/>
        </w:rPr>
        <w:t>G</w:t>
      </w:r>
      <w:r w:rsidRPr="0079578A">
        <w:rPr>
          <w:rFonts w:asciiTheme="minorHAnsi" w:hAnsiTheme="minorHAnsi"/>
          <w:color w:val="943634" w:themeColor="accent2" w:themeShade="BF"/>
          <w:szCs w:val="22"/>
        </w:rPr>
        <w:t>roup has been established to ensure a consistent commissioning approach from all commissioner</w:t>
      </w:r>
      <w:r w:rsidR="006B09CD" w:rsidRPr="0079578A">
        <w:rPr>
          <w:rFonts w:asciiTheme="minorHAnsi" w:hAnsiTheme="minorHAnsi"/>
          <w:color w:val="943634" w:themeColor="accent2" w:themeShade="BF"/>
          <w:szCs w:val="22"/>
        </w:rPr>
        <w:t>s</w:t>
      </w:r>
      <w:r w:rsidRPr="0079578A">
        <w:rPr>
          <w:rFonts w:asciiTheme="minorHAnsi" w:hAnsiTheme="minorHAnsi"/>
          <w:color w:val="943634" w:themeColor="accent2" w:themeShade="BF"/>
          <w:szCs w:val="22"/>
        </w:rPr>
        <w:t>.</w:t>
      </w:r>
    </w:p>
    <w:p w14:paraId="583D96EC" w14:textId="77777777" w:rsidR="00697BD6" w:rsidRPr="0079578A" w:rsidRDefault="00697BD6" w:rsidP="00697BD6">
      <w:pPr>
        <w:rPr>
          <w:rFonts w:asciiTheme="minorHAnsi" w:hAnsiTheme="minorHAnsi"/>
          <w:color w:val="943634" w:themeColor="accent2" w:themeShade="BF"/>
          <w:szCs w:val="22"/>
        </w:rPr>
      </w:pPr>
    </w:p>
    <w:p w14:paraId="4DD3B559" w14:textId="5F494622" w:rsidR="00697BD6" w:rsidRDefault="00697BD6" w:rsidP="00697BD6">
      <w:pPr>
        <w:rPr>
          <w:rFonts w:asciiTheme="minorHAnsi" w:hAnsiTheme="minorHAnsi"/>
          <w:color w:val="943634" w:themeColor="accent2" w:themeShade="BF"/>
          <w:szCs w:val="22"/>
        </w:rPr>
      </w:pPr>
      <w:r w:rsidRPr="0079578A">
        <w:rPr>
          <w:rFonts w:asciiTheme="minorHAnsi" w:hAnsiTheme="minorHAnsi"/>
          <w:color w:val="943634" w:themeColor="accent2" w:themeShade="BF"/>
          <w:szCs w:val="22"/>
        </w:rPr>
        <w:t>For other tertiary services within NHS Wales th</w:t>
      </w:r>
      <w:r w:rsidR="006B09CD" w:rsidRPr="0079578A">
        <w:rPr>
          <w:rFonts w:asciiTheme="minorHAnsi" w:hAnsiTheme="minorHAnsi"/>
          <w:color w:val="943634" w:themeColor="accent2" w:themeShade="BF"/>
          <w:szCs w:val="22"/>
        </w:rPr>
        <w:t>e</w:t>
      </w:r>
      <w:r w:rsidRPr="0079578A">
        <w:rPr>
          <w:rFonts w:asciiTheme="minorHAnsi" w:hAnsiTheme="minorHAnsi"/>
          <w:color w:val="943634" w:themeColor="accent2" w:themeShade="BF"/>
          <w:szCs w:val="22"/>
        </w:rPr>
        <w:t xml:space="preserve"> </w:t>
      </w:r>
      <w:r w:rsidR="00C11306" w:rsidRPr="0079578A">
        <w:rPr>
          <w:rFonts w:asciiTheme="minorHAnsi" w:hAnsiTheme="minorHAnsi"/>
          <w:color w:val="943634" w:themeColor="accent2" w:themeShade="BF"/>
          <w:szCs w:val="22"/>
        </w:rPr>
        <w:t>H</w:t>
      </w:r>
      <w:r w:rsidR="006B09CD" w:rsidRPr="0079578A">
        <w:rPr>
          <w:rFonts w:asciiTheme="minorHAnsi" w:hAnsiTheme="minorHAnsi"/>
          <w:color w:val="943634" w:themeColor="accent2" w:themeShade="BF"/>
          <w:szCs w:val="22"/>
        </w:rPr>
        <w:t>ealth Board</w:t>
      </w:r>
      <w:r w:rsidRPr="0079578A">
        <w:rPr>
          <w:rFonts w:asciiTheme="minorHAnsi" w:hAnsiTheme="minorHAnsi"/>
          <w:color w:val="943634" w:themeColor="accent2" w:themeShade="BF"/>
          <w:szCs w:val="22"/>
        </w:rPr>
        <w:t xml:space="preserve"> has commissioning responsibility for, these are commissioned from both Wales, through contractual arrangements and usually from services in England on an individual patient basis.  These services are commissioned on patient need.</w:t>
      </w:r>
    </w:p>
    <w:p w14:paraId="1B34EEFC" w14:textId="05E50DA4" w:rsidR="00C96784" w:rsidRPr="005B44BD" w:rsidRDefault="007013D7" w:rsidP="007013D7">
      <w:pPr>
        <w:pStyle w:val="Heading2"/>
        <w:rPr>
          <w:szCs w:val="22"/>
        </w:rPr>
      </w:pPr>
      <w:bookmarkStart w:id="119" w:name="_Toc536195564"/>
      <w:bookmarkStart w:id="120" w:name="_Toc532299683"/>
      <w:bookmarkStart w:id="121" w:name="_Toc532463998"/>
      <w:bookmarkStart w:id="122" w:name="_Toc25262180"/>
      <w:r w:rsidRPr="005B44BD">
        <w:rPr>
          <w:szCs w:val="22"/>
        </w:rPr>
        <w:t>Efficiency Productivity and Value</w:t>
      </w:r>
      <w:bookmarkEnd w:id="119"/>
      <w:bookmarkEnd w:id="122"/>
      <w:r w:rsidRPr="005B44BD">
        <w:rPr>
          <w:szCs w:val="22"/>
        </w:rPr>
        <w:t xml:space="preserve"> </w:t>
      </w:r>
      <w:bookmarkEnd w:id="120"/>
      <w:bookmarkEnd w:id="121"/>
    </w:p>
    <w:p w14:paraId="2EAEF305" w14:textId="65A4AECC" w:rsidR="00F33761" w:rsidRDefault="00F33761" w:rsidP="00F33761">
      <w:pPr>
        <w:rPr>
          <w:rFonts w:asciiTheme="minorHAnsi" w:hAnsiTheme="minorHAnsi"/>
          <w:szCs w:val="22"/>
        </w:rPr>
      </w:pPr>
      <w:bookmarkStart w:id="123" w:name="_Toc532299684"/>
      <w:bookmarkStart w:id="124" w:name="_Toc532464005"/>
      <w:r w:rsidRPr="00F33761">
        <w:rPr>
          <w:rFonts w:asciiTheme="minorHAnsi" w:hAnsiTheme="minorHAnsi"/>
          <w:szCs w:val="22"/>
        </w:rPr>
        <w:t>When developing our three year efficiency and re-design savings plans, we have been mindful of the requirement to phase in programmes of work to ensure that the initiatives are aligned with, and underpin the organisations strategic objectives.  The programme has also been developed and prioritised by individual directorates and executive cross cutting leads ensuring buy-in for the initiatives, improving the success and sustainability of implementation and targeting work on improvements where there is the largest</w:t>
      </w:r>
      <w:r>
        <w:rPr>
          <w:rFonts w:asciiTheme="minorHAnsi" w:hAnsiTheme="minorHAnsi"/>
          <w:szCs w:val="22"/>
        </w:rPr>
        <w:t xml:space="preserve"> opportunity.</w:t>
      </w:r>
    </w:p>
    <w:p w14:paraId="7F6520B5" w14:textId="77777777" w:rsidR="00F33761" w:rsidRPr="00F33761" w:rsidRDefault="00F33761" w:rsidP="00F33761">
      <w:pPr>
        <w:rPr>
          <w:rFonts w:asciiTheme="minorHAnsi" w:hAnsiTheme="minorHAnsi"/>
          <w:szCs w:val="22"/>
        </w:rPr>
      </w:pPr>
    </w:p>
    <w:p w14:paraId="08ADC982" w14:textId="77777777" w:rsidR="00F33761" w:rsidRDefault="00F33761" w:rsidP="00F33761">
      <w:pPr>
        <w:rPr>
          <w:rFonts w:asciiTheme="minorHAnsi" w:hAnsiTheme="minorHAnsi"/>
          <w:szCs w:val="22"/>
        </w:rPr>
      </w:pPr>
      <w:r w:rsidRPr="00F33761">
        <w:rPr>
          <w:rFonts w:asciiTheme="minorHAnsi" w:hAnsiTheme="minorHAnsi"/>
          <w:szCs w:val="22"/>
        </w:rPr>
        <w:t xml:space="preserve">A prioritised programme of improvement projects have been developed comprising 81 schemes from across the organisation.  These schemes cover a wide range of areas including pathway/service redesign, productivity, workforce, non-pay management and income generation, and they comprise a mix of both cash releasing and cost avoidance schemes.  It is intended that the programme will be developed on continual pro-active basis is response to organisational requirements through the existing governance structure. </w:t>
      </w:r>
    </w:p>
    <w:p w14:paraId="79D2A970" w14:textId="77777777" w:rsidR="00F33761" w:rsidRPr="00F33761" w:rsidRDefault="00F33761" w:rsidP="00F33761">
      <w:pPr>
        <w:rPr>
          <w:rFonts w:asciiTheme="minorHAnsi" w:hAnsiTheme="minorHAnsi"/>
          <w:szCs w:val="22"/>
        </w:rPr>
      </w:pPr>
    </w:p>
    <w:p w14:paraId="0E1826AB" w14:textId="77777777" w:rsidR="00F33761" w:rsidRPr="00F33761" w:rsidRDefault="00F33761" w:rsidP="00F33761">
      <w:pPr>
        <w:rPr>
          <w:rFonts w:asciiTheme="minorHAnsi" w:hAnsiTheme="minorHAnsi"/>
          <w:szCs w:val="22"/>
        </w:rPr>
      </w:pPr>
      <w:r w:rsidRPr="00F33761">
        <w:rPr>
          <w:rFonts w:asciiTheme="minorHAnsi" w:hAnsiTheme="minorHAnsi"/>
          <w:szCs w:val="22"/>
        </w:rPr>
        <w:t>Estimates of the resources to develop and deliver the EPV programme are included within the financial plan.</w:t>
      </w:r>
    </w:p>
    <w:p w14:paraId="4F902891" w14:textId="77777777" w:rsidR="00F33761" w:rsidRDefault="00F33761" w:rsidP="00F33761">
      <w:pPr>
        <w:rPr>
          <w:rFonts w:asciiTheme="minorHAnsi" w:hAnsiTheme="minorHAnsi"/>
          <w:szCs w:val="22"/>
        </w:rPr>
      </w:pPr>
      <w:r w:rsidRPr="00F33761">
        <w:rPr>
          <w:rFonts w:asciiTheme="minorHAnsi" w:hAnsiTheme="minorHAnsi"/>
          <w:szCs w:val="22"/>
        </w:rPr>
        <w:t>Arrangements on how the Efficiency, Productivity and Value Board fits with our wider governance and delivery arrangements can be seen in Chapter 9.</w:t>
      </w:r>
    </w:p>
    <w:p w14:paraId="21BB2C05" w14:textId="77777777" w:rsidR="00F33761" w:rsidRPr="00F33761" w:rsidRDefault="00F33761" w:rsidP="00F33761">
      <w:pPr>
        <w:rPr>
          <w:rFonts w:asciiTheme="minorHAnsi" w:hAnsiTheme="minorHAnsi"/>
          <w:szCs w:val="22"/>
        </w:rPr>
      </w:pPr>
    </w:p>
    <w:p w14:paraId="249478E3" w14:textId="77777777" w:rsidR="00F33761" w:rsidRDefault="00F33761" w:rsidP="00F33761">
      <w:pPr>
        <w:rPr>
          <w:rFonts w:asciiTheme="minorHAnsi" w:hAnsiTheme="minorHAnsi"/>
          <w:szCs w:val="22"/>
        </w:rPr>
      </w:pPr>
      <w:r w:rsidRPr="00F33761">
        <w:rPr>
          <w:rFonts w:asciiTheme="minorHAnsi" w:hAnsiTheme="minorHAnsi"/>
          <w:szCs w:val="22"/>
        </w:rPr>
        <w:t>As in 2019/20, the ownership and accountability for the delivery of the projects will be at directorate level, with only a small number of cross cutting schemes managed outside the directorate structure.</w:t>
      </w:r>
    </w:p>
    <w:p w14:paraId="68711039" w14:textId="6EEE515D" w:rsidR="00F33761" w:rsidRPr="00F33761" w:rsidRDefault="00F33761" w:rsidP="00F33761">
      <w:pPr>
        <w:rPr>
          <w:rFonts w:asciiTheme="minorHAnsi" w:hAnsiTheme="minorHAnsi"/>
          <w:szCs w:val="22"/>
        </w:rPr>
      </w:pPr>
      <w:r w:rsidRPr="00F33761">
        <w:rPr>
          <w:rFonts w:asciiTheme="minorHAnsi" w:hAnsiTheme="minorHAnsi"/>
          <w:szCs w:val="22"/>
        </w:rPr>
        <w:t xml:space="preserve">   </w:t>
      </w:r>
    </w:p>
    <w:p w14:paraId="54885AD5" w14:textId="77777777" w:rsidR="00F33761" w:rsidRDefault="00F33761" w:rsidP="00F33761">
      <w:pPr>
        <w:rPr>
          <w:rFonts w:asciiTheme="minorHAnsi" w:hAnsiTheme="minorHAnsi"/>
          <w:szCs w:val="22"/>
        </w:rPr>
      </w:pPr>
      <w:r w:rsidRPr="00F33761">
        <w:rPr>
          <w:rFonts w:asciiTheme="minorHAnsi" w:hAnsiTheme="minorHAnsi"/>
          <w:szCs w:val="22"/>
        </w:rPr>
        <w:t>In parallel, the wider service change programmes in which all projects will have the common aim to redesign service and patient flow to ensure sustainability of health provision across the organisation will be coalesced into a unified Strategic Transformation Programme reporting through the Strategic Planning Group (SPG).   This will ensure that a rigorous coordinated approach is adopted in the development and implementation of these strategically important programmes of work.</w:t>
      </w:r>
    </w:p>
    <w:p w14:paraId="47B43FC4" w14:textId="77777777" w:rsidR="00F33761" w:rsidRPr="00F33761" w:rsidRDefault="00F33761" w:rsidP="00F33761">
      <w:pPr>
        <w:rPr>
          <w:rFonts w:asciiTheme="minorHAnsi" w:hAnsiTheme="minorHAnsi"/>
          <w:szCs w:val="22"/>
        </w:rPr>
      </w:pPr>
    </w:p>
    <w:p w14:paraId="1D98E708" w14:textId="77777777" w:rsidR="00F33761" w:rsidRDefault="00F33761" w:rsidP="00F33761">
      <w:pPr>
        <w:rPr>
          <w:rFonts w:asciiTheme="minorHAnsi" w:hAnsiTheme="minorHAnsi"/>
          <w:szCs w:val="22"/>
        </w:rPr>
      </w:pPr>
      <w:r w:rsidRPr="00F33761">
        <w:rPr>
          <w:rFonts w:asciiTheme="minorHAnsi" w:hAnsiTheme="minorHAnsi"/>
          <w:szCs w:val="22"/>
        </w:rPr>
        <w:t>Both of these programmes will be supported by a common approach provided by the organisations Programme Management Office and other enabling functions including Finance, Planning, Informatics and Workforce.  This will ensure the optimisation of scarce project and programme resources, greater control and improved outcomes. The Health Board is also developing a Cwm Taf Improvement Team and a Value Based Healthcare Team which will add important capabiliti</w:t>
      </w:r>
      <w:r>
        <w:rPr>
          <w:rFonts w:asciiTheme="minorHAnsi" w:hAnsiTheme="minorHAnsi"/>
          <w:szCs w:val="22"/>
        </w:rPr>
        <w:t>es to delivering the programme.</w:t>
      </w:r>
    </w:p>
    <w:p w14:paraId="0E118E73" w14:textId="0DE3EF5B" w:rsidR="00F33761" w:rsidRPr="00F33761" w:rsidRDefault="00F33761" w:rsidP="00F33761">
      <w:pPr>
        <w:rPr>
          <w:rFonts w:asciiTheme="minorHAnsi" w:hAnsiTheme="minorHAnsi"/>
          <w:szCs w:val="22"/>
        </w:rPr>
      </w:pPr>
      <w:r w:rsidRPr="00F33761">
        <w:rPr>
          <w:rFonts w:asciiTheme="minorHAnsi" w:hAnsiTheme="minorHAnsi"/>
          <w:szCs w:val="22"/>
        </w:rPr>
        <w:t xml:space="preserve"> </w:t>
      </w:r>
    </w:p>
    <w:p w14:paraId="510007A7" w14:textId="79D9BC1B" w:rsidR="00F33761" w:rsidRPr="00F33761" w:rsidRDefault="00F33761" w:rsidP="00F33761">
      <w:pPr>
        <w:rPr>
          <w:rFonts w:asciiTheme="minorHAnsi" w:hAnsiTheme="minorHAnsi"/>
          <w:szCs w:val="22"/>
        </w:rPr>
      </w:pPr>
      <w:r w:rsidRPr="00F33761">
        <w:rPr>
          <w:rFonts w:asciiTheme="minorHAnsi" w:hAnsiTheme="minorHAnsi"/>
          <w:szCs w:val="22"/>
        </w:rPr>
        <w:t xml:space="preserve">The current expectation in the financial plan is that savings of £26m will be delivered in 2020/21. </w:t>
      </w:r>
      <w:r>
        <w:rPr>
          <w:rFonts w:asciiTheme="minorHAnsi" w:hAnsiTheme="minorHAnsi"/>
          <w:szCs w:val="22"/>
        </w:rPr>
        <w:t xml:space="preserve">  </w:t>
      </w:r>
      <w:r w:rsidRPr="00F33761">
        <w:rPr>
          <w:rFonts w:asciiTheme="minorHAnsi" w:hAnsiTheme="minorHAnsi"/>
          <w:szCs w:val="22"/>
        </w:rPr>
        <w:t>Many schemes do not yet have firm values and further work is needed to:</w:t>
      </w:r>
      <w:r w:rsidRPr="00F33761">
        <w:rPr>
          <w:noProof/>
        </w:rPr>
        <w:t xml:space="preserve"> </w:t>
      </w:r>
    </w:p>
    <w:p w14:paraId="09326D75" w14:textId="31123E50" w:rsidR="00F33761" w:rsidRPr="00F33761" w:rsidRDefault="00F33761" w:rsidP="003B1653">
      <w:pPr>
        <w:pStyle w:val="ListParagraph"/>
        <w:numPr>
          <w:ilvl w:val="0"/>
          <w:numId w:val="59"/>
        </w:numPr>
        <w:spacing w:after="160" w:line="259" w:lineRule="auto"/>
        <w:ind w:left="426"/>
        <w:jc w:val="left"/>
        <w:rPr>
          <w:rFonts w:asciiTheme="minorHAnsi" w:hAnsiTheme="minorHAnsi"/>
          <w:szCs w:val="22"/>
        </w:rPr>
      </w:pPr>
      <w:r>
        <w:rPr>
          <w:noProof/>
        </w:rPr>
        <w:lastRenderedPageBreak/>
        <w:drawing>
          <wp:anchor distT="0" distB="0" distL="114300" distR="114300" simplePos="0" relativeHeight="252793856" behindDoc="0" locked="0" layoutInCell="1" allowOverlap="1" wp14:anchorId="0E3CC762" wp14:editId="7E36CB3D">
            <wp:simplePos x="0" y="0"/>
            <wp:positionH relativeFrom="margin">
              <wp:align>right</wp:align>
            </wp:positionH>
            <wp:positionV relativeFrom="paragraph">
              <wp:posOffset>8890</wp:posOffset>
            </wp:positionV>
            <wp:extent cx="4641850" cy="2232025"/>
            <wp:effectExtent l="0" t="0" r="6350" b="0"/>
            <wp:wrapThrough wrapText="bothSides">
              <wp:wrapPolygon edited="0">
                <wp:start x="0" y="0"/>
                <wp:lineTo x="0" y="21385"/>
                <wp:lineTo x="21541" y="21385"/>
                <wp:lineTo x="21541" y="0"/>
                <wp:lineTo x="0" y="0"/>
              </wp:wrapPolygon>
            </wp:wrapThrough>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14:sizeRelH relativeFrom="margin">
              <wp14:pctWidth>0</wp14:pctWidth>
            </wp14:sizeRelH>
            <wp14:sizeRelV relativeFrom="margin">
              <wp14:pctHeight>0</wp14:pctHeight>
            </wp14:sizeRelV>
          </wp:anchor>
        </w:drawing>
      </w:r>
      <w:r w:rsidRPr="00F33761">
        <w:rPr>
          <w:rFonts w:asciiTheme="minorHAnsi" w:hAnsiTheme="minorHAnsi"/>
          <w:szCs w:val="22"/>
        </w:rPr>
        <w:t xml:space="preserve">Finalise savings targets at directorate level </w:t>
      </w:r>
    </w:p>
    <w:p w14:paraId="6E9DE889" w14:textId="77777777" w:rsidR="00F33761" w:rsidRPr="00F33761" w:rsidRDefault="00F33761" w:rsidP="003B1653">
      <w:pPr>
        <w:pStyle w:val="ListParagraph"/>
        <w:numPr>
          <w:ilvl w:val="0"/>
          <w:numId w:val="59"/>
        </w:numPr>
        <w:spacing w:after="160" w:line="259" w:lineRule="auto"/>
        <w:ind w:left="426"/>
        <w:jc w:val="left"/>
        <w:rPr>
          <w:rFonts w:asciiTheme="minorHAnsi" w:hAnsiTheme="minorHAnsi"/>
          <w:szCs w:val="22"/>
        </w:rPr>
      </w:pPr>
      <w:r w:rsidRPr="00F33761">
        <w:rPr>
          <w:rFonts w:asciiTheme="minorHAnsi" w:hAnsiTheme="minorHAnsi"/>
          <w:szCs w:val="22"/>
        </w:rPr>
        <w:t>Develop the schedule of savings schemes in each directorate through the diagnosis, valuation and delivery planning stages</w:t>
      </w:r>
    </w:p>
    <w:p w14:paraId="3AEEB11A" w14:textId="77777777" w:rsidR="00F33761" w:rsidRPr="00F33761" w:rsidRDefault="00F33761" w:rsidP="003B1653">
      <w:pPr>
        <w:pStyle w:val="ListParagraph"/>
        <w:numPr>
          <w:ilvl w:val="0"/>
          <w:numId w:val="59"/>
        </w:numPr>
        <w:spacing w:after="160" w:line="259" w:lineRule="auto"/>
        <w:ind w:left="426"/>
        <w:jc w:val="left"/>
        <w:rPr>
          <w:rFonts w:asciiTheme="minorHAnsi" w:hAnsiTheme="minorHAnsi"/>
          <w:szCs w:val="22"/>
        </w:rPr>
      </w:pPr>
      <w:r w:rsidRPr="00F33761">
        <w:rPr>
          <w:rFonts w:asciiTheme="minorHAnsi" w:hAnsiTheme="minorHAnsi"/>
          <w:szCs w:val="22"/>
        </w:rPr>
        <w:t>Agree resources to plan and deliver larger schemes where necessary</w:t>
      </w:r>
    </w:p>
    <w:p w14:paraId="17E7FFD9" w14:textId="085713B6" w:rsidR="00F33761" w:rsidRPr="005913B0" w:rsidRDefault="00F33761" w:rsidP="00F33761">
      <w:pPr>
        <w:rPr>
          <w:rFonts w:asciiTheme="minorHAnsi" w:hAnsiTheme="minorHAnsi"/>
          <w:szCs w:val="22"/>
        </w:rPr>
      </w:pPr>
      <w:r w:rsidRPr="00F33761">
        <w:rPr>
          <w:rFonts w:asciiTheme="minorHAnsi" w:hAnsiTheme="minorHAnsi"/>
          <w:szCs w:val="22"/>
        </w:rPr>
        <w:t>This will be overseen through escalation/executive oversight meetings with directorates and through the Efficiency, Productivity and Value Board.</w:t>
      </w:r>
    </w:p>
    <w:p w14:paraId="68254FBB" w14:textId="58441E0A" w:rsidR="00B41171" w:rsidRPr="005B44BD" w:rsidRDefault="00B41171" w:rsidP="009F54B8">
      <w:pPr>
        <w:pStyle w:val="Heading2"/>
        <w:rPr>
          <w:rFonts w:asciiTheme="minorHAnsi" w:hAnsiTheme="minorHAnsi"/>
          <w:iCs w:val="0"/>
          <w:szCs w:val="22"/>
        </w:rPr>
      </w:pPr>
      <w:bookmarkStart w:id="125" w:name="_Toc536195565"/>
      <w:bookmarkStart w:id="126" w:name="_Toc25262181"/>
      <w:r w:rsidRPr="005B44BD">
        <w:rPr>
          <w:rFonts w:asciiTheme="minorHAnsi" w:hAnsiTheme="minorHAnsi"/>
          <w:iCs w:val="0"/>
          <w:szCs w:val="22"/>
        </w:rPr>
        <w:t>Performance and Information</w:t>
      </w:r>
      <w:bookmarkEnd w:id="113"/>
      <w:bookmarkEnd w:id="114"/>
      <w:bookmarkEnd w:id="115"/>
      <w:bookmarkEnd w:id="116"/>
      <w:bookmarkEnd w:id="117"/>
      <w:bookmarkEnd w:id="123"/>
      <w:bookmarkEnd w:id="124"/>
      <w:bookmarkEnd w:id="125"/>
      <w:bookmarkEnd w:id="126"/>
    </w:p>
    <w:p w14:paraId="6D9C1816" w14:textId="6111FF0E" w:rsidR="00D6186A" w:rsidRPr="005B44BD" w:rsidRDefault="00D6186A" w:rsidP="007B576F">
      <w:pPr>
        <w:pStyle w:val="Heading3"/>
        <w:rPr>
          <w:szCs w:val="22"/>
        </w:rPr>
      </w:pPr>
      <w:bookmarkStart w:id="127" w:name="_Toc473290326"/>
      <w:bookmarkStart w:id="128" w:name="_Toc532464006"/>
      <w:bookmarkStart w:id="129" w:name="_Toc473290327"/>
      <w:bookmarkStart w:id="130" w:name="_Toc441757247"/>
      <w:bookmarkStart w:id="131" w:name="_Toc447195652"/>
      <w:bookmarkStart w:id="132" w:name="_Toc471830002"/>
      <w:bookmarkStart w:id="133" w:name="_Toc473290328"/>
      <w:bookmarkStart w:id="134" w:name="_Toc478738535"/>
      <w:r w:rsidRPr="005B44BD">
        <w:rPr>
          <w:szCs w:val="22"/>
        </w:rPr>
        <w:t>Profiled Performance</w:t>
      </w:r>
      <w:bookmarkEnd w:id="127"/>
      <w:bookmarkEnd w:id="128"/>
      <w:r w:rsidRPr="005B44BD">
        <w:rPr>
          <w:szCs w:val="22"/>
        </w:rPr>
        <w:t xml:space="preserve"> </w:t>
      </w:r>
    </w:p>
    <w:p w14:paraId="4C39C3C9" w14:textId="77777777" w:rsidR="00A4414D" w:rsidRDefault="00A4414D" w:rsidP="00A4414D">
      <w:pPr>
        <w:rPr>
          <w:rFonts w:asciiTheme="minorHAnsi" w:hAnsiTheme="minorHAnsi"/>
          <w:szCs w:val="22"/>
        </w:rPr>
      </w:pPr>
      <w:r>
        <w:rPr>
          <w:rFonts w:asciiTheme="minorHAnsi" w:hAnsiTheme="minorHAnsi"/>
          <w:szCs w:val="22"/>
        </w:rPr>
        <w:t xml:space="preserve">As stated in the 2019-22 IMTP, the 36 week target for Referral </w:t>
      </w:r>
      <w:proofErr w:type="gramStart"/>
      <w:r>
        <w:rPr>
          <w:rFonts w:asciiTheme="minorHAnsi" w:hAnsiTheme="minorHAnsi"/>
          <w:szCs w:val="22"/>
        </w:rPr>
        <w:t>To</w:t>
      </w:r>
      <w:proofErr w:type="gramEnd"/>
      <w:r>
        <w:rPr>
          <w:rFonts w:asciiTheme="minorHAnsi" w:hAnsiTheme="minorHAnsi"/>
          <w:szCs w:val="22"/>
        </w:rPr>
        <w:t xml:space="preserve"> Treatment (RTT) times was met for Cwm Taf UHB at the end of March 2019, with the Bridgend figure of 844 slightly above the position profiled by ABMU.  Of the 844, 367 were waiting in excess of 52 weeks.  The combined 26 week compliance for March 2019 was 89.7%, with the compliance at Cwm Taf being 91.6%.  Both the 8 week diagnostic target and 14 week therapy target were met in Bridgend, with Cwm Taf achieving the therapy target, but having 27 patients waiting over 8 weeks for diagnostic intervention.</w:t>
      </w:r>
    </w:p>
    <w:p w14:paraId="5F18C930" w14:textId="77777777" w:rsidR="00A4414D" w:rsidRDefault="00A4414D" w:rsidP="00A4414D">
      <w:pPr>
        <w:rPr>
          <w:rFonts w:asciiTheme="minorHAnsi" w:hAnsiTheme="minorHAnsi"/>
          <w:szCs w:val="22"/>
        </w:rPr>
      </w:pPr>
    </w:p>
    <w:p w14:paraId="54EB281A" w14:textId="77777777" w:rsidR="00A4414D" w:rsidRDefault="00A4414D" w:rsidP="00A4414D">
      <w:pPr>
        <w:rPr>
          <w:rFonts w:asciiTheme="minorHAnsi" w:hAnsiTheme="minorHAnsi"/>
          <w:szCs w:val="22"/>
          <w:lang w:val="en-US"/>
        </w:rPr>
      </w:pPr>
      <w:r>
        <w:rPr>
          <w:rFonts w:asciiTheme="minorHAnsi" w:hAnsiTheme="minorHAnsi"/>
          <w:szCs w:val="22"/>
          <w:lang w:val="en-US"/>
        </w:rPr>
        <w:t xml:space="preserve">Whilst our ambition </w:t>
      </w:r>
      <w:r w:rsidRPr="00C14219">
        <w:rPr>
          <w:rFonts w:asciiTheme="minorHAnsi" w:hAnsiTheme="minorHAnsi"/>
          <w:szCs w:val="22"/>
          <w:lang w:val="en-US"/>
        </w:rPr>
        <w:t>remains to deliver the A&amp;E target</w:t>
      </w:r>
      <w:r>
        <w:rPr>
          <w:rFonts w:asciiTheme="minorHAnsi" w:hAnsiTheme="minorHAnsi"/>
          <w:szCs w:val="22"/>
          <w:lang w:val="en-US"/>
        </w:rPr>
        <w:t>s</w:t>
      </w:r>
      <w:r w:rsidRPr="00C14219">
        <w:rPr>
          <w:rFonts w:asciiTheme="minorHAnsi" w:hAnsiTheme="minorHAnsi"/>
          <w:szCs w:val="22"/>
          <w:lang w:val="en-US"/>
        </w:rPr>
        <w:t xml:space="preserve">, </w:t>
      </w:r>
      <w:r>
        <w:rPr>
          <w:rFonts w:asciiTheme="minorHAnsi" w:hAnsiTheme="minorHAnsi"/>
          <w:szCs w:val="22"/>
          <w:lang w:val="en-US"/>
        </w:rPr>
        <w:t xml:space="preserve">there are very real challenges in all three acute hospitals requiring a step change in </w:t>
      </w:r>
      <w:r w:rsidRPr="00C14219">
        <w:rPr>
          <w:rFonts w:asciiTheme="minorHAnsi" w:hAnsiTheme="minorHAnsi"/>
          <w:szCs w:val="22"/>
          <w:lang w:val="en-US"/>
        </w:rPr>
        <w:t>performance.</w:t>
      </w:r>
      <w:r>
        <w:rPr>
          <w:rFonts w:asciiTheme="minorHAnsi" w:hAnsiTheme="minorHAnsi"/>
          <w:szCs w:val="22"/>
          <w:lang w:val="en-US"/>
        </w:rPr>
        <w:t xml:space="preserve">  Progress continues to be mad both with Endoscopy surveillance and Follow Up patients Not yet Booked (FUNB), with the latter coming from improvements achieved in the Cwm Taf area, which will be implemented in Bridgend once data flows from Swansea Bay UHB are in place.</w:t>
      </w:r>
    </w:p>
    <w:p w14:paraId="5C6E5C56" w14:textId="77777777" w:rsidR="00A4414D" w:rsidRDefault="00A4414D" w:rsidP="00A4414D">
      <w:pPr>
        <w:rPr>
          <w:rFonts w:asciiTheme="minorHAnsi" w:hAnsiTheme="minorHAnsi"/>
          <w:szCs w:val="22"/>
          <w:lang w:val="en-US"/>
        </w:rPr>
      </w:pPr>
    </w:p>
    <w:p w14:paraId="10D948DB" w14:textId="77777777" w:rsidR="00A4414D" w:rsidRDefault="00A4414D" w:rsidP="00A4414D">
      <w:pPr>
        <w:rPr>
          <w:rFonts w:asciiTheme="minorHAnsi" w:hAnsiTheme="minorHAnsi"/>
          <w:szCs w:val="22"/>
        </w:rPr>
      </w:pPr>
      <w:r>
        <w:rPr>
          <w:rFonts w:asciiTheme="minorHAnsi" w:hAnsiTheme="minorHAnsi"/>
          <w:szCs w:val="22"/>
          <w:lang w:val="en-US"/>
        </w:rPr>
        <w:t>There have been numerous delays to being able to realise data flows from Swansea Bay UHB, in light of the fact that Bridgend hospitals continue to use their Patient Administration System.  A daily flow of waiting list data has yet to be successfully delivered, with other data flows needing to be established once this has been completed.  This is hampering the UHB’s ability to deliver its ambition across the organization as a whole.</w:t>
      </w:r>
    </w:p>
    <w:p w14:paraId="7ACCA577" w14:textId="77777777" w:rsidR="00A4414D" w:rsidRDefault="00A4414D" w:rsidP="00A4414D">
      <w:pPr>
        <w:rPr>
          <w:rFonts w:asciiTheme="minorHAnsi" w:hAnsiTheme="minorHAnsi"/>
          <w:szCs w:val="22"/>
        </w:rPr>
      </w:pPr>
    </w:p>
    <w:p w14:paraId="17F4B102" w14:textId="77777777" w:rsidR="00A4414D" w:rsidRPr="005B44BD" w:rsidRDefault="00A4414D" w:rsidP="00A4414D">
      <w:pPr>
        <w:rPr>
          <w:szCs w:val="22"/>
        </w:rPr>
      </w:pPr>
      <w:r w:rsidRPr="005B44BD">
        <w:rPr>
          <w:rFonts w:asciiTheme="minorHAnsi" w:hAnsiTheme="minorHAnsi"/>
          <w:szCs w:val="22"/>
        </w:rPr>
        <w:t xml:space="preserve">The tables in </w:t>
      </w:r>
      <w:r w:rsidRPr="005B44BD">
        <w:rPr>
          <w:rFonts w:asciiTheme="minorHAnsi" w:hAnsiTheme="minorHAnsi"/>
          <w:b/>
          <w:szCs w:val="22"/>
        </w:rPr>
        <w:t>Annex C1</w:t>
      </w:r>
      <w:r w:rsidRPr="005B44BD">
        <w:rPr>
          <w:rFonts w:asciiTheme="minorHAnsi" w:hAnsiTheme="minorHAnsi"/>
          <w:szCs w:val="22"/>
        </w:rPr>
        <w:t xml:space="preserve"> outline the profiled performance that we will be aiming for as a Health Board over the next 12 months, as we strive for improvement in our service provision</w:t>
      </w:r>
      <w:r>
        <w:rPr>
          <w:rFonts w:asciiTheme="minorHAnsi" w:hAnsiTheme="minorHAnsi"/>
          <w:szCs w:val="22"/>
        </w:rPr>
        <w:t>.</w:t>
      </w:r>
    </w:p>
    <w:p w14:paraId="2137470F" w14:textId="77777777" w:rsidR="00A4414D" w:rsidRPr="005B44BD" w:rsidRDefault="00A4414D" w:rsidP="00A4414D">
      <w:pPr>
        <w:rPr>
          <w:rFonts w:asciiTheme="minorHAnsi" w:hAnsiTheme="minorHAnsi"/>
          <w:szCs w:val="22"/>
        </w:rPr>
      </w:pPr>
    </w:p>
    <w:p w14:paraId="60ADE02A" w14:textId="77777777" w:rsidR="00A4414D" w:rsidRPr="005B44BD" w:rsidRDefault="00A4414D" w:rsidP="00A4414D">
      <w:pPr>
        <w:rPr>
          <w:rFonts w:asciiTheme="minorHAnsi" w:hAnsiTheme="minorHAnsi"/>
          <w:szCs w:val="22"/>
        </w:rPr>
      </w:pPr>
      <w:r>
        <w:rPr>
          <w:rFonts w:asciiTheme="minorHAnsi" w:hAnsiTheme="minorHAnsi"/>
          <w:szCs w:val="22"/>
        </w:rPr>
        <w:t>The Health Board</w:t>
      </w:r>
      <w:r w:rsidRPr="005B44BD">
        <w:rPr>
          <w:rFonts w:asciiTheme="minorHAnsi" w:hAnsiTheme="minorHAnsi"/>
          <w:szCs w:val="22"/>
        </w:rPr>
        <w:t xml:space="preserve"> has made very significant strides on development of performance data in recent years and the Integrated Performance Dash</w:t>
      </w:r>
      <w:r>
        <w:rPr>
          <w:rFonts w:asciiTheme="minorHAnsi" w:hAnsiTheme="minorHAnsi"/>
          <w:szCs w:val="22"/>
        </w:rPr>
        <w:t xml:space="preserve">board continues to be developed to incorporate data covering the whole of Cwm Taf Morgannwg UHB.  </w:t>
      </w:r>
      <w:r w:rsidRPr="005B44BD">
        <w:rPr>
          <w:rFonts w:asciiTheme="minorHAnsi" w:hAnsiTheme="minorHAnsi"/>
          <w:szCs w:val="22"/>
        </w:rPr>
        <w:t xml:space="preserve">Our ambition continues to be to have balanced demand and capacity plans where demand is met from internal core capacity, a component of which is provided on a Regional basis.  </w:t>
      </w:r>
      <w:r>
        <w:rPr>
          <w:rFonts w:asciiTheme="minorHAnsi" w:hAnsiTheme="minorHAnsi"/>
          <w:szCs w:val="22"/>
        </w:rPr>
        <w:t xml:space="preserve">The organisation will however continue to make use of </w:t>
      </w:r>
      <w:r w:rsidRPr="005B44BD">
        <w:rPr>
          <w:rFonts w:asciiTheme="minorHAnsi" w:hAnsiTheme="minorHAnsi"/>
          <w:szCs w:val="22"/>
        </w:rPr>
        <w:t xml:space="preserve">outsourcing </w:t>
      </w:r>
      <w:r>
        <w:rPr>
          <w:rFonts w:asciiTheme="minorHAnsi" w:hAnsiTheme="minorHAnsi"/>
          <w:szCs w:val="22"/>
        </w:rPr>
        <w:t>opportunities where internal solutions to demand and capacity gaps is not enough to meet the demand</w:t>
      </w:r>
      <w:r w:rsidRPr="005B44BD">
        <w:rPr>
          <w:rFonts w:asciiTheme="minorHAnsi" w:hAnsiTheme="minorHAnsi"/>
          <w:szCs w:val="22"/>
        </w:rPr>
        <w:t>.</w:t>
      </w:r>
    </w:p>
    <w:p w14:paraId="097DA3AC" w14:textId="77777777" w:rsidR="00A4414D" w:rsidRPr="005B44BD" w:rsidRDefault="00A4414D" w:rsidP="00A4414D">
      <w:pPr>
        <w:rPr>
          <w:rFonts w:asciiTheme="minorHAnsi" w:hAnsiTheme="minorHAnsi"/>
          <w:szCs w:val="22"/>
        </w:rPr>
      </w:pPr>
    </w:p>
    <w:p w14:paraId="33FCACFD" w14:textId="77777777" w:rsidR="00A4414D" w:rsidRPr="00B924D9" w:rsidRDefault="00A4414D" w:rsidP="00A4414D">
      <w:pPr>
        <w:pStyle w:val="NormalBullet"/>
        <w:numPr>
          <w:ilvl w:val="0"/>
          <w:numId w:val="0"/>
        </w:numPr>
        <w:rPr>
          <w:rFonts w:asciiTheme="minorHAnsi" w:hAnsiTheme="minorHAnsi"/>
          <w:szCs w:val="22"/>
          <w:lang w:val="en-US"/>
        </w:rPr>
      </w:pPr>
      <w:r w:rsidRPr="005B44BD">
        <w:rPr>
          <w:rFonts w:asciiTheme="minorHAnsi" w:hAnsiTheme="minorHAnsi"/>
          <w:szCs w:val="22"/>
        </w:rPr>
        <w:t xml:space="preserve">The ambition of the Health Board is to </w:t>
      </w:r>
      <w:r>
        <w:rPr>
          <w:rFonts w:asciiTheme="minorHAnsi" w:hAnsiTheme="minorHAnsi"/>
          <w:szCs w:val="22"/>
        </w:rPr>
        <w:t xml:space="preserve">at least </w:t>
      </w:r>
      <w:r w:rsidRPr="005B44BD">
        <w:rPr>
          <w:rFonts w:asciiTheme="minorHAnsi" w:hAnsiTheme="minorHAnsi"/>
          <w:szCs w:val="22"/>
          <w:lang w:val="en-US"/>
        </w:rPr>
        <w:t xml:space="preserve">sustain </w:t>
      </w:r>
      <w:r>
        <w:rPr>
          <w:rFonts w:asciiTheme="minorHAnsi" w:hAnsiTheme="minorHAnsi"/>
          <w:szCs w:val="22"/>
          <w:lang w:val="en-US"/>
        </w:rPr>
        <w:t>the achieve</w:t>
      </w:r>
      <w:r w:rsidRPr="005B44BD">
        <w:rPr>
          <w:rFonts w:asciiTheme="minorHAnsi" w:hAnsiTheme="minorHAnsi"/>
          <w:szCs w:val="22"/>
          <w:lang w:val="en-US"/>
        </w:rPr>
        <w:t xml:space="preserve">ments up to March 2019, whilst taking on the challenge of delivering improvements across the </w:t>
      </w:r>
      <w:r>
        <w:rPr>
          <w:rFonts w:asciiTheme="minorHAnsi" w:hAnsiTheme="minorHAnsi"/>
          <w:szCs w:val="22"/>
          <w:lang w:val="en-US"/>
        </w:rPr>
        <w:t xml:space="preserve">new </w:t>
      </w:r>
      <w:r w:rsidRPr="005B44BD">
        <w:rPr>
          <w:rFonts w:asciiTheme="minorHAnsi" w:hAnsiTheme="minorHAnsi"/>
          <w:szCs w:val="22"/>
          <w:lang w:val="en-US"/>
        </w:rPr>
        <w:t>wider organi</w:t>
      </w:r>
      <w:r>
        <w:rPr>
          <w:rFonts w:asciiTheme="minorHAnsi" w:hAnsiTheme="minorHAnsi"/>
          <w:szCs w:val="22"/>
          <w:lang w:val="en-US"/>
        </w:rPr>
        <w:t>sation from April 2019 onwards.  There are opportunities for using the respective strengths of the former Cwm Taf UHB and Bridgend locality to make whole system improvements across the whole of Cwm Taf Morgannwg UHB.</w:t>
      </w:r>
    </w:p>
    <w:p w14:paraId="77F0F5A8" w14:textId="54614CD3" w:rsidR="007B576F" w:rsidRPr="005B44BD" w:rsidRDefault="007B576F" w:rsidP="007B576F">
      <w:pPr>
        <w:pStyle w:val="Heading3"/>
        <w:rPr>
          <w:szCs w:val="22"/>
        </w:rPr>
      </w:pPr>
      <w:r w:rsidRPr="005B44BD">
        <w:rPr>
          <w:szCs w:val="22"/>
        </w:rPr>
        <w:lastRenderedPageBreak/>
        <w:t>Demand and Capacity Profiles</w:t>
      </w:r>
    </w:p>
    <w:p w14:paraId="26142FF7" w14:textId="77777777" w:rsidR="00A4414D" w:rsidRDefault="00A4414D" w:rsidP="00A4414D">
      <w:pPr>
        <w:rPr>
          <w:rFonts w:asciiTheme="minorHAnsi" w:hAnsiTheme="minorHAnsi"/>
          <w:szCs w:val="22"/>
        </w:rPr>
      </w:pPr>
      <w:r>
        <w:rPr>
          <w:rFonts w:asciiTheme="minorHAnsi" w:hAnsiTheme="minorHAnsi"/>
          <w:szCs w:val="22"/>
        </w:rPr>
        <w:t>This year we are adopting the same consistent approach to demand and capacity across all hospitals, making use of data from the Swansea Bay WPAS for the Princess of Wales Hospital.  This continues to be a challenge, given that a robust data flow has yet to be established. Our approach has been enhanced this year, though crucially it continues to have a direct link between activity and job planning.  The latest iteration of our models include:</w:t>
      </w:r>
    </w:p>
    <w:p w14:paraId="6F80DD63" w14:textId="77777777" w:rsidR="00A4414D" w:rsidRPr="005B44BD" w:rsidRDefault="00A4414D" w:rsidP="00A4414D">
      <w:pPr>
        <w:rPr>
          <w:rFonts w:asciiTheme="minorHAnsi" w:hAnsiTheme="minorHAnsi"/>
          <w:szCs w:val="22"/>
        </w:rPr>
      </w:pPr>
    </w:p>
    <w:p w14:paraId="3DBA03D2" w14:textId="77777777" w:rsidR="00A4414D" w:rsidRDefault="00A4414D" w:rsidP="003B1653">
      <w:pPr>
        <w:pStyle w:val="ListParagraph"/>
        <w:numPr>
          <w:ilvl w:val="0"/>
          <w:numId w:val="49"/>
        </w:numPr>
        <w:rPr>
          <w:rFonts w:asciiTheme="minorHAnsi" w:hAnsiTheme="minorHAnsi"/>
          <w:szCs w:val="22"/>
        </w:rPr>
      </w:pPr>
      <w:r>
        <w:rPr>
          <w:rFonts w:asciiTheme="minorHAnsi" w:hAnsiTheme="minorHAnsi"/>
          <w:szCs w:val="22"/>
        </w:rPr>
        <w:t xml:space="preserve">Outpatient </w:t>
      </w:r>
      <w:r w:rsidRPr="00322E8C">
        <w:rPr>
          <w:rFonts w:asciiTheme="minorHAnsi" w:hAnsiTheme="minorHAnsi"/>
          <w:szCs w:val="22"/>
        </w:rPr>
        <w:t xml:space="preserve">and Theatre </w:t>
      </w:r>
      <w:r>
        <w:rPr>
          <w:rFonts w:asciiTheme="minorHAnsi" w:hAnsiTheme="minorHAnsi"/>
          <w:szCs w:val="22"/>
        </w:rPr>
        <w:t>elements</w:t>
      </w:r>
      <w:r w:rsidRPr="00322E8C">
        <w:rPr>
          <w:rFonts w:asciiTheme="minorHAnsi" w:hAnsiTheme="minorHAnsi"/>
          <w:szCs w:val="22"/>
        </w:rPr>
        <w:t xml:space="preserve"> have been </w:t>
      </w:r>
      <w:r>
        <w:rPr>
          <w:rFonts w:asciiTheme="minorHAnsi" w:hAnsiTheme="minorHAnsi"/>
          <w:szCs w:val="22"/>
        </w:rPr>
        <w:t xml:space="preserve">integrated </w:t>
      </w:r>
      <w:r w:rsidRPr="00322E8C">
        <w:rPr>
          <w:rFonts w:asciiTheme="minorHAnsi" w:hAnsiTheme="minorHAnsi"/>
          <w:szCs w:val="22"/>
        </w:rPr>
        <w:t>into a single model</w:t>
      </w:r>
    </w:p>
    <w:p w14:paraId="243155A6" w14:textId="77777777" w:rsidR="00A4414D" w:rsidRDefault="00A4414D" w:rsidP="003B1653">
      <w:pPr>
        <w:pStyle w:val="ListParagraph"/>
        <w:numPr>
          <w:ilvl w:val="0"/>
          <w:numId w:val="49"/>
        </w:numPr>
        <w:rPr>
          <w:rFonts w:asciiTheme="minorHAnsi" w:hAnsiTheme="minorHAnsi"/>
          <w:szCs w:val="22"/>
        </w:rPr>
      </w:pPr>
      <w:r w:rsidRPr="00322E8C">
        <w:rPr>
          <w:rFonts w:asciiTheme="minorHAnsi" w:hAnsiTheme="minorHAnsi"/>
          <w:szCs w:val="22"/>
        </w:rPr>
        <w:t>Each Speciality has individual plans for</w:t>
      </w:r>
      <w:r>
        <w:rPr>
          <w:rFonts w:asciiTheme="minorHAnsi" w:hAnsiTheme="minorHAnsi"/>
          <w:szCs w:val="22"/>
        </w:rPr>
        <w:t xml:space="preserve"> hospital sites and s</w:t>
      </w:r>
      <w:r w:rsidRPr="00322E8C">
        <w:rPr>
          <w:rFonts w:asciiTheme="minorHAnsi" w:hAnsiTheme="minorHAnsi"/>
          <w:szCs w:val="22"/>
        </w:rPr>
        <w:t>ervices</w:t>
      </w:r>
    </w:p>
    <w:p w14:paraId="13AF8A4A" w14:textId="77777777" w:rsidR="00A4414D" w:rsidRDefault="00A4414D" w:rsidP="003B1653">
      <w:pPr>
        <w:pStyle w:val="ListParagraph"/>
        <w:numPr>
          <w:ilvl w:val="0"/>
          <w:numId w:val="49"/>
        </w:numPr>
        <w:rPr>
          <w:rFonts w:asciiTheme="minorHAnsi" w:hAnsiTheme="minorHAnsi"/>
          <w:szCs w:val="22"/>
        </w:rPr>
      </w:pPr>
      <w:r w:rsidRPr="00322E8C">
        <w:rPr>
          <w:rFonts w:asciiTheme="minorHAnsi" w:hAnsiTheme="minorHAnsi"/>
          <w:szCs w:val="22"/>
        </w:rPr>
        <w:t xml:space="preserve">Theatre Demand is calculated as a function of conversion from OP instead of the derived demand used in </w:t>
      </w:r>
      <w:r>
        <w:rPr>
          <w:rFonts w:asciiTheme="minorHAnsi" w:hAnsiTheme="minorHAnsi"/>
          <w:szCs w:val="22"/>
        </w:rPr>
        <w:t>earlier iterations</w:t>
      </w:r>
      <w:r w:rsidRPr="00322E8C">
        <w:rPr>
          <w:rFonts w:asciiTheme="minorHAnsi" w:hAnsiTheme="minorHAnsi"/>
          <w:szCs w:val="22"/>
        </w:rPr>
        <w:t>.</w:t>
      </w:r>
    </w:p>
    <w:p w14:paraId="5058E936" w14:textId="77777777" w:rsidR="00A4414D" w:rsidRDefault="00A4414D" w:rsidP="003B1653">
      <w:pPr>
        <w:pStyle w:val="ListParagraph"/>
        <w:numPr>
          <w:ilvl w:val="0"/>
          <w:numId w:val="49"/>
        </w:numPr>
        <w:rPr>
          <w:rFonts w:asciiTheme="minorHAnsi" w:hAnsiTheme="minorHAnsi"/>
          <w:szCs w:val="22"/>
        </w:rPr>
      </w:pPr>
      <w:r>
        <w:rPr>
          <w:rFonts w:asciiTheme="minorHAnsi" w:hAnsiTheme="minorHAnsi"/>
          <w:szCs w:val="22"/>
        </w:rPr>
        <w:t xml:space="preserve">A section has been added </w:t>
      </w:r>
      <w:r w:rsidRPr="00322E8C">
        <w:rPr>
          <w:rFonts w:asciiTheme="minorHAnsi" w:hAnsiTheme="minorHAnsi"/>
          <w:szCs w:val="22"/>
        </w:rPr>
        <w:t>to allow for backlog reduction and additional FUNB work</w:t>
      </w:r>
      <w:r>
        <w:rPr>
          <w:rFonts w:asciiTheme="minorHAnsi" w:hAnsiTheme="minorHAnsi"/>
          <w:szCs w:val="22"/>
        </w:rPr>
        <w:t xml:space="preserve"> in order to allow Directorates to </w:t>
      </w:r>
      <w:r w:rsidRPr="00322E8C">
        <w:rPr>
          <w:rFonts w:asciiTheme="minorHAnsi" w:hAnsiTheme="minorHAnsi"/>
          <w:szCs w:val="22"/>
        </w:rPr>
        <w:t xml:space="preserve">add in the additional demand that these areas may generate </w:t>
      </w:r>
      <w:r>
        <w:rPr>
          <w:rFonts w:asciiTheme="minorHAnsi" w:hAnsiTheme="minorHAnsi"/>
          <w:szCs w:val="22"/>
        </w:rPr>
        <w:t>through specific initiatives</w:t>
      </w:r>
    </w:p>
    <w:p w14:paraId="7DF79C86" w14:textId="77777777" w:rsidR="00A4414D" w:rsidRDefault="00A4414D" w:rsidP="003B1653">
      <w:pPr>
        <w:pStyle w:val="ListParagraph"/>
        <w:numPr>
          <w:ilvl w:val="0"/>
          <w:numId w:val="49"/>
        </w:numPr>
        <w:rPr>
          <w:rFonts w:asciiTheme="minorHAnsi" w:hAnsiTheme="minorHAnsi"/>
          <w:szCs w:val="22"/>
        </w:rPr>
      </w:pPr>
      <w:r>
        <w:rPr>
          <w:rFonts w:asciiTheme="minorHAnsi" w:hAnsiTheme="minorHAnsi"/>
          <w:szCs w:val="22"/>
        </w:rPr>
        <w:t>Additional summary functionality to facilitate scrutiny and assessment of plans</w:t>
      </w:r>
    </w:p>
    <w:p w14:paraId="1F3CADB4" w14:textId="77777777" w:rsidR="00A4414D" w:rsidRPr="00C90343" w:rsidRDefault="00A4414D" w:rsidP="00A4414D">
      <w:pPr>
        <w:rPr>
          <w:rFonts w:asciiTheme="minorHAnsi" w:hAnsiTheme="minorHAnsi"/>
          <w:szCs w:val="22"/>
        </w:rPr>
      </w:pPr>
    </w:p>
    <w:p w14:paraId="75E090F4" w14:textId="77777777" w:rsidR="00A4414D" w:rsidRPr="005B44BD" w:rsidRDefault="00A4414D" w:rsidP="00A4414D">
      <w:pPr>
        <w:rPr>
          <w:rFonts w:asciiTheme="minorHAnsi" w:hAnsiTheme="minorHAnsi"/>
          <w:b/>
          <w:szCs w:val="22"/>
        </w:rPr>
      </w:pPr>
      <w:r w:rsidRPr="005B44BD">
        <w:rPr>
          <w:rFonts w:asciiTheme="minorHAnsi" w:hAnsiTheme="minorHAnsi"/>
          <w:szCs w:val="22"/>
        </w:rPr>
        <w:t xml:space="preserve">Examples of the outputs of the demand and capacity modelling can be seen at </w:t>
      </w:r>
      <w:r w:rsidRPr="005B44BD">
        <w:rPr>
          <w:rFonts w:asciiTheme="minorHAnsi" w:hAnsiTheme="minorHAnsi"/>
          <w:b/>
          <w:szCs w:val="22"/>
        </w:rPr>
        <w:t xml:space="preserve">Annex </w:t>
      </w:r>
      <w:r>
        <w:rPr>
          <w:rFonts w:asciiTheme="minorHAnsi" w:hAnsiTheme="minorHAnsi"/>
          <w:b/>
          <w:szCs w:val="22"/>
        </w:rPr>
        <w:t>B6.</w:t>
      </w:r>
    </w:p>
    <w:p w14:paraId="4325D42E" w14:textId="77777777" w:rsidR="00A4414D" w:rsidRPr="005B44BD" w:rsidRDefault="00A4414D" w:rsidP="00A4414D">
      <w:pPr>
        <w:rPr>
          <w:rFonts w:asciiTheme="minorHAnsi" w:hAnsiTheme="minorHAnsi"/>
          <w:szCs w:val="22"/>
        </w:rPr>
      </w:pPr>
    </w:p>
    <w:p w14:paraId="1D49C626" w14:textId="77777777" w:rsidR="00A4414D" w:rsidRPr="005B44BD" w:rsidRDefault="00A4414D" w:rsidP="00A4414D">
      <w:pPr>
        <w:rPr>
          <w:rFonts w:asciiTheme="minorHAnsi" w:hAnsiTheme="minorHAnsi"/>
          <w:szCs w:val="22"/>
        </w:rPr>
      </w:pPr>
      <w:r w:rsidRPr="005B44BD">
        <w:rPr>
          <w:rFonts w:asciiTheme="minorHAnsi" w:hAnsiTheme="minorHAnsi"/>
          <w:szCs w:val="22"/>
        </w:rPr>
        <w:t>Whilst it has not proved possible to maintain the March 2018 achievement of no patients waiting over 36 weeks, performance remained within trajectory for the first half of the year, with significant demand increases in Dermatology being the primary cause of not maintaining that position in the second half of the year.  Robust plans are in place to ensure that the 36 week target will be met in March 2019.  This will be through a combination of internal solutions within the directorate plans, additional weekend working and a small amount of outsourced capacity for certain specialties.</w:t>
      </w:r>
    </w:p>
    <w:p w14:paraId="06F93249" w14:textId="4772C95B" w:rsidR="00AB1969" w:rsidRPr="005B44BD" w:rsidRDefault="00E1248C" w:rsidP="00E1248C">
      <w:pPr>
        <w:pStyle w:val="Heading2"/>
        <w:rPr>
          <w:szCs w:val="22"/>
        </w:rPr>
      </w:pPr>
      <w:bookmarkStart w:id="135" w:name="_Toc441757248"/>
      <w:bookmarkStart w:id="136" w:name="_Toc447195653"/>
      <w:bookmarkStart w:id="137" w:name="_Toc471830032"/>
      <w:bookmarkStart w:id="138" w:name="_Toc473290357"/>
      <w:bookmarkStart w:id="139" w:name="_Toc478738537"/>
      <w:bookmarkStart w:id="140" w:name="_Toc532299685"/>
      <w:bookmarkStart w:id="141" w:name="_Toc532464009"/>
      <w:bookmarkStart w:id="142" w:name="_Toc536195566"/>
      <w:bookmarkStart w:id="143" w:name="_Toc25262182"/>
      <w:bookmarkEnd w:id="118"/>
      <w:bookmarkEnd w:id="129"/>
      <w:bookmarkEnd w:id="130"/>
      <w:bookmarkEnd w:id="131"/>
      <w:bookmarkEnd w:id="132"/>
      <w:bookmarkEnd w:id="133"/>
      <w:bookmarkEnd w:id="134"/>
      <w:r w:rsidRPr="005B44BD">
        <w:rPr>
          <w:rFonts w:asciiTheme="minorHAnsi" w:hAnsiTheme="minorHAnsi"/>
          <w:szCs w:val="22"/>
        </w:rPr>
        <w:t>E</w:t>
      </w:r>
      <w:r w:rsidR="00AB1969" w:rsidRPr="005B44BD">
        <w:rPr>
          <w:szCs w:val="22"/>
        </w:rPr>
        <w:t xml:space="preserve">nsuring Integration with Our </w:t>
      </w:r>
      <w:r w:rsidR="005472C7" w:rsidRPr="005B44BD">
        <w:rPr>
          <w:szCs w:val="22"/>
        </w:rPr>
        <w:t xml:space="preserve">Partners’ </w:t>
      </w:r>
      <w:r w:rsidR="00AB1969" w:rsidRPr="005B44BD">
        <w:rPr>
          <w:szCs w:val="22"/>
        </w:rPr>
        <w:t>Plans</w:t>
      </w:r>
      <w:bookmarkEnd w:id="135"/>
      <w:bookmarkEnd w:id="136"/>
      <w:bookmarkEnd w:id="137"/>
      <w:bookmarkEnd w:id="138"/>
      <w:bookmarkEnd w:id="139"/>
      <w:bookmarkEnd w:id="140"/>
      <w:bookmarkEnd w:id="141"/>
      <w:bookmarkEnd w:id="142"/>
      <w:bookmarkEnd w:id="143"/>
      <w:r w:rsidR="00AB1969" w:rsidRPr="005B44BD">
        <w:rPr>
          <w:szCs w:val="22"/>
        </w:rPr>
        <w:t xml:space="preserve"> </w:t>
      </w:r>
    </w:p>
    <w:p w14:paraId="2E7AE204" w14:textId="5F5BA3BE" w:rsidR="0006267A" w:rsidRPr="005913B0" w:rsidRDefault="0006267A" w:rsidP="0006267A">
      <w:pPr>
        <w:rPr>
          <w:color w:val="000000" w:themeColor="text1"/>
          <w:szCs w:val="22"/>
        </w:rPr>
      </w:pPr>
      <w:r w:rsidRPr="005913B0">
        <w:rPr>
          <w:color w:val="000000" w:themeColor="text1"/>
          <w:szCs w:val="22"/>
        </w:rPr>
        <w:t xml:space="preserve">In developing our Plan, we </w:t>
      </w:r>
      <w:r w:rsidR="00FD79F9" w:rsidRPr="005913B0">
        <w:rPr>
          <w:color w:val="000000" w:themeColor="text1"/>
          <w:szCs w:val="22"/>
        </w:rPr>
        <w:t xml:space="preserve">are </w:t>
      </w:r>
      <w:r w:rsidRPr="005913B0">
        <w:rPr>
          <w:color w:val="000000" w:themeColor="text1"/>
          <w:szCs w:val="22"/>
        </w:rPr>
        <w:t xml:space="preserve">mindful of ensuring these </w:t>
      </w:r>
      <w:r w:rsidR="00FA3A1E" w:rsidRPr="005913B0">
        <w:rPr>
          <w:color w:val="000000" w:themeColor="text1"/>
          <w:szCs w:val="22"/>
        </w:rPr>
        <w:t>integrate effectively with the</w:t>
      </w:r>
      <w:r w:rsidRPr="005913B0">
        <w:rPr>
          <w:color w:val="000000" w:themeColor="text1"/>
          <w:szCs w:val="22"/>
        </w:rPr>
        <w:t xml:space="preserve"> s</w:t>
      </w:r>
      <w:r w:rsidR="00064505" w:rsidRPr="005913B0">
        <w:rPr>
          <w:color w:val="000000" w:themeColor="text1"/>
          <w:szCs w:val="22"/>
        </w:rPr>
        <w:t>trategic plans of our partners</w:t>
      </w:r>
      <w:r w:rsidR="00CB03EC" w:rsidRPr="005913B0">
        <w:rPr>
          <w:color w:val="000000" w:themeColor="text1"/>
          <w:szCs w:val="22"/>
        </w:rPr>
        <w:t xml:space="preserve">.  </w:t>
      </w:r>
      <w:r w:rsidR="001E201E" w:rsidRPr="005913B0">
        <w:rPr>
          <w:color w:val="000000" w:themeColor="text1"/>
          <w:szCs w:val="22"/>
        </w:rPr>
        <w:t>We</w:t>
      </w:r>
      <w:r w:rsidRPr="005913B0">
        <w:rPr>
          <w:color w:val="000000" w:themeColor="text1"/>
          <w:szCs w:val="22"/>
        </w:rPr>
        <w:t xml:space="preserve"> have actively shared our emergent </w:t>
      </w:r>
      <w:r w:rsidR="00FC4E16" w:rsidRPr="005913B0">
        <w:rPr>
          <w:color w:val="000000" w:themeColor="text1"/>
          <w:szCs w:val="22"/>
        </w:rPr>
        <w:t>planning priorities with our partners</w:t>
      </w:r>
      <w:r w:rsidR="001E201E" w:rsidRPr="005913B0">
        <w:rPr>
          <w:color w:val="000000" w:themeColor="text1"/>
          <w:szCs w:val="22"/>
        </w:rPr>
        <w:t xml:space="preserve">, which </w:t>
      </w:r>
      <w:r w:rsidR="00FC4E16" w:rsidRPr="005913B0">
        <w:rPr>
          <w:color w:val="000000" w:themeColor="text1"/>
          <w:szCs w:val="22"/>
        </w:rPr>
        <w:t xml:space="preserve">has been undertaken through discussion and </w:t>
      </w:r>
      <w:r w:rsidR="001E201E" w:rsidRPr="005913B0">
        <w:rPr>
          <w:color w:val="000000" w:themeColor="text1"/>
          <w:szCs w:val="22"/>
        </w:rPr>
        <w:t>correspondence</w:t>
      </w:r>
      <w:r w:rsidR="00FC4E16" w:rsidRPr="005913B0">
        <w:rPr>
          <w:color w:val="000000" w:themeColor="text1"/>
          <w:szCs w:val="22"/>
        </w:rPr>
        <w:t>.</w:t>
      </w:r>
      <w:r w:rsidR="00B57A37" w:rsidRPr="005913B0">
        <w:rPr>
          <w:color w:val="000000" w:themeColor="text1"/>
          <w:szCs w:val="22"/>
        </w:rPr>
        <w:t xml:space="preserve">  </w:t>
      </w:r>
      <w:r w:rsidRPr="005913B0">
        <w:rPr>
          <w:color w:val="000000" w:themeColor="text1"/>
          <w:szCs w:val="22"/>
        </w:rPr>
        <w:t>The following provides a short summary of some of the key areas of interface</w:t>
      </w:r>
      <w:r w:rsidR="00FD79F9" w:rsidRPr="005913B0">
        <w:rPr>
          <w:color w:val="000000" w:themeColor="text1"/>
          <w:szCs w:val="22"/>
        </w:rPr>
        <w:t xml:space="preserve"> with NHS Partners</w:t>
      </w:r>
      <w:r w:rsidRPr="005913B0">
        <w:rPr>
          <w:color w:val="000000" w:themeColor="text1"/>
          <w:szCs w:val="22"/>
        </w:rPr>
        <w:t>.</w:t>
      </w:r>
    </w:p>
    <w:p w14:paraId="408DE882" w14:textId="50C80995" w:rsidR="0006267A" w:rsidRPr="005B44BD" w:rsidRDefault="0006267A" w:rsidP="00264363">
      <w:pPr>
        <w:pStyle w:val="Heading3"/>
        <w:rPr>
          <w:szCs w:val="22"/>
        </w:rPr>
      </w:pPr>
      <w:bookmarkStart w:id="144" w:name="_Toc471830033"/>
      <w:bookmarkStart w:id="145" w:name="_Toc473290358"/>
      <w:bookmarkStart w:id="146" w:name="_Toc532464010"/>
      <w:r w:rsidRPr="005B44BD">
        <w:rPr>
          <w:szCs w:val="22"/>
        </w:rPr>
        <w:t xml:space="preserve">Velindre </w:t>
      </w:r>
      <w:r w:rsidR="00E334A5">
        <w:rPr>
          <w:szCs w:val="22"/>
        </w:rPr>
        <w:t xml:space="preserve">University </w:t>
      </w:r>
      <w:r w:rsidRPr="005B44BD">
        <w:rPr>
          <w:szCs w:val="22"/>
        </w:rPr>
        <w:t>NHS Trust</w:t>
      </w:r>
      <w:bookmarkEnd w:id="144"/>
      <w:bookmarkEnd w:id="145"/>
      <w:bookmarkEnd w:id="146"/>
    </w:p>
    <w:p w14:paraId="78B48252" w14:textId="6975B5AD" w:rsidR="006D43E6" w:rsidRPr="00E334A5" w:rsidRDefault="006D43E6" w:rsidP="006D43E6">
      <w:pPr>
        <w:rPr>
          <w:rFonts w:asciiTheme="minorHAnsi" w:hAnsiTheme="minorHAnsi"/>
          <w:color w:val="943634" w:themeColor="accent2" w:themeShade="BF"/>
          <w:szCs w:val="22"/>
        </w:rPr>
      </w:pPr>
      <w:r w:rsidRPr="002627D6">
        <w:rPr>
          <w:rFonts w:asciiTheme="minorHAnsi" w:hAnsiTheme="minorHAnsi"/>
          <w:szCs w:val="22"/>
        </w:rPr>
        <w:t>The Welsh Blood Service is plays a fundamental role in the delivery of health care.  The service works to provide blood services, which allow patients to improve the quality of their life, and saves the lives of many people every year.</w:t>
      </w:r>
      <w:r w:rsidR="00AB0CA2" w:rsidRPr="002627D6">
        <w:rPr>
          <w:rFonts w:asciiTheme="minorHAnsi" w:hAnsiTheme="minorHAnsi"/>
          <w:szCs w:val="22"/>
        </w:rPr>
        <w:t xml:space="preserve">  Through the national </w:t>
      </w:r>
      <w:hyperlink r:id="rId68" w:history="1">
        <w:r w:rsidR="00AB0CA2" w:rsidRPr="002627D6">
          <w:rPr>
            <w:rStyle w:val="Hyperlink"/>
            <w:rFonts w:asciiTheme="minorHAnsi" w:hAnsiTheme="minorHAnsi" w:cs="Tahoma"/>
            <w:color w:val="auto"/>
            <w:szCs w:val="22"/>
          </w:rPr>
          <w:t>Blood Health Plan</w:t>
        </w:r>
      </w:hyperlink>
      <w:r w:rsidR="00B57A37" w:rsidRPr="002627D6">
        <w:rPr>
          <w:rFonts w:asciiTheme="minorHAnsi" w:hAnsiTheme="minorHAnsi"/>
          <w:szCs w:val="22"/>
        </w:rPr>
        <w:t xml:space="preserve">, </w:t>
      </w:r>
      <w:r w:rsidR="00B57A37" w:rsidRPr="002627D6">
        <w:rPr>
          <w:szCs w:val="22"/>
        </w:rPr>
        <w:t>we are focusing activity on using tools to make appropriate use of type O negative blood and reduce errors in the mis-identification of patients to improve transfusion practice.</w:t>
      </w:r>
      <w:r w:rsidR="00E334A5">
        <w:rPr>
          <w:szCs w:val="22"/>
        </w:rPr>
        <w:t xml:space="preserve"> </w:t>
      </w:r>
      <w:r w:rsidR="00E334A5" w:rsidRPr="00E334A5">
        <w:rPr>
          <w:color w:val="943634" w:themeColor="accent2" w:themeShade="BF"/>
          <w:szCs w:val="22"/>
        </w:rPr>
        <w:t>(Additional detail from pathology)</w:t>
      </w:r>
    </w:p>
    <w:p w14:paraId="3FF86DBD" w14:textId="77777777" w:rsidR="006D43E6" w:rsidRPr="00CA53D6" w:rsidRDefault="006D43E6" w:rsidP="006D43E6">
      <w:pPr>
        <w:rPr>
          <w:rFonts w:asciiTheme="minorHAnsi" w:hAnsiTheme="minorHAnsi"/>
          <w:szCs w:val="22"/>
        </w:rPr>
      </w:pPr>
    </w:p>
    <w:p w14:paraId="799B764B" w14:textId="2DD8FFFF" w:rsidR="00E334A5" w:rsidRPr="00E334A5" w:rsidRDefault="006D43E6" w:rsidP="00E334A5">
      <w:pPr>
        <w:rPr>
          <w:rFonts w:asciiTheme="minorHAnsi" w:hAnsiTheme="minorHAnsi"/>
          <w:szCs w:val="22"/>
        </w:rPr>
      </w:pPr>
      <w:r w:rsidRPr="00CA53D6">
        <w:rPr>
          <w:rFonts w:asciiTheme="minorHAnsi" w:hAnsiTheme="minorHAnsi"/>
          <w:szCs w:val="22"/>
        </w:rPr>
        <w:t>The Velindre Cancer Centre is a specialised treatment, teaching, research and development centre for non-surgical oncology and treats a number of our patients with chemotherapy, systemic anticancer treatments, radiotherapy and related treatments, together with caring for some patients with specialist palliative care needs</w:t>
      </w:r>
      <w:r w:rsidR="00803379" w:rsidRPr="00CA53D6">
        <w:rPr>
          <w:rFonts w:asciiTheme="minorHAnsi" w:hAnsiTheme="minorHAnsi"/>
          <w:szCs w:val="22"/>
        </w:rPr>
        <w:t xml:space="preserve">.  </w:t>
      </w:r>
      <w:r w:rsidR="00B57A37" w:rsidRPr="00CA53D6">
        <w:rPr>
          <w:rFonts w:asciiTheme="minorHAnsi" w:hAnsiTheme="minorHAnsi"/>
          <w:szCs w:val="22"/>
        </w:rPr>
        <w:t>Along with other commissioners, we have agreed to financially support Velindre to develop and implement plans to bring about change and transformation to the way cancer services are delivered.</w:t>
      </w:r>
      <w:r w:rsidR="00CA53D6" w:rsidRPr="00CA53D6">
        <w:rPr>
          <w:rFonts w:asciiTheme="minorHAnsi" w:hAnsiTheme="minorHAnsi"/>
          <w:szCs w:val="22"/>
        </w:rPr>
        <w:t xml:space="preserve">  </w:t>
      </w:r>
      <w:r w:rsidR="00E334A5" w:rsidRPr="00E334A5">
        <w:rPr>
          <w:rFonts w:asciiTheme="minorHAnsi" w:hAnsiTheme="minorHAnsi"/>
          <w:szCs w:val="22"/>
        </w:rPr>
        <w:t>Velindre University NHS Trust have identified a 3 stage approach to their IMTP development:</w:t>
      </w:r>
    </w:p>
    <w:p w14:paraId="5C1610A8" w14:textId="77777777" w:rsidR="00E334A5" w:rsidRPr="00E334A5" w:rsidRDefault="00E334A5" w:rsidP="003B1653">
      <w:pPr>
        <w:pStyle w:val="ListParagraph"/>
        <w:numPr>
          <w:ilvl w:val="0"/>
          <w:numId w:val="100"/>
        </w:numPr>
        <w:ind w:left="357" w:hanging="357"/>
        <w:rPr>
          <w:rFonts w:asciiTheme="minorHAnsi" w:hAnsiTheme="minorHAnsi"/>
          <w:szCs w:val="22"/>
        </w:rPr>
      </w:pPr>
      <w:r w:rsidRPr="00E334A5">
        <w:rPr>
          <w:rFonts w:asciiTheme="minorHAnsi" w:hAnsiTheme="minorHAnsi"/>
          <w:szCs w:val="22"/>
        </w:rPr>
        <w:t>Core Business ( SACT, Radiotherapy, Outpatients &amp; Inpatients) within Existing resources</w:t>
      </w:r>
    </w:p>
    <w:p w14:paraId="5589EF25" w14:textId="77777777" w:rsidR="00E334A5" w:rsidRPr="00E334A5" w:rsidRDefault="00E334A5" w:rsidP="003B1653">
      <w:pPr>
        <w:pStyle w:val="ListParagraph"/>
        <w:numPr>
          <w:ilvl w:val="0"/>
          <w:numId w:val="100"/>
        </w:numPr>
        <w:ind w:left="357" w:hanging="357"/>
        <w:rPr>
          <w:rFonts w:asciiTheme="minorHAnsi" w:hAnsiTheme="minorHAnsi"/>
          <w:szCs w:val="22"/>
        </w:rPr>
      </w:pPr>
      <w:r w:rsidRPr="00E334A5">
        <w:rPr>
          <w:rFonts w:asciiTheme="minorHAnsi" w:hAnsiTheme="minorHAnsi"/>
          <w:szCs w:val="22"/>
        </w:rPr>
        <w:t>Service Development through efficiency gains and</w:t>
      </w:r>
    </w:p>
    <w:p w14:paraId="27A850C9" w14:textId="77777777" w:rsidR="00E334A5" w:rsidRPr="00E334A5" w:rsidRDefault="00E334A5" w:rsidP="003B1653">
      <w:pPr>
        <w:pStyle w:val="ListParagraph"/>
        <w:numPr>
          <w:ilvl w:val="0"/>
          <w:numId w:val="100"/>
        </w:numPr>
        <w:ind w:left="357" w:hanging="357"/>
        <w:rPr>
          <w:rFonts w:asciiTheme="minorHAnsi" w:hAnsiTheme="minorHAnsi"/>
          <w:szCs w:val="22"/>
        </w:rPr>
      </w:pPr>
      <w:r w:rsidRPr="00E334A5">
        <w:rPr>
          <w:rFonts w:asciiTheme="minorHAnsi" w:hAnsiTheme="minorHAnsi"/>
          <w:szCs w:val="22"/>
        </w:rPr>
        <w:t>Development through new commissioner investment</w:t>
      </w:r>
    </w:p>
    <w:p w14:paraId="7F2FE989" w14:textId="77777777" w:rsidR="00E334A5" w:rsidRPr="00E334A5" w:rsidRDefault="00E334A5" w:rsidP="00E334A5">
      <w:pPr>
        <w:rPr>
          <w:rFonts w:asciiTheme="minorHAnsi" w:hAnsiTheme="minorHAnsi"/>
          <w:szCs w:val="22"/>
        </w:rPr>
      </w:pPr>
    </w:p>
    <w:p w14:paraId="13C25338" w14:textId="43F8FB6A" w:rsidR="00E334A5" w:rsidRPr="00E334A5" w:rsidRDefault="00E334A5" w:rsidP="00E334A5">
      <w:pPr>
        <w:rPr>
          <w:rFonts w:asciiTheme="minorHAnsi" w:hAnsiTheme="minorHAnsi"/>
          <w:szCs w:val="22"/>
        </w:rPr>
      </w:pPr>
      <w:r w:rsidRPr="00E334A5">
        <w:rPr>
          <w:rFonts w:asciiTheme="minorHAnsi" w:hAnsiTheme="minorHAnsi"/>
          <w:szCs w:val="22"/>
        </w:rPr>
        <w:t>Core business for 2020/21 will be supported with the introduction of a new contracting model to ensure appropriate funding for services provided.</w:t>
      </w:r>
      <w:r>
        <w:rPr>
          <w:rFonts w:asciiTheme="minorHAnsi" w:hAnsiTheme="minorHAnsi"/>
          <w:szCs w:val="22"/>
        </w:rPr>
        <w:t xml:space="preserve">  </w:t>
      </w:r>
      <w:r w:rsidRPr="00E334A5">
        <w:rPr>
          <w:rFonts w:asciiTheme="minorHAnsi" w:hAnsiTheme="minorHAnsi"/>
          <w:szCs w:val="22"/>
        </w:rPr>
        <w:t>The core business will also require enhancement to take account of the level of growth expected in NICE and high cost drugs, especially immunotherapy treatment as well as core services such as radiology.</w:t>
      </w:r>
    </w:p>
    <w:p w14:paraId="20FF45F1" w14:textId="77777777" w:rsidR="00E334A5" w:rsidRPr="00E334A5" w:rsidRDefault="00E334A5" w:rsidP="00E334A5">
      <w:pPr>
        <w:rPr>
          <w:rFonts w:asciiTheme="minorHAnsi" w:hAnsiTheme="minorHAnsi"/>
          <w:szCs w:val="22"/>
        </w:rPr>
      </w:pPr>
    </w:p>
    <w:p w14:paraId="7C2AFAAD" w14:textId="77777777" w:rsidR="00E334A5" w:rsidRPr="00E334A5" w:rsidRDefault="00E334A5" w:rsidP="00E334A5">
      <w:pPr>
        <w:rPr>
          <w:rFonts w:asciiTheme="minorHAnsi" w:hAnsiTheme="minorHAnsi"/>
          <w:szCs w:val="22"/>
        </w:rPr>
      </w:pPr>
      <w:r w:rsidRPr="00E334A5">
        <w:rPr>
          <w:rFonts w:asciiTheme="minorHAnsi" w:hAnsiTheme="minorHAnsi"/>
          <w:szCs w:val="22"/>
        </w:rPr>
        <w:lastRenderedPageBreak/>
        <w:t>Service developments through efficiency gains will support the introduction of some new developments, especially new radiotherapy techniques, but many of these new techniques will require new investment.</w:t>
      </w:r>
    </w:p>
    <w:p w14:paraId="17DFADAB" w14:textId="77777777" w:rsidR="00E334A5" w:rsidRPr="00E334A5" w:rsidRDefault="00E334A5" w:rsidP="00E334A5">
      <w:pPr>
        <w:rPr>
          <w:rFonts w:asciiTheme="minorHAnsi" w:hAnsiTheme="minorHAnsi"/>
          <w:szCs w:val="22"/>
        </w:rPr>
      </w:pPr>
    </w:p>
    <w:p w14:paraId="7B164578" w14:textId="77777777" w:rsidR="00E334A5" w:rsidRPr="00E334A5" w:rsidRDefault="00E334A5" w:rsidP="00E334A5">
      <w:pPr>
        <w:rPr>
          <w:rFonts w:asciiTheme="minorHAnsi" w:hAnsiTheme="minorHAnsi"/>
          <w:szCs w:val="22"/>
        </w:rPr>
      </w:pPr>
      <w:r w:rsidRPr="00E334A5">
        <w:rPr>
          <w:rFonts w:asciiTheme="minorHAnsi" w:hAnsiTheme="minorHAnsi"/>
          <w:szCs w:val="22"/>
        </w:rPr>
        <w:t>Velindre University NHS Trust has also identified a range of new developments for investment for 2020/21 but given the level of investment required to meet core business, further work will be required before finalising the IMTP to understand the prioritisation of these developments before any investment decisions can be made.</w:t>
      </w:r>
    </w:p>
    <w:p w14:paraId="0A3D9B86" w14:textId="77777777" w:rsidR="006D43E6" w:rsidRPr="00CA53D6" w:rsidRDefault="006D43E6" w:rsidP="006D43E6">
      <w:pPr>
        <w:rPr>
          <w:rFonts w:asciiTheme="minorHAnsi" w:hAnsiTheme="minorHAnsi"/>
          <w:szCs w:val="22"/>
        </w:rPr>
      </w:pPr>
    </w:p>
    <w:p w14:paraId="63A4F8DC" w14:textId="389BC6B0" w:rsidR="006D43E6" w:rsidRPr="00CA53D6" w:rsidRDefault="006D43E6" w:rsidP="006D43E6">
      <w:pPr>
        <w:rPr>
          <w:rFonts w:asciiTheme="minorHAnsi" w:hAnsiTheme="minorHAnsi"/>
          <w:szCs w:val="22"/>
        </w:rPr>
      </w:pPr>
      <w:r w:rsidRPr="00E334A5">
        <w:rPr>
          <w:rFonts w:asciiTheme="minorHAnsi" w:hAnsiTheme="minorHAnsi"/>
          <w:szCs w:val="22"/>
        </w:rPr>
        <w:t>The Health Board continues to work collaboratively with Velindre NHS Trust on the Transforming Cancer Services (TCS) Programme Business Case, which was</w:t>
      </w:r>
      <w:r w:rsidRPr="00CA53D6">
        <w:rPr>
          <w:rFonts w:asciiTheme="minorHAnsi" w:hAnsiTheme="minorHAnsi"/>
          <w:szCs w:val="22"/>
        </w:rPr>
        <w:t xml:space="preserve"> approved by </w:t>
      </w:r>
      <w:r w:rsidR="00584C85" w:rsidRPr="00CA53D6">
        <w:rPr>
          <w:rFonts w:asciiTheme="minorHAnsi" w:hAnsiTheme="minorHAnsi"/>
          <w:szCs w:val="22"/>
        </w:rPr>
        <w:t>Health</w:t>
      </w:r>
      <w:r w:rsidR="00C11306" w:rsidRPr="00CA53D6">
        <w:rPr>
          <w:rFonts w:asciiTheme="minorHAnsi" w:hAnsiTheme="minorHAnsi"/>
          <w:szCs w:val="22"/>
        </w:rPr>
        <w:t xml:space="preserve"> B</w:t>
      </w:r>
      <w:r w:rsidR="00584C85" w:rsidRPr="00CA53D6">
        <w:rPr>
          <w:rFonts w:asciiTheme="minorHAnsi" w:hAnsiTheme="minorHAnsi"/>
          <w:szCs w:val="22"/>
        </w:rPr>
        <w:t>oard</w:t>
      </w:r>
      <w:r w:rsidRPr="00CA53D6">
        <w:rPr>
          <w:rFonts w:asciiTheme="minorHAnsi" w:hAnsiTheme="minorHAnsi"/>
          <w:szCs w:val="22"/>
        </w:rPr>
        <w:t xml:space="preserve"> in March 2018.  The Health Board commissioning and finance teams are working closely with their Velindre counterparts to ensure that business cases provided value, however cancer services provided through the new centre are likely to be a cost pressure for the Health Board.</w:t>
      </w:r>
      <w:r w:rsidR="00E334A5">
        <w:rPr>
          <w:rFonts w:asciiTheme="minorHAnsi" w:hAnsiTheme="minorHAnsi"/>
          <w:szCs w:val="22"/>
        </w:rPr>
        <w:t xml:space="preserve"> </w:t>
      </w:r>
      <w:r w:rsidR="00E334A5" w:rsidRPr="00E334A5">
        <w:rPr>
          <w:rFonts w:asciiTheme="minorHAnsi" w:hAnsiTheme="minorHAnsi"/>
          <w:szCs w:val="22"/>
        </w:rPr>
        <w:t>. During 2020/21, it is anticipated that the Health Board will work collaboratively with Velindre to look at developing a model for delivering Acute Oncology between Velindre and the Health Board, which will support the TCS work.</w:t>
      </w:r>
    </w:p>
    <w:p w14:paraId="4AEBF3F3" w14:textId="46732FAF" w:rsidR="006D43E6" w:rsidRPr="005B44BD" w:rsidRDefault="006D43E6" w:rsidP="006D43E6">
      <w:pPr>
        <w:pStyle w:val="Heading3"/>
        <w:rPr>
          <w:szCs w:val="22"/>
        </w:rPr>
      </w:pPr>
      <w:bookmarkStart w:id="147" w:name="_Toc471830034"/>
      <w:bookmarkStart w:id="148" w:name="_Toc473290359"/>
      <w:bookmarkStart w:id="149" w:name="_Toc532464011"/>
      <w:r w:rsidRPr="005B44BD">
        <w:rPr>
          <w:szCs w:val="22"/>
        </w:rPr>
        <w:t>Welsh Health Specialised Services Committee</w:t>
      </w:r>
      <w:bookmarkEnd w:id="147"/>
      <w:bookmarkEnd w:id="148"/>
      <w:bookmarkEnd w:id="149"/>
    </w:p>
    <w:p w14:paraId="3219C5EE" w14:textId="77777777" w:rsidR="00CA53D6" w:rsidRDefault="00AA2C63" w:rsidP="00AA2C63">
      <w:pPr>
        <w:rPr>
          <w:rFonts w:asciiTheme="minorHAnsi" w:hAnsiTheme="minorHAnsi"/>
          <w:color w:val="943634" w:themeColor="accent2" w:themeShade="BF"/>
          <w:szCs w:val="22"/>
        </w:rPr>
      </w:pPr>
      <w:r w:rsidRPr="0079578A">
        <w:rPr>
          <w:rFonts w:asciiTheme="minorHAnsi" w:hAnsiTheme="minorHAnsi"/>
          <w:color w:val="943634" w:themeColor="accent2" w:themeShade="BF"/>
          <w:szCs w:val="22"/>
        </w:rPr>
        <w:t xml:space="preserve">Hosted by </w:t>
      </w:r>
      <w:r w:rsidR="00FA719A" w:rsidRPr="0079578A">
        <w:rPr>
          <w:rFonts w:asciiTheme="minorHAnsi" w:hAnsiTheme="minorHAnsi"/>
          <w:color w:val="943634" w:themeColor="accent2" w:themeShade="BF"/>
          <w:szCs w:val="22"/>
        </w:rPr>
        <w:t>the Health Board</w:t>
      </w:r>
      <w:r w:rsidRPr="0079578A">
        <w:rPr>
          <w:rFonts w:asciiTheme="minorHAnsi" w:hAnsiTheme="minorHAnsi"/>
          <w:color w:val="943634" w:themeColor="accent2" w:themeShade="BF"/>
          <w:szCs w:val="22"/>
        </w:rPr>
        <w:t>, t</w:t>
      </w:r>
      <w:r w:rsidR="006D43E6" w:rsidRPr="0079578A">
        <w:rPr>
          <w:rFonts w:asciiTheme="minorHAnsi" w:hAnsiTheme="minorHAnsi"/>
          <w:color w:val="943634" w:themeColor="accent2" w:themeShade="BF"/>
          <w:szCs w:val="22"/>
        </w:rPr>
        <w:t xml:space="preserve">he Welsh Health Specialised Services Committee (WHSSC) is a joint committee </w:t>
      </w:r>
      <w:r w:rsidRPr="0079578A">
        <w:rPr>
          <w:rFonts w:asciiTheme="minorHAnsi" w:hAnsiTheme="minorHAnsi"/>
          <w:color w:val="943634" w:themeColor="accent2" w:themeShade="BF"/>
          <w:szCs w:val="22"/>
        </w:rPr>
        <w:t xml:space="preserve">made up </w:t>
      </w:r>
      <w:r w:rsidR="006D43E6" w:rsidRPr="0079578A">
        <w:rPr>
          <w:rFonts w:asciiTheme="minorHAnsi" w:hAnsiTheme="minorHAnsi"/>
          <w:color w:val="943634" w:themeColor="accent2" w:themeShade="BF"/>
          <w:szCs w:val="22"/>
        </w:rPr>
        <w:t>of th</w:t>
      </w:r>
      <w:r w:rsidRPr="0079578A">
        <w:rPr>
          <w:rFonts w:asciiTheme="minorHAnsi" w:hAnsiTheme="minorHAnsi"/>
          <w:color w:val="943634" w:themeColor="accent2" w:themeShade="BF"/>
          <w:szCs w:val="22"/>
        </w:rPr>
        <w:t xml:space="preserve">e seven Health Boards in Wales and is </w:t>
      </w:r>
      <w:r w:rsidR="006D43E6" w:rsidRPr="0079578A">
        <w:rPr>
          <w:rFonts w:asciiTheme="minorHAnsi" w:hAnsiTheme="minorHAnsi"/>
          <w:color w:val="943634" w:themeColor="accent2" w:themeShade="BF"/>
          <w:szCs w:val="22"/>
        </w:rPr>
        <w:t>responsible for planning specialised and tertiary services on our behalf.</w:t>
      </w:r>
      <w:r w:rsidRPr="0079578A">
        <w:rPr>
          <w:rFonts w:asciiTheme="minorHAnsi" w:hAnsiTheme="minorHAnsi"/>
          <w:color w:val="943634" w:themeColor="accent2" w:themeShade="BF"/>
          <w:szCs w:val="22"/>
        </w:rPr>
        <w:t xml:space="preserve">  T</w:t>
      </w:r>
      <w:r w:rsidR="006D43E6" w:rsidRPr="0079578A">
        <w:rPr>
          <w:rFonts w:asciiTheme="minorHAnsi" w:hAnsiTheme="minorHAnsi"/>
          <w:color w:val="943634" w:themeColor="accent2" w:themeShade="BF"/>
          <w:szCs w:val="22"/>
        </w:rPr>
        <w:t xml:space="preserve">he Health Board </w:t>
      </w:r>
      <w:r w:rsidRPr="0079578A">
        <w:rPr>
          <w:rFonts w:asciiTheme="minorHAnsi" w:hAnsiTheme="minorHAnsi"/>
          <w:color w:val="943634" w:themeColor="accent2" w:themeShade="BF"/>
          <w:szCs w:val="22"/>
        </w:rPr>
        <w:t>is</w:t>
      </w:r>
      <w:r w:rsidR="006D43E6" w:rsidRPr="0079578A">
        <w:rPr>
          <w:rFonts w:asciiTheme="minorHAnsi" w:hAnsiTheme="minorHAnsi"/>
          <w:color w:val="943634" w:themeColor="accent2" w:themeShade="BF"/>
          <w:szCs w:val="22"/>
        </w:rPr>
        <w:t xml:space="preserve"> involved in dedicated discussions on the development of the Commissioning Plan for Spe</w:t>
      </w:r>
      <w:r w:rsidR="00CA53D6">
        <w:rPr>
          <w:rFonts w:asciiTheme="minorHAnsi" w:hAnsiTheme="minorHAnsi"/>
          <w:color w:val="943634" w:themeColor="accent2" w:themeShade="BF"/>
          <w:szCs w:val="22"/>
        </w:rPr>
        <w:t>cialised Services for Wales 2020</w:t>
      </w:r>
      <w:r w:rsidR="006D43E6" w:rsidRPr="0079578A">
        <w:rPr>
          <w:rFonts w:asciiTheme="minorHAnsi" w:hAnsiTheme="minorHAnsi"/>
          <w:color w:val="943634" w:themeColor="accent2" w:themeShade="BF"/>
          <w:szCs w:val="22"/>
        </w:rPr>
        <w:t>-2</w:t>
      </w:r>
      <w:r w:rsidR="00CA53D6">
        <w:rPr>
          <w:rFonts w:asciiTheme="minorHAnsi" w:hAnsiTheme="minorHAnsi"/>
          <w:color w:val="943634" w:themeColor="accent2" w:themeShade="BF"/>
          <w:szCs w:val="22"/>
        </w:rPr>
        <w:t>3</w:t>
      </w:r>
      <w:r w:rsidR="006D43E6" w:rsidRPr="0079578A">
        <w:rPr>
          <w:rFonts w:asciiTheme="minorHAnsi" w:hAnsiTheme="minorHAnsi"/>
          <w:color w:val="943634" w:themeColor="accent2" w:themeShade="BF"/>
          <w:szCs w:val="22"/>
        </w:rPr>
        <w:t>.  The key priorities for the WHSSC’s six programme areas are set out in the following work programmes: Mental Health; Cancer and Blood; Cardiothoracic; Neurosciences and Complex Conditions; Renal; and Women and Children.</w:t>
      </w:r>
    </w:p>
    <w:p w14:paraId="412D5075" w14:textId="77777777" w:rsidR="00CA53D6" w:rsidRPr="00CA53D6" w:rsidRDefault="00CA53D6" w:rsidP="00CA53D6">
      <w:pPr>
        <w:rPr>
          <w:rFonts w:asciiTheme="minorHAnsi" w:hAnsiTheme="minorHAnsi"/>
          <w:szCs w:val="22"/>
        </w:rPr>
      </w:pPr>
    </w:p>
    <w:p w14:paraId="02745E1E" w14:textId="77777777" w:rsidR="00CA53D6" w:rsidRPr="00CA53D6" w:rsidRDefault="00CA53D6" w:rsidP="00CA53D6">
      <w:pPr>
        <w:rPr>
          <w:rFonts w:asciiTheme="minorHAnsi" w:hAnsiTheme="minorHAnsi"/>
          <w:szCs w:val="22"/>
        </w:rPr>
      </w:pPr>
      <w:r w:rsidRPr="00CA53D6">
        <w:rPr>
          <w:rFonts w:asciiTheme="minorHAnsi" w:hAnsiTheme="minorHAnsi"/>
          <w:szCs w:val="22"/>
        </w:rPr>
        <w:t xml:space="preserve">2020/23 will present a major challenge to the Health Board with emerging new treatment such as ATMP’s (Advanced therapeutic medicinal products). ATMP’s such as cell and gene therapies, are set to transform current care pathways with revolutionary treatments that repair, replace, regenerate and re-engineer genes, cells and tissues to improve current, or even restore normal, function; potentially offering durable and curative outcomes where unmet medical need exists. The first of these treatments were commissioned in 2019/20 and are expected to rapidly be approved by NICE for use in NHS Wales over the next few years.  Whilst potentially life changing for the small groups of patients that wlll benefit from them, the resource implications are a major challenge. The Health Board is committed to fund the introduction of ATMPs as they are statutory due to </w:t>
      </w:r>
      <w:proofErr w:type="gramStart"/>
      <w:r w:rsidRPr="00CA53D6">
        <w:rPr>
          <w:rFonts w:asciiTheme="minorHAnsi" w:hAnsiTheme="minorHAnsi"/>
          <w:szCs w:val="22"/>
        </w:rPr>
        <w:t>being  NICE</w:t>
      </w:r>
      <w:proofErr w:type="gramEnd"/>
      <w:r w:rsidRPr="00CA53D6">
        <w:rPr>
          <w:rFonts w:asciiTheme="minorHAnsi" w:hAnsiTheme="minorHAnsi"/>
          <w:szCs w:val="22"/>
        </w:rPr>
        <w:t xml:space="preserve"> approved.</w:t>
      </w:r>
    </w:p>
    <w:p w14:paraId="454B4E8F" w14:textId="77777777" w:rsidR="00CA53D6" w:rsidRPr="00CA53D6" w:rsidRDefault="00CA53D6" w:rsidP="00CA53D6">
      <w:pPr>
        <w:rPr>
          <w:rFonts w:asciiTheme="minorHAnsi" w:hAnsiTheme="minorHAnsi"/>
          <w:szCs w:val="22"/>
        </w:rPr>
      </w:pPr>
    </w:p>
    <w:p w14:paraId="38366349" w14:textId="2A6414F0" w:rsidR="00CA53D6" w:rsidRPr="00CA53D6" w:rsidRDefault="00CA53D6" w:rsidP="00CA53D6">
      <w:pPr>
        <w:rPr>
          <w:rFonts w:asciiTheme="minorHAnsi" w:hAnsiTheme="minorHAnsi"/>
          <w:szCs w:val="22"/>
        </w:rPr>
      </w:pPr>
      <w:r w:rsidRPr="00CA53D6">
        <w:rPr>
          <w:rFonts w:asciiTheme="minorHAnsi" w:hAnsiTheme="minorHAnsi"/>
          <w:szCs w:val="22"/>
        </w:rPr>
        <w:t>The commissioning of the Major Trauma network by WHSSC is also a key priority for 2020/23 and has been prioritised for investment by the Health Board.</w:t>
      </w:r>
      <w:r>
        <w:rPr>
          <w:rFonts w:asciiTheme="minorHAnsi" w:hAnsiTheme="minorHAnsi"/>
          <w:szCs w:val="22"/>
        </w:rPr>
        <w:t xml:space="preserve"> </w:t>
      </w:r>
      <w:r w:rsidRPr="00CA53D6">
        <w:rPr>
          <w:rFonts w:asciiTheme="minorHAnsi" w:hAnsiTheme="minorHAnsi"/>
          <w:szCs w:val="22"/>
        </w:rPr>
        <w:t>Other key areas prioritised include:</w:t>
      </w:r>
    </w:p>
    <w:p w14:paraId="20B9A147" w14:textId="1BBCA16E" w:rsidR="00CA53D6" w:rsidRPr="00CA53D6" w:rsidRDefault="00CA53D6" w:rsidP="003B1653">
      <w:pPr>
        <w:pStyle w:val="ListParagraph"/>
        <w:numPr>
          <w:ilvl w:val="0"/>
          <w:numId w:val="93"/>
        </w:numPr>
        <w:ind w:left="357" w:hanging="357"/>
        <w:rPr>
          <w:rFonts w:asciiTheme="minorHAnsi" w:hAnsiTheme="minorHAnsi"/>
          <w:color w:val="943634" w:themeColor="accent2" w:themeShade="BF"/>
          <w:szCs w:val="22"/>
        </w:rPr>
      </w:pPr>
      <w:r w:rsidRPr="00CA53D6">
        <w:rPr>
          <w:rFonts w:asciiTheme="minorHAnsi" w:hAnsiTheme="minorHAnsi"/>
          <w:color w:val="943634" w:themeColor="accent2" w:themeShade="BF"/>
          <w:szCs w:val="22"/>
        </w:rPr>
        <w:t>This will be completed on</w:t>
      </w:r>
      <w:r>
        <w:rPr>
          <w:rFonts w:asciiTheme="minorHAnsi" w:hAnsiTheme="minorHAnsi"/>
          <w:color w:val="943634" w:themeColor="accent2" w:themeShade="BF"/>
          <w:szCs w:val="22"/>
        </w:rPr>
        <w:t>ce investments have been agreed</w:t>
      </w:r>
    </w:p>
    <w:p w14:paraId="49A1A400" w14:textId="77777777" w:rsidR="00CA53D6" w:rsidRPr="00CA53D6" w:rsidRDefault="00CA53D6" w:rsidP="00CA53D6">
      <w:pPr>
        <w:rPr>
          <w:rFonts w:asciiTheme="minorHAnsi" w:hAnsiTheme="minorHAnsi"/>
          <w:szCs w:val="22"/>
        </w:rPr>
      </w:pPr>
    </w:p>
    <w:p w14:paraId="34B05D53" w14:textId="17672AB2" w:rsidR="00840223" w:rsidRPr="00CA53D6" w:rsidRDefault="00CA53D6" w:rsidP="00CA53D6">
      <w:pPr>
        <w:rPr>
          <w:rFonts w:asciiTheme="minorHAnsi" w:hAnsiTheme="minorHAnsi"/>
          <w:szCs w:val="22"/>
        </w:rPr>
      </w:pPr>
      <w:r w:rsidRPr="00CA53D6">
        <w:rPr>
          <w:rFonts w:asciiTheme="minorHAnsi" w:hAnsiTheme="minorHAnsi"/>
          <w:szCs w:val="22"/>
        </w:rPr>
        <w:t>The Health Board will continue to work with WHSSC to deliver the priorities for the WHSSC agenda and to look at further opportunities to improve the management of pathways between secondary care and tertiary services.</w:t>
      </w:r>
    </w:p>
    <w:p w14:paraId="0D166CF7" w14:textId="6BDDB399" w:rsidR="006D43E6" w:rsidRPr="0079578A" w:rsidRDefault="00E334A5" w:rsidP="009B2A9B">
      <w:pPr>
        <w:pStyle w:val="Heading3"/>
        <w:rPr>
          <w:color w:val="943634" w:themeColor="accent2" w:themeShade="BF"/>
          <w:szCs w:val="22"/>
        </w:rPr>
      </w:pPr>
      <w:bookmarkStart w:id="150" w:name="_Toc471830035"/>
      <w:bookmarkStart w:id="151" w:name="_Toc473290360"/>
      <w:bookmarkStart w:id="152" w:name="_Toc532464012"/>
      <w:r w:rsidRPr="0079578A">
        <w:rPr>
          <w:rFonts w:asciiTheme="minorHAnsi" w:hAnsiTheme="minorHAnsi"/>
          <w:noProof/>
          <w:color w:val="943634" w:themeColor="accent2" w:themeShade="BF"/>
          <w:szCs w:val="22"/>
          <w:highlight w:val="yellow"/>
        </w:rPr>
        <w:drawing>
          <wp:anchor distT="0" distB="0" distL="114300" distR="114300" simplePos="0" relativeHeight="252760064" behindDoc="1" locked="0" layoutInCell="1" allowOverlap="1" wp14:anchorId="25C84407" wp14:editId="7F901CCD">
            <wp:simplePos x="0" y="0"/>
            <wp:positionH relativeFrom="margin">
              <wp:align>right</wp:align>
            </wp:positionH>
            <wp:positionV relativeFrom="margin">
              <wp:posOffset>6706870</wp:posOffset>
            </wp:positionV>
            <wp:extent cx="3251835" cy="2337435"/>
            <wp:effectExtent l="0" t="0" r="5715" b="5715"/>
            <wp:wrapTight wrapText="bothSides">
              <wp:wrapPolygon edited="0">
                <wp:start x="0" y="0"/>
                <wp:lineTo x="0" y="21477"/>
                <wp:lineTo x="21511" y="21477"/>
                <wp:lineTo x="21511" y="0"/>
                <wp:lineTo x="0" y="0"/>
              </wp:wrapPolygon>
            </wp:wrapTight>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251835" cy="2337435"/>
                    </a:xfrm>
                    <a:prstGeom prst="rect">
                      <a:avLst/>
                    </a:prstGeom>
                    <a:noFill/>
                  </pic:spPr>
                </pic:pic>
              </a:graphicData>
            </a:graphic>
            <wp14:sizeRelH relativeFrom="margin">
              <wp14:pctWidth>0</wp14:pctWidth>
            </wp14:sizeRelH>
            <wp14:sizeRelV relativeFrom="margin">
              <wp14:pctHeight>0</wp14:pctHeight>
            </wp14:sizeRelV>
          </wp:anchor>
        </w:drawing>
      </w:r>
      <w:r w:rsidR="006D43E6" w:rsidRPr="0079578A">
        <w:rPr>
          <w:color w:val="943634" w:themeColor="accent2" w:themeShade="BF"/>
          <w:szCs w:val="22"/>
        </w:rPr>
        <w:t xml:space="preserve">Emergency Ambulance Services </w:t>
      </w:r>
      <w:r w:rsidR="005717DF" w:rsidRPr="0079578A">
        <w:rPr>
          <w:color w:val="943634" w:themeColor="accent2" w:themeShade="BF"/>
          <w:szCs w:val="22"/>
        </w:rPr>
        <w:t>Committee</w:t>
      </w:r>
      <w:r w:rsidR="006D43E6" w:rsidRPr="0079578A">
        <w:rPr>
          <w:color w:val="943634" w:themeColor="accent2" w:themeShade="BF"/>
          <w:szCs w:val="22"/>
        </w:rPr>
        <w:t xml:space="preserve"> (EASC) and Welsh Ambulance Services Trust</w:t>
      </w:r>
      <w:bookmarkEnd w:id="150"/>
      <w:bookmarkEnd w:id="151"/>
      <w:r w:rsidR="006D43E6" w:rsidRPr="0079578A">
        <w:rPr>
          <w:color w:val="943634" w:themeColor="accent2" w:themeShade="BF"/>
          <w:szCs w:val="22"/>
        </w:rPr>
        <w:t xml:space="preserve"> (WAST)</w:t>
      </w:r>
      <w:bookmarkEnd w:id="152"/>
    </w:p>
    <w:p w14:paraId="4460061E" w14:textId="5579A748" w:rsidR="00FE46F1" w:rsidRPr="0079578A" w:rsidRDefault="00FF28E8" w:rsidP="00FE46F1">
      <w:pPr>
        <w:rPr>
          <w:rFonts w:cs="Calibri"/>
          <w:color w:val="943634" w:themeColor="accent2" w:themeShade="BF"/>
          <w:szCs w:val="22"/>
        </w:rPr>
      </w:pPr>
      <w:r w:rsidRPr="0079578A">
        <w:rPr>
          <w:rFonts w:cs="Calibri"/>
          <w:color w:val="943634" w:themeColor="accent2" w:themeShade="BF"/>
          <w:szCs w:val="22"/>
        </w:rPr>
        <w:t xml:space="preserve">Hosted by the Health Board, </w:t>
      </w:r>
      <w:r w:rsidR="005717DF" w:rsidRPr="0079578A">
        <w:rPr>
          <w:rFonts w:cs="Calibri"/>
          <w:color w:val="943634" w:themeColor="accent2" w:themeShade="BF"/>
          <w:szCs w:val="22"/>
        </w:rPr>
        <w:t>EASC i</w:t>
      </w:r>
      <w:r w:rsidR="00FE46F1" w:rsidRPr="0079578A">
        <w:rPr>
          <w:rFonts w:cs="Calibri"/>
          <w:color w:val="943634" w:themeColor="accent2" w:themeShade="BF"/>
          <w:szCs w:val="22"/>
        </w:rPr>
        <w:t xml:space="preserve">s a joint-committee </w:t>
      </w:r>
      <w:r w:rsidRPr="0079578A">
        <w:rPr>
          <w:rFonts w:cs="Calibri"/>
          <w:color w:val="943634" w:themeColor="accent2" w:themeShade="BF"/>
          <w:szCs w:val="22"/>
        </w:rPr>
        <w:t xml:space="preserve">made up of the seven Health Boards in Wales and is responsible for commissioning on our behalf </w:t>
      </w:r>
      <w:r w:rsidR="00FE46F1" w:rsidRPr="0079578A">
        <w:rPr>
          <w:rFonts w:cs="Calibri"/>
          <w:color w:val="943634" w:themeColor="accent2" w:themeShade="BF"/>
          <w:szCs w:val="22"/>
        </w:rPr>
        <w:t>the following services:</w:t>
      </w:r>
    </w:p>
    <w:p w14:paraId="32D794FA" w14:textId="743B2670" w:rsidR="00FE46F1" w:rsidRPr="0079578A" w:rsidRDefault="00FE46F1" w:rsidP="003B1653">
      <w:pPr>
        <w:pStyle w:val="ListParagraph"/>
        <w:numPr>
          <w:ilvl w:val="0"/>
          <w:numId w:val="18"/>
        </w:numPr>
        <w:jc w:val="left"/>
        <w:rPr>
          <w:rFonts w:cs="Calibri"/>
          <w:color w:val="943634" w:themeColor="accent2" w:themeShade="BF"/>
          <w:szCs w:val="22"/>
        </w:rPr>
      </w:pPr>
      <w:r w:rsidRPr="0079578A">
        <w:rPr>
          <w:rFonts w:cs="Calibri"/>
          <w:color w:val="943634" w:themeColor="accent2" w:themeShade="BF"/>
          <w:szCs w:val="22"/>
        </w:rPr>
        <w:t xml:space="preserve">Emergency </w:t>
      </w:r>
      <w:r w:rsidR="00FF28E8" w:rsidRPr="0079578A">
        <w:rPr>
          <w:rFonts w:cs="Calibri"/>
          <w:color w:val="943634" w:themeColor="accent2" w:themeShade="BF"/>
          <w:szCs w:val="22"/>
        </w:rPr>
        <w:t>Ambulance Services</w:t>
      </w:r>
      <w:r w:rsidR="00121F97" w:rsidRPr="0079578A">
        <w:rPr>
          <w:rFonts w:cs="Calibri"/>
          <w:color w:val="943634" w:themeColor="accent2" w:themeShade="BF"/>
          <w:szCs w:val="22"/>
        </w:rPr>
        <w:t>.</w:t>
      </w:r>
    </w:p>
    <w:p w14:paraId="179B1767" w14:textId="4DA9C33E" w:rsidR="00FE46F1" w:rsidRPr="0079578A" w:rsidRDefault="00FE46F1" w:rsidP="003B1653">
      <w:pPr>
        <w:pStyle w:val="ListParagraph"/>
        <w:numPr>
          <w:ilvl w:val="0"/>
          <w:numId w:val="18"/>
        </w:numPr>
        <w:jc w:val="left"/>
        <w:rPr>
          <w:rFonts w:cs="Calibri"/>
          <w:color w:val="943634" w:themeColor="accent2" w:themeShade="BF"/>
          <w:szCs w:val="22"/>
        </w:rPr>
      </w:pPr>
      <w:r w:rsidRPr="0079578A">
        <w:rPr>
          <w:rFonts w:cs="Calibri"/>
          <w:color w:val="943634" w:themeColor="accent2" w:themeShade="BF"/>
          <w:szCs w:val="22"/>
        </w:rPr>
        <w:t>Non-Emergency Pat</w:t>
      </w:r>
      <w:r w:rsidR="00121F97" w:rsidRPr="0079578A">
        <w:rPr>
          <w:rFonts w:cs="Calibri"/>
          <w:color w:val="943634" w:themeColor="accent2" w:themeShade="BF"/>
          <w:szCs w:val="22"/>
        </w:rPr>
        <w:t>ient Transport Services (NEPTS).</w:t>
      </w:r>
    </w:p>
    <w:p w14:paraId="5B361211" w14:textId="28483ABD" w:rsidR="00FE46F1" w:rsidRPr="0079578A" w:rsidRDefault="00FE46F1" w:rsidP="003B1653">
      <w:pPr>
        <w:pStyle w:val="ListParagraph"/>
        <w:numPr>
          <w:ilvl w:val="0"/>
          <w:numId w:val="18"/>
        </w:numPr>
        <w:jc w:val="left"/>
        <w:rPr>
          <w:rFonts w:cs="Calibri"/>
          <w:color w:val="943634" w:themeColor="accent2" w:themeShade="BF"/>
          <w:szCs w:val="22"/>
        </w:rPr>
      </w:pPr>
      <w:r w:rsidRPr="0079578A">
        <w:rPr>
          <w:rFonts w:cs="Calibri"/>
          <w:color w:val="943634" w:themeColor="accent2" w:themeShade="BF"/>
          <w:szCs w:val="22"/>
        </w:rPr>
        <w:t xml:space="preserve">Emergency Medical Retrieval and </w:t>
      </w:r>
      <w:r w:rsidR="00FF28E8" w:rsidRPr="0079578A">
        <w:rPr>
          <w:rFonts w:cs="Calibri"/>
          <w:color w:val="943634" w:themeColor="accent2" w:themeShade="BF"/>
          <w:szCs w:val="22"/>
        </w:rPr>
        <w:t>Transfer</w:t>
      </w:r>
      <w:r w:rsidRPr="0079578A">
        <w:rPr>
          <w:rFonts w:cs="Calibri"/>
          <w:color w:val="943634" w:themeColor="accent2" w:themeShade="BF"/>
          <w:szCs w:val="22"/>
        </w:rPr>
        <w:t xml:space="preserve"> </w:t>
      </w:r>
      <w:r w:rsidR="00803379" w:rsidRPr="0079578A">
        <w:rPr>
          <w:rFonts w:cs="Calibri"/>
          <w:color w:val="943634" w:themeColor="accent2" w:themeShade="BF"/>
          <w:szCs w:val="22"/>
        </w:rPr>
        <w:t>Services (</w:t>
      </w:r>
      <w:r w:rsidRPr="0079578A">
        <w:rPr>
          <w:rFonts w:cs="Calibri"/>
          <w:color w:val="943634" w:themeColor="accent2" w:themeShade="BF"/>
          <w:szCs w:val="22"/>
        </w:rPr>
        <w:t>EMRTS)</w:t>
      </w:r>
      <w:r w:rsidR="00121F97" w:rsidRPr="0079578A">
        <w:rPr>
          <w:rFonts w:cs="Calibri"/>
          <w:color w:val="943634" w:themeColor="accent2" w:themeShade="BF"/>
          <w:szCs w:val="22"/>
        </w:rPr>
        <w:t>.</w:t>
      </w:r>
    </w:p>
    <w:p w14:paraId="53B4E60B" w14:textId="5718C30A" w:rsidR="00FE46F1" w:rsidRPr="0079578A" w:rsidRDefault="00FE46F1" w:rsidP="006D43E6">
      <w:pPr>
        <w:rPr>
          <w:rFonts w:asciiTheme="minorHAnsi" w:hAnsiTheme="minorHAnsi"/>
          <w:color w:val="943634" w:themeColor="accent2" w:themeShade="BF"/>
          <w:szCs w:val="22"/>
          <w:lang w:eastAsia="en-US"/>
        </w:rPr>
      </w:pPr>
    </w:p>
    <w:p w14:paraId="431F3C5B" w14:textId="768EED7A" w:rsidR="006D43E6" w:rsidRPr="0079578A" w:rsidRDefault="00FE46F1" w:rsidP="006D43E6">
      <w:pPr>
        <w:rPr>
          <w:rFonts w:asciiTheme="minorHAnsi" w:hAnsiTheme="minorHAnsi"/>
          <w:color w:val="943634" w:themeColor="accent2" w:themeShade="BF"/>
          <w:szCs w:val="22"/>
          <w:lang w:eastAsia="en-US"/>
        </w:rPr>
      </w:pPr>
      <w:r w:rsidRPr="0079578A">
        <w:rPr>
          <w:rFonts w:cs="Calibri"/>
          <w:color w:val="943634" w:themeColor="accent2" w:themeShade="BF"/>
          <w:szCs w:val="22"/>
        </w:rPr>
        <w:lastRenderedPageBreak/>
        <w:t xml:space="preserve">The </w:t>
      </w:r>
      <w:r w:rsidRPr="0079578A">
        <w:rPr>
          <w:rFonts w:cs="Calibri"/>
          <w:bCs/>
          <w:color w:val="943634" w:themeColor="accent2" w:themeShade="BF"/>
          <w:szCs w:val="22"/>
        </w:rPr>
        <w:t>National Collaborative Commissioning Unit</w:t>
      </w:r>
      <w:r w:rsidRPr="0079578A">
        <w:rPr>
          <w:rFonts w:cs="Calibri"/>
          <w:color w:val="943634" w:themeColor="accent2" w:themeShade="BF"/>
          <w:szCs w:val="22"/>
        </w:rPr>
        <w:t xml:space="preserve"> on behalf of EASC develops Commissioning Intentions for EMS and NEPTS</w:t>
      </w:r>
      <w:r w:rsidRPr="0079578A">
        <w:rPr>
          <w:rFonts w:asciiTheme="minorHAnsi" w:hAnsiTheme="minorHAnsi"/>
          <w:color w:val="943634" w:themeColor="accent2" w:themeShade="BF"/>
          <w:szCs w:val="22"/>
          <w:lang w:eastAsia="en-US"/>
        </w:rPr>
        <w:t xml:space="preserve">.  The 2019/20 </w:t>
      </w:r>
      <w:r w:rsidR="006D43E6" w:rsidRPr="0079578A">
        <w:rPr>
          <w:rFonts w:asciiTheme="minorHAnsi" w:hAnsiTheme="minorHAnsi"/>
          <w:color w:val="943634" w:themeColor="accent2" w:themeShade="BF"/>
          <w:szCs w:val="22"/>
          <w:lang w:eastAsia="en-US"/>
        </w:rPr>
        <w:t>Com</w:t>
      </w:r>
      <w:r w:rsidR="006D43E6" w:rsidRPr="0079578A">
        <w:rPr>
          <w:rFonts w:asciiTheme="minorHAnsi" w:hAnsiTheme="minorHAnsi"/>
          <w:color w:val="943634" w:themeColor="accent2" w:themeShade="BF"/>
          <w:szCs w:val="22"/>
        </w:rPr>
        <w:t>missionin</w:t>
      </w:r>
      <w:r w:rsidR="00850CCB" w:rsidRPr="0079578A">
        <w:rPr>
          <w:rFonts w:asciiTheme="minorHAnsi" w:hAnsiTheme="minorHAnsi"/>
          <w:color w:val="943634" w:themeColor="accent2" w:themeShade="BF"/>
          <w:szCs w:val="22"/>
          <w:lang w:eastAsia="en-US"/>
        </w:rPr>
        <w:t xml:space="preserve">g </w:t>
      </w:r>
      <w:r w:rsidR="006A5EAB" w:rsidRPr="0079578A">
        <w:rPr>
          <w:rFonts w:asciiTheme="minorHAnsi" w:hAnsiTheme="minorHAnsi"/>
          <w:color w:val="943634" w:themeColor="accent2" w:themeShade="BF"/>
          <w:szCs w:val="22"/>
          <w:lang w:eastAsia="en-US"/>
        </w:rPr>
        <w:t xml:space="preserve">intentions </w:t>
      </w:r>
      <w:r w:rsidR="00850CCB" w:rsidRPr="0079578A">
        <w:rPr>
          <w:rFonts w:asciiTheme="minorHAnsi" w:hAnsiTheme="minorHAnsi"/>
          <w:color w:val="943634" w:themeColor="accent2" w:themeShade="BF"/>
          <w:szCs w:val="22"/>
          <w:lang w:eastAsia="en-US"/>
        </w:rPr>
        <w:t xml:space="preserve">can be found in </w:t>
      </w:r>
      <w:r w:rsidR="00850CCB" w:rsidRPr="0079578A">
        <w:rPr>
          <w:rFonts w:asciiTheme="minorHAnsi" w:hAnsiTheme="minorHAnsi"/>
          <w:b/>
          <w:color w:val="943634" w:themeColor="accent2" w:themeShade="BF"/>
          <w:szCs w:val="22"/>
          <w:lang w:eastAsia="en-US"/>
        </w:rPr>
        <w:t>Annex</w:t>
      </w:r>
      <w:r w:rsidR="006A5EAB" w:rsidRPr="0079578A">
        <w:rPr>
          <w:rFonts w:asciiTheme="minorHAnsi" w:hAnsiTheme="minorHAnsi"/>
          <w:b/>
          <w:color w:val="943634" w:themeColor="accent2" w:themeShade="BF"/>
          <w:szCs w:val="22"/>
          <w:lang w:eastAsia="en-US"/>
        </w:rPr>
        <w:t>es</w:t>
      </w:r>
      <w:r w:rsidR="00850CCB" w:rsidRPr="0079578A">
        <w:rPr>
          <w:rFonts w:asciiTheme="minorHAnsi" w:hAnsiTheme="minorHAnsi"/>
          <w:b/>
          <w:color w:val="943634" w:themeColor="accent2" w:themeShade="BF"/>
          <w:szCs w:val="22"/>
          <w:lang w:eastAsia="en-US"/>
        </w:rPr>
        <w:t xml:space="preserve"> B</w:t>
      </w:r>
      <w:r w:rsidR="001E4399" w:rsidRPr="0079578A">
        <w:rPr>
          <w:rFonts w:asciiTheme="minorHAnsi" w:hAnsiTheme="minorHAnsi"/>
          <w:b/>
          <w:color w:val="943634" w:themeColor="accent2" w:themeShade="BF"/>
          <w:szCs w:val="22"/>
          <w:lang w:eastAsia="en-US"/>
        </w:rPr>
        <w:t>7 and B8</w:t>
      </w:r>
      <w:r w:rsidR="00850CCB" w:rsidRPr="0079578A">
        <w:rPr>
          <w:rFonts w:asciiTheme="minorHAnsi" w:hAnsiTheme="minorHAnsi"/>
          <w:b/>
          <w:color w:val="943634" w:themeColor="accent2" w:themeShade="BF"/>
          <w:szCs w:val="22"/>
          <w:lang w:eastAsia="en-US"/>
        </w:rPr>
        <w:t xml:space="preserve"> </w:t>
      </w:r>
      <w:r w:rsidR="00850CCB" w:rsidRPr="0079578A">
        <w:rPr>
          <w:rFonts w:asciiTheme="minorHAnsi" w:hAnsiTheme="minorHAnsi"/>
          <w:color w:val="943634" w:themeColor="accent2" w:themeShade="BF"/>
          <w:szCs w:val="22"/>
          <w:lang w:eastAsia="en-US"/>
        </w:rPr>
        <w:t>and build upon previous years.</w:t>
      </w:r>
      <w:r w:rsidR="00762C81" w:rsidRPr="0079578A">
        <w:rPr>
          <w:rFonts w:asciiTheme="minorHAnsi" w:hAnsiTheme="minorHAnsi"/>
          <w:color w:val="943634" w:themeColor="accent2" w:themeShade="BF"/>
          <w:szCs w:val="22"/>
          <w:lang w:eastAsia="en-US"/>
        </w:rPr>
        <w:t xml:space="preserve">  </w:t>
      </w:r>
      <w:r w:rsidR="006D43E6" w:rsidRPr="0079578A">
        <w:rPr>
          <w:rFonts w:asciiTheme="minorHAnsi" w:hAnsiTheme="minorHAnsi"/>
          <w:color w:val="943634" w:themeColor="accent2" w:themeShade="BF"/>
          <w:szCs w:val="22"/>
        </w:rPr>
        <w:t xml:space="preserve">In order to align commissioning intentions with the Plan, the following process </w:t>
      </w:r>
      <w:r w:rsidR="004B20C1" w:rsidRPr="0079578A">
        <w:rPr>
          <w:rFonts w:asciiTheme="minorHAnsi" w:hAnsiTheme="minorHAnsi"/>
          <w:color w:val="943634" w:themeColor="accent2" w:themeShade="BF"/>
          <w:szCs w:val="22"/>
        </w:rPr>
        <w:t xml:space="preserve">illustrated on the right is </w:t>
      </w:r>
      <w:r w:rsidR="006D43E6" w:rsidRPr="0079578A">
        <w:rPr>
          <w:rFonts w:asciiTheme="minorHAnsi" w:hAnsiTheme="minorHAnsi"/>
          <w:color w:val="943634" w:themeColor="accent2" w:themeShade="BF"/>
          <w:szCs w:val="22"/>
        </w:rPr>
        <w:t>followed.</w:t>
      </w:r>
    </w:p>
    <w:p w14:paraId="654AD584" w14:textId="7F071E03" w:rsidR="007D5BE2" w:rsidRPr="0079578A" w:rsidRDefault="007D5BE2" w:rsidP="00FE46F1">
      <w:pPr>
        <w:rPr>
          <w:rFonts w:asciiTheme="minorHAnsi" w:hAnsiTheme="minorHAnsi"/>
          <w:b/>
          <w:color w:val="943634" w:themeColor="accent2" w:themeShade="BF"/>
          <w:szCs w:val="22"/>
        </w:rPr>
      </w:pPr>
    </w:p>
    <w:p w14:paraId="15C71F43" w14:textId="35FDD97B" w:rsidR="00FE46F1" w:rsidRPr="0079578A" w:rsidRDefault="00FF28E8" w:rsidP="00FE46F1">
      <w:pPr>
        <w:rPr>
          <w:rFonts w:asciiTheme="minorHAnsi" w:hAnsiTheme="minorHAnsi"/>
          <w:color w:val="943634" w:themeColor="accent2" w:themeShade="BF"/>
          <w:szCs w:val="22"/>
        </w:rPr>
      </w:pPr>
      <w:r w:rsidRPr="0079578A">
        <w:rPr>
          <w:rFonts w:cs="Calibri"/>
          <w:color w:val="943634" w:themeColor="accent2" w:themeShade="BF"/>
          <w:szCs w:val="22"/>
        </w:rPr>
        <w:t>The WAST is commissioned to deliver ambulance services</w:t>
      </w:r>
      <w:r w:rsidR="005043C3" w:rsidRPr="0079578A">
        <w:rPr>
          <w:rFonts w:cs="Calibri"/>
          <w:color w:val="943634" w:themeColor="accent2" w:themeShade="BF"/>
          <w:szCs w:val="22"/>
        </w:rPr>
        <w:t xml:space="preserve"> and</w:t>
      </w:r>
      <w:r w:rsidRPr="0079578A">
        <w:rPr>
          <w:rFonts w:cs="Calibri"/>
          <w:color w:val="943634" w:themeColor="accent2" w:themeShade="BF"/>
          <w:szCs w:val="22"/>
        </w:rPr>
        <w:t xml:space="preserve"> </w:t>
      </w:r>
      <w:r w:rsidR="005717DF" w:rsidRPr="0079578A">
        <w:rPr>
          <w:rFonts w:cs="Calibri"/>
          <w:color w:val="943634" w:themeColor="accent2" w:themeShade="BF"/>
          <w:szCs w:val="22"/>
        </w:rPr>
        <w:t>the relevant joint Health Board and WAST priority schemes for 2019/20</w:t>
      </w:r>
      <w:r w:rsidRPr="0079578A">
        <w:rPr>
          <w:rFonts w:asciiTheme="minorHAnsi" w:hAnsiTheme="minorHAnsi"/>
          <w:color w:val="943634" w:themeColor="accent2" w:themeShade="BF"/>
          <w:szCs w:val="22"/>
          <w:lang w:eastAsia="en-US"/>
        </w:rPr>
        <w:t xml:space="preserve"> can be found in </w:t>
      </w:r>
      <w:r w:rsidR="001E4399" w:rsidRPr="0079578A">
        <w:rPr>
          <w:rFonts w:asciiTheme="minorHAnsi" w:hAnsiTheme="minorHAnsi"/>
          <w:b/>
          <w:color w:val="943634" w:themeColor="accent2" w:themeShade="BF"/>
          <w:szCs w:val="22"/>
        </w:rPr>
        <w:t>Annex B9</w:t>
      </w:r>
      <w:r w:rsidR="00FE46F1" w:rsidRPr="0079578A">
        <w:rPr>
          <w:rFonts w:asciiTheme="minorHAnsi" w:hAnsiTheme="minorHAnsi"/>
          <w:color w:val="943634" w:themeColor="accent2" w:themeShade="BF"/>
          <w:szCs w:val="22"/>
        </w:rPr>
        <w:t>.</w:t>
      </w:r>
    </w:p>
    <w:p w14:paraId="0DDC8050" w14:textId="1A2DAADD" w:rsidR="00FD79F9" w:rsidRPr="0079578A" w:rsidRDefault="00FC7D1E" w:rsidP="006D43E6">
      <w:pPr>
        <w:rPr>
          <w:rFonts w:asciiTheme="minorHAnsi" w:hAnsiTheme="minorHAnsi"/>
          <w:color w:val="943634" w:themeColor="accent2" w:themeShade="BF"/>
          <w:szCs w:val="22"/>
        </w:rPr>
      </w:pPr>
      <w:r w:rsidRPr="00A51ADB">
        <w:rPr>
          <w:rFonts w:cs="Metronic Slab Pro Bold"/>
          <w:bCs/>
          <w:noProof/>
          <w:sz w:val="24"/>
        </w:rPr>
        <w:drawing>
          <wp:anchor distT="0" distB="0" distL="114300" distR="114300" simplePos="0" relativeHeight="252802048" behindDoc="1" locked="0" layoutInCell="1" allowOverlap="1" wp14:anchorId="54FCC503" wp14:editId="1A489E1D">
            <wp:simplePos x="0" y="0"/>
            <wp:positionH relativeFrom="margin">
              <wp:posOffset>4835309</wp:posOffset>
            </wp:positionH>
            <wp:positionV relativeFrom="topMargin">
              <wp:posOffset>3919063</wp:posOffset>
            </wp:positionV>
            <wp:extent cx="647700" cy="691515"/>
            <wp:effectExtent l="152400" t="133350" r="57150" b="127635"/>
            <wp:wrapTight wrapText="bothSides">
              <wp:wrapPolygon edited="0">
                <wp:start x="-1494" y="949"/>
                <wp:lineTo x="-7781" y="5964"/>
                <wp:lineTo x="-1191" y="13213"/>
                <wp:lineTo x="-5061" y="16299"/>
                <wp:lineTo x="294" y="22189"/>
                <wp:lineTo x="19656" y="22377"/>
                <wp:lineTo x="22074" y="20448"/>
                <wp:lineTo x="22630" y="19223"/>
                <wp:lineTo x="22328" y="6959"/>
                <wp:lineTo x="16633" y="-222"/>
                <wp:lineTo x="16221" y="-675"/>
                <wp:lineTo x="925" y="-980"/>
                <wp:lineTo x="-1494" y="949"/>
              </wp:wrapPolygon>
            </wp:wrapTight>
            <wp:docPr id="13" name="Picture 4"/>
            <wp:cNvGraphicFramePr/>
            <a:graphic xmlns:a="http://schemas.openxmlformats.org/drawingml/2006/main">
              <a:graphicData uri="http://schemas.openxmlformats.org/drawingml/2006/picture">
                <pic:pic xmlns:pic="http://schemas.openxmlformats.org/drawingml/2006/picture">
                  <pic:nvPicPr>
                    <pic:cNvPr id="5" name="Picture 4"/>
                    <pic:cNvPicPr/>
                  </pic:nvPicPr>
                  <pic:blipFill>
                    <a:blip r:embed="rId70" cstate="print">
                      <a:extLst>
                        <a:ext uri="{28A0092B-C50C-407E-A947-70E740481C1C}">
                          <a14:useLocalDpi xmlns:a14="http://schemas.microsoft.com/office/drawing/2010/main" val="0"/>
                        </a:ext>
                      </a:extLst>
                    </a:blip>
                    <a:stretch>
                      <a:fillRect/>
                    </a:stretch>
                  </pic:blipFill>
                  <pic:spPr>
                    <a:xfrm rot="2424949">
                      <a:off x="0" y="0"/>
                      <a:ext cx="647700" cy="691515"/>
                    </a:xfrm>
                    <a:prstGeom prst="rect">
                      <a:avLst/>
                    </a:prstGeom>
                  </pic:spPr>
                </pic:pic>
              </a:graphicData>
            </a:graphic>
            <wp14:sizeRelH relativeFrom="margin">
              <wp14:pctWidth>0</wp14:pctWidth>
            </wp14:sizeRelH>
            <wp14:sizeRelV relativeFrom="margin">
              <wp14:pctHeight>0</wp14:pctHeight>
            </wp14:sizeRelV>
          </wp:anchor>
        </w:drawing>
      </w:r>
    </w:p>
    <w:p w14:paraId="15816D17" w14:textId="36F2C2F3" w:rsidR="00FD79F9" w:rsidRPr="0079578A" w:rsidRDefault="00FD79F9" w:rsidP="006D43E6">
      <w:pPr>
        <w:rPr>
          <w:rFonts w:asciiTheme="minorHAnsi" w:hAnsiTheme="minorHAnsi"/>
          <w:color w:val="943634" w:themeColor="accent2" w:themeShade="BF"/>
          <w:szCs w:val="22"/>
        </w:rPr>
      </w:pPr>
      <w:r w:rsidRPr="0079578A">
        <w:rPr>
          <w:rFonts w:asciiTheme="minorHAnsi" w:hAnsiTheme="minorHAnsi"/>
          <w:color w:val="943634" w:themeColor="accent2" w:themeShade="BF"/>
          <w:szCs w:val="22"/>
        </w:rPr>
        <w:t>In addition</w:t>
      </w:r>
      <w:r w:rsidR="00FA719A" w:rsidRPr="0079578A">
        <w:rPr>
          <w:rFonts w:asciiTheme="minorHAnsi" w:hAnsiTheme="minorHAnsi"/>
          <w:color w:val="943634" w:themeColor="accent2" w:themeShade="BF"/>
          <w:szCs w:val="22"/>
        </w:rPr>
        <w:t>,</w:t>
      </w:r>
      <w:r w:rsidRPr="0079578A">
        <w:rPr>
          <w:rFonts w:asciiTheme="minorHAnsi" w:hAnsiTheme="minorHAnsi"/>
          <w:color w:val="943634" w:themeColor="accent2" w:themeShade="BF"/>
          <w:szCs w:val="22"/>
        </w:rPr>
        <w:t xml:space="preserve"> </w:t>
      </w:r>
      <w:r w:rsidR="00FA719A" w:rsidRPr="0079578A">
        <w:rPr>
          <w:rFonts w:asciiTheme="minorHAnsi" w:hAnsiTheme="minorHAnsi"/>
          <w:color w:val="943634" w:themeColor="accent2" w:themeShade="BF"/>
          <w:szCs w:val="22"/>
        </w:rPr>
        <w:t>the Health Board</w:t>
      </w:r>
      <w:r w:rsidR="006D43E6" w:rsidRPr="0079578A">
        <w:rPr>
          <w:rFonts w:asciiTheme="minorHAnsi" w:hAnsiTheme="minorHAnsi"/>
          <w:color w:val="943634" w:themeColor="accent2" w:themeShade="BF"/>
          <w:szCs w:val="22"/>
        </w:rPr>
        <w:t xml:space="preserve"> is playing a very active part in ensuring that the commissioning arrangements are robust and fit for purpose in commissioning clinical transport services for the future.  </w:t>
      </w:r>
      <w:r w:rsidR="006D43E6" w:rsidRPr="0079578A">
        <w:rPr>
          <w:rFonts w:asciiTheme="minorHAnsi" w:hAnsiTheme="minorHAnsi"/>
          <w:b/>
          <w:color w:val="943634" w:themeColor="accent2" w:themeShade="BF"/>
          <w:szCs w:val="22"/>
        </w:rPr>
        <w:t>Book A3</w:t>
      </w:r>
      <w:r w:rsidRPr="0079578A">
        <w:rPr>
          <w:rFonts w:asciiTheme="minorHAnsi" w:hAnsiTheme="minorHAnsi"/>
          <w:color w:val="943634" w:themeColor="accent2" w:themeShade="BF"/>
          <w:szCs w:val="22"/>
        </w:rPr>
        <w:t xml:space="preserve">, </w:t>
      </w:r>
      <w:r w:rsidR="006D43E6" w:rsidRPr="0079578A">
        <w:rPr>
          <w:rFonts w:asciiTheme="minorHAnsi" w:hAnsiTheme="minorHAnsi"/>
          <w:b/>
          <w:color w:val="943634" w:themeColor="accent2" w:themeShade="BF"/>
          <w:szCs w:val="22"/>
        </w:rPr>
        <w:t>Section 7.4</w:t>
      </w:r>
      <w:r w:rsidR="006D43E6" w:rsidRPr="0079578A">
        <w:rPr>
          <w:rFonts w:asciiTheme="minorHAnsi" w:hAnsiTheme="minorHAnsi"/>
          <w:color w:val="943634" w:themeColor="accent2" w:themeShade="BF"/>
          <w:szCs w:val="22"/>
        </w:rPr>
        <w:t xml:space="preserve"> provides an outline of our service requirements for clinical transportation service</w:t>
      </w:r>
      <w:r w:rsidRPr="0079578A">
        <w:rPr>
          <w:rFonts w:asciiTheme="minorHAnsi" w:hAnsiTheme="minorHAnsi"/>
          <w:color w:val="943634" w:themeColor="accent2" w:themeShade="BF"/>
          <w:szCs w:val="22"/>
        </w:rPr>
        <w:t>s over the forthcoming period.</w:t>
      </w:r>
    </w:p>
    <w:p w14:paraId="0F4E84FF" w14:textId="22D443CA" w:rsidR="00FD79F9" w:rsidRPr="005B44BD" w:rsidRDefault="00FD79F9" w:rsidP="00FD79F9">
      <w:pPr>
        <w:pStyle w:val="Heading3"/>
        <w:rPr>
          <w:szCs w:val="22"/>
        </w:rPr>
      </w:pPr>
      <w:r w:rsidRPr="005B44BD">
        <w:rPr>
          <w:szCs w:val="22"/>
        </w:rPr>
        <w:t>NHS Wales Shared Services Partnership</w:t>
      </w:r>
    </w:p>
    <w:p w14:paraId="578AEF17" w14:textId="76BD8DD2" w:rsidR="00762C81" w:rsidRPr="0079578A" w:rsidRDefault="00FD79F9" w:rsidP="00762C81">
      <w:pPr>
        <w:rPr>
          <w:rFonts w:asciiTheme="minorHAnsi" w:hAnsiTheme="minorHAnsi"/>
          <w:color w:val="943634" w:themeColor="accent2" w:themeShade="BF"/>
          <w:szCs w:val="22"/>
        </w:rPr>
      </w:pPr>
      <w:r w:rsidRPr="0079578A">
        <w:rPr>
          <w:color w:val="943634" w:themeColor="accent2" w:themeShade="BF"/>
          <w:szCs w:val="22"/>
        </w:rPr>
        <w:t>Shared Services provide an invaluable role in supporting our work with 95% of NHS Wales expenditure processed through shared services systems and processes</w:t>
      </w:r>
      <w:r w:rsidR="00803379" w:rsidRPr="0079578A">
        <w:rPr>
          <w:color w:val="943634" w:themeColor="accent2" w:themeShade="BF"/>
          <w:szCs w:val="22"/>
        </w:rPr>
        <w:t xml:space="preserve">.  </w:t>
      </w:r>
      <w:r w:rsidRPr="0079578A">
        <w:rPr>
          <w:color w:val="943634" w:themeColor="accent2" w:themeShade="BF"/>
          <w:szCs w:val="22"/>
        </w:rPr>
        <w:t xml:space="preserve">Shared Services support is helping the organisation to maximise every pound spent though supporting work </w:t>
      </w:r>
      <w:r w:rsidRPr="0079578A">
        <w:rPr>
          <w:rFonts w:asciiTheme="minorHAnsi" w:hAnsiTheme="minorHAnsi"/>
          <w:color w:val="943634" w:themeColor="accent2" w:themeShade="BF"/>
          <w:szCs w:val="22"/>
        </w:rPr>
        <w:t>on value based procurement and ensuring effective contracting models are in place with our contracted services in primary care.</w:t>
      </w:r>
      <w:r w:rsidR="00762C81" w:rsidRPr="0079578A">
        <w:rPr>
          <w:rFonts w:asciiTheme="minorHAnsi" w:hAnsiTheme="minorHAnsi"/>
          <w:color w:val="943634" w:themeColor="accent2" w:themeShade="BF"/>
          <w:szCs w:val="22"/>
        </w:rPr>
        <w:t xml:space="preserve">  </w:t>
      </w:r>
      <w:r w:rsidR="00762C81" w:rsidRPr="0079578A">
        <w:rPr>
          <w:rFonts w:asciiTheme="minorHAnsi" w:hAnsiTheme="minorHAnsi" w:cs="Calibri"/>
          <w:color w:val="943634" w:themeColor="accent2" w:themeShade="BF"/>
          <w:szCs w:val="22"/>
        </w:rPr>
        <w:t>As set out in the Plan, recruitment and retention of staff is a key enabler for our plans</w:t>
      </w:r>
      <w:r w:rsidR="00803379" w:rsidRPr="0079578A">
        <w:rPr>
          <w:rFonts w:asciiTheme="minorHAnsi" w:hAnsiTheme="minorHAnsi" w:cs="Calibri"/>
          <w:color w:val="943634" w:themeColor="accent2" w:themeShade="BF"/>
          <w:szCs w:val="22"/>
        </w:rPr>
        <w:t xml:space="preserve">.  </w:t>
      </w:r>
      <w:r w:rsidR="00762C81" w:rsidRPr="0079578A">
        <w:rPr>
          <w:rFonts w:asciiTheme="minorHAnsi" w:hAnsiTheme="minorHAnsi" w:cs="Calibri"/>
          <w:color w:val="943634" w:themeColor="accent2" w:themeShade="BF"/>
          <w:szCs w:val="22"/>
        </w:rPr>
        <w:t xml:space="preserve">Maximising Hire to Retire and the agility of our Electronic Staff Record is crucial to be able to respond as staffing pressures emerge. </w:t>
      </w:r>
    </w:p>
    <w:p w14:paraId="6FE31EAC" w14:textId="77777777" w:rsidR="00762C81" w:rsidRPr="0079578A" w:rsidRDefault="00762C81" w:rsidP="00762C81">
      <w:pPr>
        <w:autoSpaceDE w:val="0"/>
        <w:autoSpaceDN w:val="0"/>
        <w:adjustRightInd w:val="0"/>
        <w:jc w:val="left"/>
        <w:rPr>
          <w:rFonts w:asciiTheme="minorHAnsi" w:hAnsiTheme="minorHAnsi" w:cs="Calibri"/>
          <w:color w:val="943634" w:themeColor="accent2" w:themeShade="BF"/>
          <w:szCs w:val="22"/>
        </w:rPr>
      </w:pPr>
    </w:p>
    <w:p w14:paraId="080324E5" w14:textId="25FF929C" w:rsidR="00762C81" w:rsidRPr="0079578A" w:rsidRDefault="00762C81" w:rsidP="00762C81">
      <w:pPr>
        <w:autoSpaceDE w:val="0"/>
        <w:autoSpaceDN w:val="0"/>
        <w:adjustRightInd w:val="0"/>
        <w:jc w:val="left"/>
        <w:rPr>
          <w:rFonts w:asciiTheme="minorHAnsi" w:hAnsiTheme="minorHAnsi" w:cs="Calibri"/>
          <w:color w:val="943634" w:themeColor="accent2" w:themeShade="BF"/>
          <w:szCs w:val="22"/>
        </w:rPr>
      </w:pPr>
      <w:r w:rsidRPr="0079578A">
        <w:rPr>
          <w:rFonts w:asciiTheme="minorHAnsi" w:hAnsiTheme="minorHAnsi" w:cs="Calibri"/>
          <w:color w:val="943634" w:themeColor="accent2" w:themeShade="BF"/>
          <w:szCs w:val="22"/>
        </w:rPr>
        <w:t>Shared Services plays an important role in unsung areas which support service sustainability and transformation</w:t>
      </w:r>
      <w:r w:rsidR="00803379" w:rsidRPr="0079578A">
        <w:rPr>
          <w:rFonts w:asciiTheme="minorHAnsi" w:hAnsiTheme="minorHAnsi" w:cs="Calibri"/>
          <w:color w:val="943634" w:themeColor="accent2" w:themeShade="BF"/>
          <w:szCs w:val="22"/>
        </w:rPr>
        <w:t xml:space="preserve">.  </w:t>
      </w:r>
      <w:r w:rsidRPr="0079578A">
        <w:rPr>
          <w:rFonts w:asciiTheme="minorHAnsi" w:hAnsiTheme="minorHAnsi" w:cs="Calibri"/>
          <w:color w:val="943634" w:themeColor="accent2" w:themeShade="BF"/>
          <w:szCs w:val="22"/>
        </w:rPr>
        <w:t xml:space="preserve">We will continue to work with the service in areas such as: </w:t>
      </w:r>
    </w:p>
    <w:p w14:paraId="7BAB0901" w14:textId="5D7C88BB" w:rsidR="00762C81" w:rsidRPr="0079578A" w:rsidRDefault="00762C81" w:rsidP="003B1653">
      <w:pPr>
        <w:pStyle w:val="ListParagraph"/>
        <w:numPr>
          <w:ilvl w:val="0"/>
          <w:numId w:val="10"/>
        </w:numPr>
        <w:autoSpaceDE w:val="0"/>
        <w:autoSpaceDN w:val="0"/>
        <w:adjustRightInd w:val="0"/>
        <w:spacing w:after="18"/>
        <w:ind w:left="357" w:hanging="357"/>
        <w:jc w:val="left"/>
        <w:rPr>
          <w:rFonts w:asciiTheme="minorHAnsi" w:hAnsiTheme="minorHAnsi" w:cs="Calibri"/>
          <w:color w:val="943634" w:themeColor="accent2" w:themeShade="BF"/>
          <w:szCs w:val="22"/>
        </w:rPr>
      </w:pPr>
      <w:r w:rsidRPr="0079578A">
        <w:rPr>
          <w:rFonts w:asciiTheme="minorHAnsi" w:hAnsiTheme="minorHAnsi" w:cs="Calibri"/>
          <w:color w:val="943634" w:themeColor="accent2" w:themeShade="BF"/>
          <w:szCs w:val="22"/>
        </w:rPr>
        <w:t xml:space="preserve">Scan and Store Service are creating capacity in GP surgeries to meet population growth. </w:t>
      </w:r>
    </w:p>
    <w:p w14:paraId="6B8564D2" w14:textId="0D981CCC" w:rsidR="00762C81" w:rsidRPr="0079578A" w:rsidRDefault="00762C81" w:rsidP="003B1653">
      <w:pPr>
        <w:pStyle w:val="ListParagraph"/>
        <w:numPr>
          <w:ilvl w:val="0"/>
          <w:numId w:val="10"/>
        </w:numPr>
        <w:autoSpaceDE w:val="0"/>
        <w:autoSpaceDN w:val="0"/>
        <w:adjustRightInd w:val="0"/>
        <w:spacing w:after="18"/>
        <w:ind w:left="357" w:hanging="357"/>
        <w:jc w:val="left"/>
        <w:rPr>
          <w:rFonts w:asciiTheme="minorHAnsi" w:hAnsiTheme="minorHAnsi" w:cs="Calibri"/>
          <w:color w:val="943634" w:themeColor="accent2" w:themeShade="BF"/>
          <w:szCs w:val="22"/>
        </w:rPr>
      </w:pPr>
      <w:r w:rsidRPr="0079578A">
        <w:rPr>
          <w:rFonts w:asciiTheme="minorHAnsi" w:hAnsiTheme="minorHAnsi" w:cs="Calibri"/>
          <w:color w:val="943634" w:themeColor="accent2" w:themeShade="BF"/>
          <w:szCs w:val="22"/>
        </w:rPr>
        <w:t xml:space="preserve">Developing contracting models that allow for greater collaboration and sharing of premises across multiple public, private and third sector partners. </w:t>
      </w:r>
    </w:p>
    <w:p w14:paraId="7779B70F" w14:textId="3B3D494D" w:rsidR="00762C81" w:rsidRPr="0079578A" w:rsidRDefault="00762C81" w:rsidP="003B1653">
      <w:pPr>
        <w:pStyle w:val="ListParagraph"/>
        <w:numPr>
          <w:ilvl w:val="0"/>
          <w:numId w:val="10"/>
        </w:numPr>
        <w:autoSpaceDE w:val="0"/>
        <w:autoSpaceDN w:val="0"/>
        <w:adjustRightInd w:val="0"/>
        <w:ind w:left="357" w:hanging="357"/>
        <w:jc w:val="left"/>
        <w:rPr>
          <w:rFonts w:asciiTheme="minorHAnsi" w:hAnsiTheme="minorHAnsi" w:cs="Calibri"/>
          <w:color w:val="943634" w:themeColor="accent2" w:themeShade="BF"/>
          <w:szCs w:val="22"/>
        </w:rPr>
      </w:pPr>
      <w:r w:rsidRPr="0079578A">
        <w:rPr>
          <w:rFonts w:asciiTheme="minorHAnsi" w:hAnsiTheme="minorHAnsi" w:cs="Calibri"/>
          <w:color w:val="943634" w:themeColor="accent2" w:themeShade="BF"/>
          <w:szCs w:val="22"/>
        </w:rPr>
        <w:t>Delivering an effective laundry service, supporting the smooth and efficient running of hospital services.</w:t>
      </w:r>
    </w:p>
    <w:p w14:paraId="354C7400" w14:textId="460D5A2C" w:rsidR="00762C81" w:rsidRPr="005B44BD" w:rsidRDefault="00762C81" w:rsidP="00762C81">
      <w:pPr>
        <w:pStyle w:val="Heading3"/>
        <w:rPr>
          <w:szCs w:val="22"/>
        </w:rPr>
      </w:pPr>
      <w:r w:rsidRPr="005B44BD">
        <w:rPr>
          <w:rFonts w:cs="Calibri"/>
          <w:color w:val="000000"/>
          <w:szCs w:val="22"/>
        </w:rPr>
        <w:t xml:space="preserve">Health Education and Improvement Wales </w:t>
      </w:r>
    </w:p>
    <w:p w14:paraId="0067FA99" w14:textId="185293D7" w:rsidR="00FC7D1E" w:rsidRDefault="00762C81" w:rsidP="00762C81">
      <w:pPr>
        <w:autoSpaceDE w:val="0"/>
        <w:autoSpaceDN w:val="0"/>
        <w:adjustRightInd w:val="0"/>
        <w:rPr>
          <w:rFonts w:cs="Calibri"/>
          <w:color w:val="943634" w:themeColor="accent2" w:themeShade="BF"/>
          <w:szCs w:val="22"/>
        </w:rPr>
      </w:pPr>
      <w:r w:rsidRPr="00BB625D">
        <w:rPr>
          <w:rFonts w:cs="Calibri"/>
          <w:color w:val="943634" w:themeColor="accent2" w:themeShade="BF"/>
          <w:szCs w:val="22"/>
        </w:rPr>
        <w:t>The Health Board is begin to work in partnership with the newly created Health Education and Improvement Wales (HEIW)</w:t>
      </w:r>
      <w:r w:rsidR="00803379" w:rsidRPr="00BB625D">
        <w:rPr>
          <w:rFonts w:cs="Calibri"/>
          <w:color w:val="943634" w:themeColor="accent2" w:themeShade="BF"/>
          <w:szCs w:val="22"/>
        </w:rPr>
        <w:t xml:space="preserve">.  </w:t>
      </w:r>
      <w:r w:rsidRPr="00BB625D">
        <w:rPr>
          <w:rFonts w:cs="Calibri"/>
          <w:color w:val="943634" w:themeColor="accent2" w:themeShade="BF"/>
          <w:szCs w:val="22"/>
        </w:rPr>
        <w:t>Through planning discussions we have already provided the opportunity to share our agendas, priorities, plans and challenges</w:t>
      </w:r>
      <w:r w:rsidR="00803379" w:rsidRPr="00BB625D">
        <w:rPr>
          <w:rFonts w:cs="Calibri"/>
          <w:color w:val="943634" w:themeColor="accent2" w:themeShade="BF"/>
          <w:szCs w:val="22"/>
        </w:rPr>
        <w:t xml:space="preserve">.  </w:t>
      </w:r>
      <w:r w:rsidRPr="00BB625D">
        <w:rPr>
          <w:rFonts w:cs="Calibri"/>
          <w:color w:val="943634" w:themeColor="accent2" w:themeShade="BF"/>
          <w:szCs w:val="22"/>
        </w:rPr>
        <w:t>We will be particularly pleased to work closely with the organisation as it develops and integrates workforce planning and leadership and succession planning into its core objectives.</w:t>
      </w:r>
    </w:p>
    <w:p w14:paraId="32FE54C1" w14:textId="77777777" w:rsidR="00FC7D1E" w:rsidRDefault="00FC7D1E">
      <w:pPr>
        <w:jc w:val="left"/>
        <w:rPr>
          <w:rFonts w:cs="Calibri"/>
          <w:color w:val="943634" w:themeColor="accent2" w:themeShade="BF"/>
          <w:szCs w:val="22"/>
        </w:rPr>
      </w:pPr>
      <w:r>
        <w:rPr>
          <w:rFonts w:cs="Calibri"/>
          <w:color w:val="943634" w:themeColor="accent2" w:themeShade="BF"/>
          <w:szCs w:val="22"/>
        </w:rPr>
        <w:br w:type="page"/>
      </w:r>
    </w:p>
    <w:p w14:paraId="1F93C0D2" w14:textId="4728F6A9" w:rsidR="00AB0E46" w:rsidRPr="00404AD9" w:rsidRDefault="00AB0E46" w:rsidP="00BD26EA">
      <w:pPr>
        <w:pStyle w:val="Heading1"/>
        <w:rPr>
          <w:szCs w:val="26"/>
        </w:rPr>
      </w:pPr>
      <w:bookmarkStart w:id="153" w:name="_Toc441757283"/>
      <w:bookmarkStart w:id="154" w:name="_Toc447195688"/>
      <w:bookmarkStart w:id="155" w:name="_Toc471830036"/>
      <w:bookmarkStart w:id="156" w:name="_Toc473290361"/>
      <w:bookmarkStart w:id="157" w:name="_Toc478738538"/>
      <w:bookmarkStart w:id="158" w:name="_Toc532299686"/>
      <w:bookmarkStart w:id="159" w:name="_Toc532464013"/>
      <w:bookmarkStart w:id="160" w:name="_Toc536195567"/>
      <w:bookmarkStart w:id="161" w:name="_Toc25262183"/>
      <w:r w:rsidRPr="00404AD9">
        <w:rPr>
          <w:szCs w:val="26"/>
        </w:rPr>
        <w:lastRenderedPageBreak/>
        <w:t>WORKFORCE AND ORGANISATIONAL DEVELOPMENT</w:t>
      </w:r>
      <w:bookmarkEnd w:id="153"/>
      <w:bookmarkEnd w:id="154"/>
      <w:bookmarkEnd w:id="155"/>
      <w:bookmarkEnd w:id="156"/>
      <w:bookmarkEnd w:id="157"/>
      <w:bookmarkEnd w:id="158"/>
      <w:bookmarkEnd w:id="159"/>
      <w:bookmarkEnd w:id="160"/>
      <w:bookmarkEnd w:id="161"/>
    </w:p>
    <w:p w14:paraId="67168F57" w14:textId="6000B190" w:rsidR="00FC7D1E" w:rsidRDefault="00FC7D1E" w:rsidP="00FC7D1E">
      <w:pPr>
        <w:rPr>
          <w:rFonts w:asciiTheme="minorHAnsi" w:hAnsiTheme="minorHAnsi" w:cstheme="minorHAnsi"/>
          <w:szCs w:val="22"/>
        </w:rPr>
      </w:pPr>
      <w:r w:rsidRPr="005E5CB8">
        <w:rPr>
          <w:rFonts w:asciiTheme="minorHAnsi" w:hAnsiTheme="minorHAnsi" w:cstheme="minorHAnsi"/>
          <w:szCs w:val="22"/>
        </w:rPr>
        <w:t>Cwm Taf Morgannwg was created on 1</w:t>
      </w:r>
      <w:r w:rsidRPr="005E5CB8">
        <w:rPr>
          <w:rFonts w:asciiTheme="minorHAnsi" w:hAnsiTheme="minorHAnsi" w:cstheme="minorHAnsi"/>
          <w:szCs w:val="22"/>
          <w:vertAlign w:val="superscript"/>
        </w:rPr>
        <w:t>st</w:t>
      </w:r>
      <w:r w:rsidRPr="005E5CB8">
        <w:rPr>
          <w:rFonts w:asciiTheme="minorHAnsi" w:hAnsiTheme="minorHAnsi" w:cstheme="minorHAnsi"/>
          <w:szCs w:val="22"/>
        </w:rPr>
        <w:t xml:space="preserve"> April 2019 to be responsible for the health care provisions for the population included in the Bridgend County Borough boundary change in addition to the existing population covered by Cwm Taf UHB. The workforce of this new organisation has seen a significant growth too approximately 11,802 head count and 10,304 WTE at September 2019.  The geographic area and the population we serve has also increased.  With 3 District General Hospital and growth in primary c</w:t>
      </w:r>
      <w:r>
        <w:rPr>
          <w:rFonts w:asciiTheme="minorHAnsi" w:hAnsiTheme="minorHAnsi" w:cstheme="minorHAnsi"/>
          <w:szCs w:val="22"/>
        </w:rPr>
        <w:t>are provision and partnerships.</w:t>
      </w:r>
    </w:p>
    <w:p w14:paraId="3FC0BC32" w14:textId="77777777" w:rsidR="00FC7D1E" w:rsidRPr="005E5CB8" w:rsidRDefault="00FC7D1E" w:rsidP="00FC7D1E">
      <w:pPr>
        <w:rPr>
          <w:rFonts w:asciiTheme="minorHAnsi" w:hAnsiTheme="minorHAnsi" w:cstheme="minorHAnsi"/>
          <w:szCs w:val="22"/>
        </w:rPr>
      </w:pPr>
    </w:p>
    <w:p w14:paraId="6785DA0A" w14:textId="3CF5D3D6" w:rsidR="00FC7D1E" w:rsidRPr="005E5CB8" w:rsidRDefault="00FC7D1E" w:rsidP="00FC7D1E">
      <w:pPr>
        <w:autoSpaceDE w:val="0"/>
        <w:autoSpaceDN w:val="0"/>
        <w:adjustRightInd w:val="0"/>
        <w:rPr>
          <w:rFonts w:asciiTheme="minorHAnsi" w:hAnsiTheme="minorHAnsi" w:cstheme="minorHAnsi"/>
          <w:szCs w:val="22"/>
        </w:rPr>
      </w:pPr>
      <w:r w:rsidRPr="005E5CB8">
        <w:rPr>
          <w:rFonts w:asciiTheme="minorHAnsi" w:hAnsiTheme="minorHAnsi" w:cstheme="minorHAnsi"/>
          <w:szCs w:val="22"/>
        </w:rPr>
        <w:t>The establishment of a Workforce and Organisation Development plan for CTM which supports a focus on patient safety and quality of patient care is critically important.  The scale of the challenges and the context for the development of this plan include the Royal College’s review of Maternity Services, Targeted Intervention, the Bridgend boundary change, the implementation of a new organisation structure and the need to develop a new Clinical Services Strategy and plan.  In addition, the plan reflects the quadruple aims of A Healthier Wales which are:</w:t>
      </w:r>
    </w:p>
    <w:p w14:paraId="3E3302AF" w14:textId="5EBA7DFC" w:rsidR="00D852F5" w:rsidRDefault="00FC7D1E" w:rsidP="00D852F5">
      <w:pPr>
        <w:autoSpaceDE w:val="0"/>
        <w:autoSpaceDN w:val="0"/>
        <w:adjustRightInd w:val="0"/>
        <w:rPr>
          <w:sz w:val="24"/>
        </w:rPr>
      </w:pPr>
      <w:r w:rsidRPr="005E5CB8">
        <w:rPr>
          <w:rFonts w:asciiTheme="minorHAnsi" w:hAnsiTheme="minorHAnsi" w:cstheme="minorHAnsi"/>
          <w:bCs/>
          <w:noProof/>
          <w:szCs w:val="22"/>
        </w:rPr>
        <w:drawing>
          <wp:anchor distT="0" distB="0" distL="114300" distR="114300" simplePos="0" relativeHeight="252851200" behindDoc="1" locked="0" layoutInCell="1" allowOverlap="1" wp14:anchorId="692E4E91" wp14:editId="4E0205F3">
            <wp:simplePos x="0" y="0"/>
            <wp:positionH relativeFrom="margin">
              <wp:posOffset>4999141</wp:posOffset>
            </wp:positionH>
            <wp:positionV relativeFrom="topMargin">
              <wp:posOffset>3569780</wp:posOffset>
            </wp:positionV>
            <wp:extent cx="647700" cy="691515"/>
            <wp:effectExtent l="152400" t="133350" r="57150" b="127635"/>
            <wp:wrapTight wrapText="bothSides">
              <wp:wrapPolygon edited="0">
                <wp:start x="-1494" y="949"/>
                <wp:lineTo x="-7781" y="5964"/>
                <wp:lineTo x="-1191" y="13213"/>
                <wp:lineTo x="-5061" y="16299"/>
                <wp:lineTo x="294" y="22189"/>
                <wp:lineTo x="19656" y="22377"/>
                <wp:lineTo x="22074" y="20448"/>
                <wp:lineTo x="22630" y="19223"/>
                <wp:lineTo x="22328" y="6959"/>
                <wp:lineTo x="16633" y="-222"/>
                <wp:lineTo x="16221" y="-675"/>
                <wp:lineTo x="925" y="-980"/>
                <wp:lineTo x="-1494" y="949"/>
              </wp:wrapPolygon>
            </wp:wrapTight>
            <wp:docPr id="6" name="Picture 4"/>
            <wp:cNvGraphicFramePr/>
            <a:graphic xmlns:a="http://schemas.openxmlformats.org/drawingml/2006/main">
              <a:graphicData uri="http://schemas.openxmlformats.org/drawingml/2006/picture">
                <pic:pic xmlns:pic="http://schemas.openxmlformats.org/drawingml/2006/picture">
                  <pic:nvPicPr>
                    <pic:cNvPr id="5" name="Picture 4"/>
                    <pic:cNvPicPr/>
                  </pic:nvPicPr>
                  <pic:blipFill>
                    <a:blip r:embed="rId70" cstate="print">
                      <a:extLst>
                        <a:ext uri="{28A0092B-C50C-407E-A947-70E740481C1C}">
                          <a14:useLocalDpi xmlns:a14="http://schemas.microsoft.com/office/drawing/2010/main" val="0"/>
                        </a:ext>
                      </a:extLst>
                    </a:blip>
                    <a:stretch>
                      <a:fillRect/>
                    </a:stretch>
                  </pic:blipFill>
                  <pic:spPr>
                    <a:xfrm rot="2424949">
                      <a:off x="0" y="0"/>
                      <a:ext cx="647700" cy="691515"/>
                    </a:xfrm>
                    <a:prstGeom prst="rect">
                      <a:avLst/>
                    </a:prstGeom>
                  </pic:spPr>
                </pic:pic>
              </a:graphicData>
            </a:graphic>
            <wp14:sizeRelH relativeFrom="margin">
              <wp14:pctWidth>0</wp14:pctWidth>
            </wp14:sizeRelH>
            <wp14:sizeRelV relativeFrom="margin">
              <wp14:pctHeight>0</wp14:pctHeight>
            </wp14:sizeRelV>
          </wp:anchor>
        </w:drawing>
      </w:r>
    </w:p>
    <w:p w14:paraId="45FACF70" w14:textId="182BADE2" w:rsidR="00D852F5" w:rsidRDefault="00D852F5" w:rsidP="003B1653">
      <w:pPr>
        <w:pStyle w:val="ListParagraph"/>
        <w:numPr>
          <w:ilvl w:val="0"/>
          <w:numId w:val="64"/>
        </w:numPr>
        <w:autoSpaceDE w:val="0"/>
        <w:autoSpaceDN w:val="0"/>
        <w:adjustRightInd w:val="0"/>
        <w:ind w:left="357" w:hanging="357"/>
        <w:rPr>
          <w:sz w:val="24"/>
        </w:rPr>
      </w:pPr>
      <w:r>
        <w:rPr>
          <w:sz w:val="24"/>
        </w:rPr>
        <w:t>Improve population health and wellbeing;</w:t>
      </w:r>
    </w:p>
    <w:p w14:paraId="41F4C9B0" w14:textId="4E398C21" w:rsidR="00D852F5" w:rsidRDefault="00D852F5" w:rsidP="003B1653">
      <w:pPr>
        <w:pStyle w:val="ListParagraph"/>
        <w:numPr>
          <w:ilvl w:val="0"/>
          <w:numId w:val="64"/>
        </w:numPr>
        <w:autoSpaceDE w:val="0"/>
        <w:autoSpaceDN w:val="0"/>
        <w:adjustRightInd w:val="0"/>
        <w:ind w:left="357" w:hanging="357"/>
        <w:rPr>
          <w:sz w:val="24"/>
        </w:rPr>
      </w:pPr>
      <w:r>
        <w:rPr>
          <w:sz w:val="24"/>
        </w:rPr>
        <w:t>Better quality and more assessable health and social services;</w:t>
      </w:r>
    </w:p>
    <w:p w14:paraId="66EA4225" w14:textId="1A83F751" w:rsidR="00D852F5" w:rsidRDefault="00D852F5" w:rsidP="003B1653">
      <w:pPr>
        <w:pStyle w:val="ListParagraph"/>
        <w:numPr>
          <w:ilvl w:val="0"/>
          <w:numId w:val="64"/>
        </w:numPr>
        <w:autoSpaceDE w:val="0"/>
        <w:autoSpaceDN w:val="0"/>
        <w:adjustRightInd w:val="0"/>
        <w:ind w:left="357" w:hanging="357"/>
        <w:rPr>
          <w:sz w:val="24"/>
        </w:rPr>
      </w:pPr>
      <w:r>
        <w:rPr>
          <w:sz w:val="24"/>
        </w:rPr>
        <w:t>Higher value health and social care; and</w:t>
      </w:r>
    </w:p>
    <w:p w14:paraId="43F88425" w14:textId="77777777" w:rsidR="00D852F5" w:rsidRPr="00942072" w:rsidRDefault="00D852F5" w:rsidP="003B1653">
      <w:pPr>
        <w:pStyle w:val="ListParagraph"/>
        <w:numPr>
          <w:ilvl w:val="0"/>
          <w:numId w:val="64"/>
        </w:numPr>
        <w:autoSpaceDE w:val="0"/>
        <w:autoSpaceDN w:val="0"/>
        <w:adjustRightInd w:val="0"/>
        <w:ind w:left="357" w:hanging="357"/>
        <w:rPr>
          <w:sz w:val="24"/>
        </w:rPr>
      </w:pPr>
      <w:r>
        <w:rPr>
          <w:sz w:val="24"/>
        </w:rPr>
        <w:t>A motivated and sustainable health &amp; social care workforce.</w:t>
      </w:r>
    </w:p>
    <w:p w14:paraId="2FF25F33" w14:textId="77777777" w:rsidR="00D852F5" w:rsidRDefault="00D852F5" w:rsidP="00D852F5">
      <w:pPr>
        <w:autoSpaceDE w:val="0"/>
        <w:autoSpaceDN w:val="0"/>
        <w:adjustRightInd w:val="0"/>
        <w:rPr>
          <w:sz w:val="24"/>
        </w:rPr>
      </w:pPr>
    </w:p>
    <w:p w14:paraId="3AF0B24A" w14:textId="77777777" w:rsidR="00FC7D1E" w:rsidRDefault="00FC7D1E" w:rsidP="00FC7D1E">
      <w:pPr>
        <w:rPr>
          <w:rFonts w:asciiTheme="minorHAnsi" w:hAnsiTheme="minorHAnsi" w:cstheme="minorHAnsi"/>
          <w:b/>
          <w:szCs w:val="22"/>
        </w:rPr>
      </w:pPr>
      <w:r w:rsidRPr="005E5CB8">
        <w:rPr>
          <w:rFonts w:asciiTheme="minorHAnsi" w:hAnsiTheme="minorHAnsi" w:cstheme="minorHAnsi"/>
          <w:szCs w:val="22"/>
        </w:rPr>
        <w:t xml:space="preserve">All of these elements require significant culture change which is reflected in leadership at all levels of the organisation.  There is a need to embed the newly developed organisation operating model and to ensure that there are simple, transparent and robust systems and structures in place.  The model below illustrates the Workforce and Organisational Development plan for CTM which will be achieved with a </w:t>
      </w:r>
      <w:r w:rsidRPr="005E5CB8">
        <w:rPr>
          <w:rFonts w:asciiTheme="minorHAnsi" w:hAnsiTheme="minorHAnsi" w:cstheme="minorHAnsi"/>
          <w:b/>
          <w:szCs w:val="22"/>
        </w:rPr>
        <w:t>clear progressive organisation development plan supported by aligned and integrated workforce processes and interventions</w:t>
      </w:r>
      <w:r>
        <w:rPr>
          <w:rFonts w:asciiTheme="minorHAnsi" w:hAnsiTheme="minorHAnsi" w:cstheme="minorHAnsi"/>
          <w:b/>
          <w:szCs w:val="22"/>
        </w:rPr>
        <w:t>.</w:t>
      </w:r>
    </w:p>
    <w:p w14:paraId="798D5C86" w14:textId="77777777" w:rsidR="00FC7D1E" w:rsidRDefault="00FC7D1E" w:rsidP="00FC7D1E">
      <w:pPr>
        <w:rPr>
          <w:rFonts w:asciiTheme="minorHAnsi" w:hAnsiTheme="minorHAnsi" w:cstheme="minorHAnsi"/>
          <w:b/>
          <w:szCs w:val="22"/>
        </w:rPr>
      </w:pPr>
    </w:p>
    <w:p w14:paraId="73797BC4" w14:textId="3EF492C8" w:rsidR="00D852F5" w:rsidRDefault="00D852F5" w:rsidP="00FC7D1E">
      <w:pPr>
        <w:jc w:val="center"/>
        <w:rPr>
          <w:i/>
          <w:color w:val="FF0000"/>
          <w:sz w:val="24"/>
        </w:rPr>
      </w:pPr>
      <w:r w:rsidRPr="00317C69">
        <w:rPr>
          <w:b/>
          <w:noProof/>
        </w:rPr>
        <w:drawing>
          <wp:inline distT="0" distB="0" distL="0" distR="0" wp14:anchorId="47C25243" wp14:editId="0FC49D84">
            <wp:extent cx="6370723" cy="3360717"/>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6419250" cy="3386316"/>
                    </a:xfrm>
                    <a:prstGeom prst="rect">
                      <a:avLst/>
                    </a:prstGeom>
                  </pic:spPr>
                </pic:pic>
              </a:graphicData>
            </a:graphic>
          </wp:inline>
        </w:drawing>
      </w:r>
    </w:p>
    <w:p w14:paraId="04DB8B1A" w14:textId="77777777" w:rsidR="00FC7D1E" w:rsidRDefault="00FC7D1E" w:rsidP="00D852F5">
      <w:pPr>
        <w:rPr>
          <w:rFonts w:asciiTheme="minorHAnsi" w:hAnsiTheme="minorHAnsi" w:cstheme="minorHAnsi"/>
          <w:bCs/>
          <w:szCs w:val="22"/>
        </w:rPr>
      </w:pPr>
    </w:p>
    <w:p w14:paraId="5FBDAF17" w14:textId="71E125E3" w:rsidR="00D852F5" w:rsidRPr="00FC7D1E" w:rsidRDefault="00FC7D1E" w:rsidP="00D852F5">
      <w:pPr>
        <w:rPr>
          <w:rFonts w:asciiTheme="minorHAnsi" w:hAnsiTheme="minorHAnsi" w:cstheme="minorHAnsi"/>
          <w:szCs w:val="22"/>
        </w:rPr>
      </w:pPr>
      <w:r w:rsidRPr="005E5CB8">
        <w:rPr>
          <w:rFonts w:asciiTheme="minorHAnsi" w:hAnsiTheme="minorHAnsi" w:cstheme="minorHAnsi"/>
          <w:bCs/>
          <w:szCs w:val="22"/>
        </w:rPr>
        <w:t>The overall aim will be to support A Healthier Wales in making CTM a great place to work and helping our staff to</w:t>
      </w:r>
      <w:r w:rsidRPr="005E5CB8">
        <w:rPr>
          <w:rFonts w:asciiTheme="minorHAnsi" w:hAnsiTheme="minorHAnsi" w:cstheme="minorHAnsi"/>
          <w:szCs w:val="22"/>
        </w:rPr>
        <w:t xml:space="preserve"> work better by fully engaging them, investing in skills and capability and enriching their</w:t>
      </w:r>
      <w:r>
        <w:rPr>
          <w:rFonts w:asciiTheme="minorHAnsi" w:hAnsiTheme="minorHAnsi" w:cstheme="minorHAnsi"/>
          <w:szCs w:val="22"/>
        </w:rPr>
        <w:t xml:space="preserve"> health and wellbeing at work.</w:t>
      </w:r>
    </w:p>
    <w:p w14:paraId="0D60D661" w14:textId="3290D6CE" w:rsidR="00FC7D1E" w:rsidRPr="005B44BD" w:rsidRDefault="00FC7D1E" w:rsidP="00FC7D1E">
      <w:pPr>
        <w:pStyle w:val="Heading2"/>
      </w:pPr>
      <w:bookmarkStart w:id="162" w:name="_Toc25262184"/>
      <w:r>
        <w:lastRenderedPageBreak/>
        <w:t>Organisation Development</w:t>
      </w:r>
      <w:bookmarkEnd w:id="162"/>
    </w:p>
    <w:p w14:paraId="195ABED7" w14:textId="47B8BEEE" w:rsidR="00CA53D6" w:rsidRDefault="00800207" w:rsidP="00800207">
      <w:pPr>
        <w:rPr>
          <w:rFonts w:asciiTheme="minorHAnsi" w:hAnsiTheme="minorHAnsi" w:cstheme="minorHAnsi"/>
          <w:szCs w:val="22"/>
        </w:rPr>
      </w:pPr>
      <w:r w:rsidRPr="005E5CB8">
        <w:rPr>
          <w:rFonts w:asciiTheme="minorHAnsi" w:hAnsiTheme="minorHAnsi" w:cstheme="minorHAnsi"/>
          <w:noProof/>
          <w:szCs w:val="22"/>
        </w:rPr>
        <w:drawing>
          <wp:anchor distT="0" distB="0" distL="114300" distR="114300" simplePos="0" relativeHeight="252853248" behindDoc="0" locked="0" layoutInCell="1" allowOverlap="1" wp14:anchorId="0FF0D587" wp14:editId="5EE202D1">
            <wp:simplePos x="0" y="0"/>
            <wp:positionH relativeFrom="margin">
              <wp:align>left</wp:align>
            </wp:positionH>
            <wp:positionV relativeFrom="paragraph">
              <wp:posOffset>49530</wp:posOffset>
            </wp:positionV>
            <wp:extent cx="1688465" cy="1567180"/>
            <wp:effectExtent l="0" t="0" r="6985" b="0"/>
            <wp:wrapSquare wrapText="bothSides"/>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extLst>
                        <a:ext uri="{28A0092B-C50C-407E-A947-70E740481C1C}">
                          <a14:useLocalDpi xmlns:a14="http://schemas.microsoft.com/office/drawing/2010/main" val="0"/>
                        </a:ext>
                      </a:extLst>
                    </a:blip>
                    <a:stretch>
                      <a:fillRect/>
                    </a:stretch>
                  </pic:blipFill>
                  <pic:spPr>
                    <a:xfrm>
                      <a:off x="0" y="0"/>
                      <a:ext cx="1688465" cy="1567180"/>
                    </a:xfrm>
                    <a:prstGeom prst="rect">
                      <a:avLst/>
                    </a:prstGeom>
                  </pic:spPr>
                </pic:pic>
              </a:graphicData>
            </a:graphic>
            <wp14:sizeRelH relativeFrom="margin">
              <wp14:pctWidth>0</wp14:pctWidth>
            </wp14:sizeRelH>
            <wp14:sizeRelV relativeFrom="margin">
              <wp14:pctHeight>0</wp14:pctHeight>
            </wp14:sizeRelV>
          </wp:anchor>
        </w:drawing>
      </w:r>
      <w:r w:rsidRPr="005E5CB8">
        <w:rPr>
          <w:rFonts w:asciiTheme="minorHAnsi" w:hAnsiTheme="minorHAnsi" w:cstheme="minorHAnsi"/>
          <w:szCs w:val="22"/>
        </w:rPr>
        <w:t>The OD plan will facilitate the rebuilding of trust and confidence in the organisation and will build a foundation of shared values and behaviours across the organisations owned and modelled from the top, an ongoing programme of leadership development supporting the development of a culture of empowerment and improvement and a fully engaged sustainable workforce.   The OD plan aims to ensure that the “golden threads” of “open, transparent, engaging, involving, clinically lead and managerially supported are reflected in all of the key milestones of the plan.  Programmes of work will focus on clear outcomes which lead to an organisation which is able to respond and learn, understand and build on strengths, support improvement and de-escalation (maturity matrix)</w:t>
      </w:r>
      <w:r>
        <w:rPr>
          <w:rFonts w:asciiTheme="minorHAnsi" w:hAnsiTheme="minorHAnsi" w:cstheme="minorHAnsi"/>
          <w:szCs w:val="22"/>
        </w:rPr>
        <w:t xml:space="preserve">.  </w:t>
      </w:r>
      <w:r w:rsidRPr="005E5CB8">
        <w:rPr>
          <w:rFonts w:asciiTheme="minorHAnsi" w:hAnsiTheme="minorHAnsi" w:cstheme="minorHAnsi"/>
          <w:szCs w:val="22"/>
        </w:rPr>
        <w:t>The key organisation development milestones and actions are therefore as follows:</w:t>
      </w:r>
    </w:p>
    <w:p w14:paraId="0739C35C" w14:textId="3C99AAC2" w:rsidR="00A15FA3" w:rsidRPr="005B44BD" w:rsidRDefault="00A15FA3" w:rsidP="00A15FA3">
      <w:pPr>
        <w:pStyle w:val="Heading3"/>
      </w:pPr>
      <w:r>
        <w:t>Developing Values and Behaviours</w:t>
      </w:r>
    </w:p>
    <w:p w14:paraId="43857FEB" w14:textId="77777777" w:rsidR="00A15FA3" w:rsidRPr="005E5CB8" w:rsidRDefault="00A15FA3" w:rsidP="00A15FA3">
      <w:pPr>
        <w:rPr>
          <w:rFonts w:asciiTheme="minorHAnsi" w:hAnsiTheme="minorHAnsi" w:cstheme="minorHAnsi"/>
          <w:szCs w:val="22"/>
        </w:rPr>
      </w:pPr>
      <w:r w:rsidRPr="005E5CB8">
        <w:rPr>
          <w:rFonts w:asciiTheme="minorHAnsi" w:hAnsiTheme="minorHAnsi" w:cstheme="minorHAnsi"/>
          <w:szCs w:val="22"/>
        </w:rPr>
        <w:t>Work commenced in November 2019 involving staff and patients -</w:t>
      </w:r>
      <w:r w:rsidRPr="005E5CB8">
        <w:rPr>
          <w:rFonts w:asciiTheme="minorHAnsi" w:hAnsiTheme="minorHAnsi" w:cstheme="minorHAnsi"/>
          <w:b/>
          <w:bCs/>
          <w:szCs w:val="22"/>
        </w:rPr>
        <w:t>'Let's Talk Culture'</w:t>
      </w:r>
      <w:r w:rsidRPr="005E5CB8">
        <w:rPr>
          <w:rFonts w:asciiTheme="minorHAnsi" w:hAnsiTheme="minorHAnsi" w:cstheme="minorHAnsi"/>
          <w:szCs w:val="22"/>
        </w:rPr>
        <w:t xml:space="preserve"> and a series of 'In Your Shoes' and 'In Our Shoes' workshops across the health board.  The aim is to:</w:t>
      </w:r>
    </w:p>
    <w:p w14:paraId="73894152" w14:textId="77777777" w:rsidR="00A15FA3" w:rsidRPr="005E5CB8" w:rsidRDefault="00A15FA3" w:rsidP="00A15FA3">
      <w:pPr>
        <w:pStyle w:val="NormaBullet"/>
      </w:pPr>
      <w:r w:rsidRPr="005E5CB8">
        <w:t>Bring together the best of the former Cwm Taf and Bridgend;</w:t>
      </w:r>
    </w:p>
    <w:p w14:paraId="739BD6A7" w14:textId="77777777" w:rsidR="00A15FA3" w:rsidRPr="005E5CB8" w:rsidRDefault="00A15FA3" w:rsidP="00A15FA3">
      <w:pPr>
        <w:pStyle w:val="NormaBullet"/>
      </w:pPr>
      <w:r w:rsidRPr="005E5CB8">
        <w:t>Create a compelling, shared cultural narrative;</w:t>
      </w:r>
    </w:p>
    <w:p w14:paraId="3C86CC37" w14:textId="0B0C6FA8" w:rsidR="00A15FA3" w:rsidRPr="005E5CB8" w:rsidRDefault="00A15FA3" w:rsidP="00A15FA3">
      <w:pPr>
        <w:pStyle w:val="NormaBullet"/>
      </w:pPr>
      <w:r w:rsidRPr="005E5CB8">
        <w:t>Develop our values and behaviours to inform o</w:t>
      </w:r>
      <w:r>
        <w:t>ur decision-making</w:t>
      </w:r>
    </w:p>
    <w:p w14:paraId="1A552416" w14:textId="77777777" w:rsidR="00A15FA3" w:rsidRPr="005E5CB8" w:rsidRDefault="00A15FA3" w:rsidP="00A15FA3">
      <w:pPr>
        <w:rPr>
          <w:rFonts w:asciiTheme="minorHAnsi" w:hAnsiTheme="minorHAnsi" w:cstheme="minorHAnsi"/>
          <w:szCs w:val="22"/>
        </w:rPr>
      </w:pPr>
    </w:p>
    <w:p w14:paraId="51D567AF" w14:textId="4F562C1E" w:rsidR="00D852F5" w:rsidRDefault="00A15FA3" w:rsidP="00A15FA3">
      <w:pPr>
        <w:rPr>
          <w:rFonts w:asciiTheme="minorHAnsi" w:hAnsiTheme="minorHAnsi" w:cstheme="minorHAnsi"/>
          <w:szCs w:val="22"/>
        </w:rPr>
      </w:pPr>
      <w:r w:rsidRPr="005E5CB8">
        <w:rPr>
          <w:rFonts w:asciiTheme="minorHAnsi" w:hAnsiTheme="minorHAnsi" w:cstheme="minorHAnsi"/>
          <w:szCs w:val="22"/>
        </w:rPr>
        <w:t>Together we plan to co-create our culture, involving significant numbers of staff and patients in big, creative, listening workshops alongside a major culture survey that will underpin this work. Then to translate values into behaviours that patients and staff do / don’t want to see, with a climate that makes it easier to appreciate and speak up, as well as to tackle poor behaviours and encourage positive ones</w:t>
      </w:r>
    </w:p>
    <w:p w14:paraId="02F7817D" w14:textId="460F61DB" w:rsidR="00D852F5" w:rsidRPr="00800207" w:rsidRDefault="00D852F5" w:rsidP="00A15FA3">
      <w:pPr>
        <w:pStyle w:val="Heading3"/>
      </w:pPr>
      <w:r w:rsidRPr="00800207">
        <w:t>Embedding the Operating Model</w:t>
      </w:r>
    </w:p>
    <w:p w14:paraId="47A32EE2" w14:textId="77777777" w:rsidR="00A15FA3" w:rsidRPr="005E5CB8" w:rsidRDefault="00A15FA3" w:rsidP="00A15FA3">
      <w:pPr>
        <w:rPr>
          <w:rFonts w:asciiTheme="minorHAnsi" w:hAnsiTheme="minorHAnsi" w:cstheme="minorHAnsi"/>
          <w:szCs w:val="22"/>
        </w:rPr>
      </w:pPr>
      <w:r w:rsidRPr="005E5CB8">
        <w:rPr>
          <w:rFonts w:asciiTheme="minorHAnsi" w:hAnsiTheme="minorHAnsi" w:cstheme="minorHAnsi"/>
          <w:szCs w:val="22"/>
        </w:rPr>
        <w:t>The vision of the new operating model is to empower staff and transparent, distributed decision making closer to service delivery, open culture, enhanced leadership, clinically led services, integration and collaboration, clear accountabilities, enhanced team and individual performance. The baseline for measuring the impact of the operating model will be provided by the culture survey referred to above.</w:t>
      </w:r>
    </w:p>
    <w:p w14:paraId="7878D291" w14:textId="7E0C67C4" w:rsidR="00D852F5" w:rsidRPr="00800207" w:rsidRDefault="00D852F5" w:rsidP="00A15FA3">
      <w:pPr>
        <w:pStyle w:val="Heading3"/>
      </w:pPr>
      <w:r w:rsidRPr="00800207">
        <w:t xml:space="preserve">Leadership Plan </w:t>
      </w:r>
    </w:p>
    <w:p w14:paraId="44CBEF8E" w14:textId="77777777" w:rsidR="00A15FA3" w:rsidRPr="005E5CB8" w:rsidRDefault="00A15FA3" w:rsidP="00A15FA3">
      <w:pPr>
        <w:autoSpaceDE w:val="0"/>
        <w:autoSpaceDN w:val="0"/>
        <w:rPr>
          <w:rFonts w:asciiTheme="minorHAnsi" w:eastAsiaTheme="minorEastAsia" w:hAnsiTheme="minorHAnsi" w:cstheme="minorHAnsi"/>
          <w:kern w:val="24"/>
          <w:szCs w:val="22"/>
        </w:rPr>
      </w:pPr>
      <w:r w:rsidRPr="005E5CB8">
        <w:rPr>
          <w:rFonts w:asciiTheme="minorHAnsi" w:eastAsiaTheme="minorEastAsia" w:hAnsiTheme="minorHAnsi" w:cstheme="minorHAnsi"/>
          <w:kern w:val="24"/>
          <w:szCs w:val="22"/>
        </w:rPr>
        <w:t xml:space="preserve">A </w:t>
      </w:r>
      <w:r w:rsidRPr="005E5CB8">
        <w:rPr>
          <w:rFonts w:asciiTheme="minorHAnsi" w:hAnsiTheme="minorHAnsi" w:cstheme="minorHAnsi"/>
          <w:szCs w:val="22"/>
        </w:rPr>
        <w:t xml:space="preserve">Healthier Wales recognises that “Dynamic leadership will be needed to instigate change, empower others and lead by example, as well as to create the conditions for continuous innovation and improvement to drive up the quality and value of services”.  </w:t>
      </w:r>
      <w:r w:rsidRPr="005E5CB8">
        <w:rPr>
          <w:rFonts w:asciiTheme="minorHAnsi" w:eastAsiaTheme="minorEastAsia" w:hAnsiTheme="minorHAnsi" w:cstheme="minorHAnsi"/>
          <w:kern w:val="24"/>
          <w:szCs w:val="22"/>
        </w:rPr>
        <w:t xml:space="preserve">Whilst the Royal College (RCOG) report was specific to Maternity Services it also identified overall failings in culture and leadership and Targeted Interventions have therefore prioritised development work in a number of areas.  The Staff Survey also highlighted a need to focus on leadership development.  Much of following work has already commenced and will be continued as an urgent priority:   </w:t>
      </w:r>
    </w:p>
    <w:p w14:paraId="17D8CBB2" w14:textId="77777777" w:rsidR="00D852F5" w:rsidRPr="00800207" w:rsidRDefault="00D852F5" w:rsidP="00D852F5">
      <w:pPr>
        <w:autoSpaceDE w:val="0"/>
        <w:autoSpaceDN w:val="0"/>
        <w:rPr>
          <w:rFonts w:eastAsiaTheme="minorEastAsia" w:cstheme="minorHAnsi"/>
          <w:b/>
          <w:i/>
          <w:kern w:val="24"/>
          <w:szCs w:val="22"/>
        </w:rPr>
      </w:pPr>
    </w:p>
    <w:p w14:paraId="54991C2F" w14:textId="77777777" w:rsidR="00A15FA3" w:rsidRDefault="00D852F5" w:rsidP="00A15FA3">
      <w:pPr>
        <w:pStyle w:val="NormaBullet"/>
      </w:pPr>
      <w:r w:rsidRPr="00A15FA3">
        <w:rPr>
          <w:rFonts w:eastAsiaTheme="minorEastAsia"/>
          <w:b/>
          <w:kern w:val="24"/>
        </w:rPr>
        <w:t>Maternity Services</w:t>
      </w:r>
      <w:r w:rsidRPr="00A15FA3">
        <w:rPr>
          <w:rFonts w:eastAsiaTheme="minorEastAsia"/>
          <w:b/>
          <w:i/>
          <w:kern w:val="24"/>
        </w:rPr>
        <w:t xml:space="preserve">.  </w:t>
      </w:r>
      <w:r w:rsidRPr="00A15FA3">
        <w:t>A procurement process for Maternity Services relating to effective team relationships and the culture and behaviours that shape those relationships commenced in August 2019, with development of a project specification with clear deliverables, which was circulated to all providers on the National ‘Behavioural Insights (RM6004)’ Framework. This process closed with no suitable providers being appointed</w:t>
      </w:r>
      <w:r w:rsidRPr="00A15FA3">
        <w:rPr>
          <w:rFonts w:ascii="Verdana" w:hAnsi="Verdana" w:cs="Arial"/>
        </w:rPr>
        <w:t xml:space="preserve">. </w:t>
      </w:r>
      <w:r w:rsidRPr="00A15FA3">
        <w:t>The Health Board subsequently approached Roffey Park and Mindset Practice to determine whether they could meet the requirement of the project specification. Both have submitted proposals working in partnership to deliver a leadership &amp; development programme for Consultants and Senior Midwifery Teams, as well as Band 7 Midwifery staff. Following this a workshop will take place for all staff based around delivering a safety culture and supporting staff to take personal responsibility for professional behaviours. Proposals were submitted on 10</w:t>
      </w:r>
      <w:r w:rsidRPr="00A15FA3">
        <w:rPr>
          <w:vertAlign w:val="superscript"/>
        </w:rPr>
        <w:t>th</w:t>
      </w:r>
      <w:r w:rsidRPr="00A15FA3">
        <w:t xml:space="preserve"> October 2019, and the lengthy procurement process concluded on 18</w:t>
      </w:r>
      <w:r w:rsidRPr="00A15FA3">
        <w:rPr>
          <w:vertAlign w:val="superscript"/>
        </w:rPr>
        <w:t>th</w:t>
      </w:r>
      <w:r w:rsidRPr="00A15FA3">
        <w:t xml:space="preserve"> October 2019. Work has commenced at pace during November 2019, with the Consultant Body and Senior Midwifery team.  This will continue to be monitored and supported via the Independent Panel, and Maternity Improvement Board.</w:t>
      </w:r>
    </w:p>
    <w:p w14:paraId="1F1888CD" w14:textId="77777777" w:rsidR="00A15FA3" w:rsidRPr="00A15FA3" w:rsidRDefault="00D852F5" w:rsidP="00A15FA3">
      <w:pPr>
        <w:pStyle w:val="NormaBullet"/>
      </w:pPr>
      <w:r w:rsidRPr="00A15FA3">
        <w:rPr>
          <w:rFonts w:eastAsiaTheme="minorEastAsia" w:cstheme="minorHAnsi"/>
          <w:b/>
          <w:color w:val="943634" w:themeColor="accent2" w:themeShade="BF"/>
          <w:kern w:val="24"/>
          <w:szCs w:val="22"/>
        </w:rPr>
        <w:lastRenderedPageBreak/>
        <w:t>Board Development</w:t>
      </w:r>
      <w:r w:rsidRPr="00A15FA3">
        <w:rPr>
          <w:rFonts w:eastAsiaTheme="minorEastAsia" w:cstheme="minorHAnsi"/>
          <w:color w:val="943634" w:themeColor="accent2" w:themeShade="BF"/>
          <w:kern w:val="24"/>
          <w:szCs w:val="22"/>
        </w:rPr>
        <w:t>.  A programme of Board development has been commissioned from Deloitte as part of the Targeted inventio</w:t>
      </w:r>
      <w:r w:rsidR="00A15FA3" w:rsidRPr="00A15FA3">
        <w:rPr>
          <w:rFonts w:eastAsiaTheme="minorEastAsia" w:cstheme="minorHAnsi"/>
          <w:color w:val="943634" w:themeColor="accent2" w:themeShade="BF"/>
          <w:kern w:val="24"/>
          <w:szCs w:val="22"/>
        </w:rPr>
        <w:t>n support for the Health Board.</w:t>
      </w:r>
    </w:p>
    <w:p w14:paraId="0CAAACB6" w14:textId="77777777" w:rsidR="00A15FA3" w:rsidRPr="00A15FA3" w:rsidRDefault="00A15FA3" w:rsidP="00A15FA3">
      <w:pPr>
        <w:pStyle w:val="NormaBullet"/>
      </w:pPr>
      <w:r w:rsidRPr="005E5CB8">
        <w:rPr>
          <w:rFonts w:asciiTheme="minorHAnsi" w:eastAsiaTheme="minorEastAsia" w:hAnsiTheme="minorHAnsi" w:cstheme="minorHAnsi"/>
          <w:b/>
          <w:kern w:val="24"/>
          <w:szCs w:val="22"/>
        </w:rPr>
        <w:t>Executive Development</w:t>
      </w:r>
      <w:r w:rsidRPr="005E5CB8">
        <w:rPr>
          <w:rFonts w:asciiTheme="minorHAnsi" w:eastAsiaTheme="minorEastAsia" w:hAnsiTheme="minorHAnsi" w:cstheme="minorHAnsi"/>
          <w:kern w:val="24"/>
          <w:szCs w:val="22"/>
        </w:rPr>
        <w:t xml:space="preserve">. </w:t>
      </w:r>
      <w:r w:rsidRPr="005E5CB8">
        <w:rPr>
          <w:rFonts w:asciiTheme="minorHAnsi" w:hAnsiTheme="minorHAnsi" w:cstheme="minorHAnsi"/>
          <w:szCs w:val="22"/>
        </w:rPr>
        <w:t xml:space="preserve">Following the release of the </w:t>
      </w:r>
      <w:r w:rsidRPr="005E5CB8">
        <w:rPr>
          <w:rFonts w:asciiTheme="minorHAnsi" w:hAnsiTheme="minorHAnsi" w:cstheme="minorHAnsi"/>
          <w:szCs w:val="22"/>
          <w:lang w:val="en-US"/>
        </w:rPr>
        <w:t xml:space="preserve">Royal College of Obstetricians and Gynecologists (RCOG) </w:t>
      </w:r>
      <w:r w:rsidRPr="005E5CB8">
        <w:rPr>
          <w:rFonts w:asciiTheme="minorHAnsi" w:hAnsiTheme="minorHAnsi" w:cstheme="minorHAnsi"/>
          <w:szCs w:val="22"/>
        </w:rPr>
        <w:t>report into Maternity services. Lifetree, an external OD consultancy, have been instructed by the Health Board to work with the Executive Team. The Executive Team is responsible for leading the new Health Board through its transformation, so it is vital that they are given the opportunity to reflect on the issues raised within the RCOG report, take ownership of the challenges and develop a positive way forward. A key enabler for this work will be the ability to establish a leadership culture that is both positive and supportive as well as open and challenging across the organisation – with a focus on quality above all. An initial session was delivered with the Executive Team in August 2019, and subsequent sessions are planned for October 2019, December 2019 and concluding in February 2020</w:t>
      </w:r>
      <w:r>
        <w:rPr>
          <w:rFonts w:asciiTheme="minorHAnsi" w:hAnsiTheme="minorHAnsi" w:cstheme="minorHAnsi"/>
          <w:szCs w:val="22"/>
        </w:rPr>
        <w:t>.</w:t>
      </w:r>
    </w:p>
    <w:p w14:paraId="06A56879" w14:textId="5F2BA8E2" w:rsidR="00D852F5" w:rsidRPr="00A15FA3" w:rsidRDefault="00D852F5" w:rsidP="00A15FA3">
      <w:pPr>
        <w:pStyle w:val="NormaBullet"/>
      </w:pPr>
      <w:r w:rsidRPr="00A15FA3">
        <w:rPr>
          <w:rFonts w:eastAsiaTheme="minorEastAsia" w:cstheme="minorHAnsi"/>
          <w:b/>
          <w:kern w:val="24"/>
          <w:szCs w:val="22"/>
        </w:rPr>
        <w:t xml:space="preserve">Senior Leadership and Management Development. </w:t>
      </w:r>
      <w:r w:rsidRPr="00A15FA3">
        <w:rPr>
          <w:rFonts w:eastAsiaTheme="minorEastAsia" w:cstheme="minorHAnsi"/>
          <w:kern w:val="24"/>
          <w:szCs w:val="22"/>
        </w:rPr>
        <w:t xml:space="preserve"> This will be addressed in two phases:</w:t>
      </w:r>
    </w:p>
    <w:p w14:paraId="12A59053" w14:textId="77777777" w:rsidR="00D852F5" w:rsidRPr="00800207" w:rsidRDefault="00D852F5" w:rsidP="003B1653">
      <w:pPr>
        <w:pStyle w:val="NormaBullet"/>
        <w:numPr>
          <w:ilvl w:val="1"/>
          <w:numId w:val="5"/>
        </w:numPr>
        <w:ind w:left="709"/>
      </w:pPr>
      <w:r w:rsidRPr="00800207">
        <w:rPr>
          <w:rFonts w:eastAsiaTheme="minorEastAsia"/>
        </w:rPr>
        <w:t>Delivery of immediate leadership development interventions based on the best of existing programmes to support the new Operating Model and a distributed leadership approach.  This will include investing in building core (basic management development skills and capability</w:t>
      </w:r>
    </w:p>
    <w:p w14:paraId="749E73A0" w14:textId="06D61E05" w:rsidR="00D852F5" w:rsidRPr="00800207" w:rsidRDefault="00D852F5" w:rsidP="003B1653">
      <w:pPr>
        <w:pStyle w:val="NormaBullet"/>
        <w:numPr>
          <w:ilvl w:val="1"/>
          <w:numId w:val="5"/>
        </w:numPr>
        <w:ind w:left="709"/>
      </w:pPr>
      <w:r w:rsidRPr="00800207">
        <w:rPr>
          <w:rFonts w:eastAsiaTheme="minorEastAsia"/>
        </w:rPr>
        <w:t xml:space="preserve">Assessment of leadership capacity and capability to develop a new leadership offering based on the reviewed Values and Behaviours work to </w:t>
      </w:r>
      <w:r w:rsidRPr="00800207">
        <w:rPr>
          <w:bCs/>
        </w:rPr>
        <w:t>support a clinically led services focussed on</w:t>
      </w:r>
      <w:r w:rsidR="00A15FA3">
        <w:t xml:space="preserve"> quality and safety.</w:t>
      </w:r>
    </w:p>
    <w:p w14:paraId="4BBA336F" w14:textId="77777777" w:rsidR="00D852F5" w:rsidRPr="00800207" w:rsidRDefault="00D852F5" w:rsidP="00A15FA3">
      <w:pPr>
        <w:pStyle w:val="Heading3"/>
      </w:pPr>
      <w:r w:rsidRPr="00800207">
        <w:t xml:space="preserve"> Empowerment and Improvement Culture</w:t>
      </w:r>
    </w:p>
    <w:p w14:paraId="6E8E2ED1" w14:textId="3361559D" w:rsidR="00A15FA3" w:rsidRDefault="00A15FA3" w:rsidP="00A15FA3">
      <w:pPr>
        <w:autoSpaceDE w:val="0"/>
        <w:autoSpaceDN w:val="0"/>
        <w:rPr>
          <w:rFonts w:asciiTheme="minorHAnsi" w:hAnsiTheme="minorHAnsi" w:cstheme="minorHAnsi"/>
          <w:szCs w:val="22"/>
        </w:rPr>
      </w:pPr>
      <w:r w:rsidRPr="005E5CB8">
        <w:rPr>
          <w:rFonts w:asciiTheme="minorHAnsi" w:hAnsiTheme="minorHAnsi" w:cstheme="minorHAnsi"/>
          <w:szCs w:val="22"/>
        </w:rPr>
        <w:t>Empower people, taking decision making closer to those delivering the service and inc</w:t>
      </w:r>
      <w:r>
        <w:rPr>
          <w:rFonts w:asciiTheme="minorHAnsi" w:hAnsiTheme="minorHAnsi" w:cstheme="minorHAnsi"/>
          <w:szCs w:val="22"/>
        </w:rPr>
        <w:t xml:space="preserve">reasing service level autonomy. </w:t>
      </w:r>
      <w:r w:rsidRPr="005E5CB8">
        <w:rPr>
          <w:rFonts w:asciiTheme="minorHAnsi" w:hAnsiTheme="minorHAnsi" w:cstheme="minorHAnsi"/>
          <w:szCs w:val="22"/>
        </w:rPr>
        <w:t xml:space="preserve"> In both the organisation design and underpinned by values and behaviours modelled from the top.</w:t>
      </w:r>
      <w:r>
        <w:rPr>
          <w:rFonts w:asciiTheme="minorHAnsi" w:hAnsiTheme="minorHAnsi" w:cstheme="minorHAnsi"/>
          <w:szCs w:val="22"/>
        </w:rPr>
        <w:t xml:space="preserve"> </w:t>
      </w:r>
      <w:r w:rsidRPr="005E5CB8">
        <w:rPr>
          <w:rFonts w:asciiTheme="minorHAnsi" w:hAnsiTheme="minorHAnsi" w:cstheme="minorHAnsi"/>
          <w:szCs w:val="22"/>
        </w:rPr>
        <w:t xml:space="preserve"> Linked across to leadership development.  One of the overall aims of the cultural change that is desired – focus on “improvement as the beating heart of the organisation, enabled by proactive data ins</w:t>
      </w:r>
      <w:r>
        <w:rPr>
          <w:rFonts w:asciiTheme="minorHAnsi" w:hAnsiTheme="minorHAnsi" w:cstheme="minorHAnsi"/>
          <w:szCs w:val="22"/>
        </w:rPr>
        <w:t>ights and skills development”.</w:t>
      </w:r>
    </w:p>
    <w:p w14:paraId="4F662FCA" w14:textId="528BE413" w:rsidR="00D852F5" w:rsidRPr="00800207" w:rsidRDefault="00D852F5" w:rsidP="00A15FA3">
      <w:pPr>
        <w:pStyle w:val="Heading3"/>
      </w:pPr>
      <w:r w:rsidRPr="00800207">
        <w:t>Building Sustainable and Engaged Workforce</w:t>
      </w:r>
    </w:p>
    <w:p w14:paraId="53447804" w14:textId="04BD22E6" w:rsidR="00A15FA3" w:rsidRDefault="00A15FA3" w:rsidP="00A15FA3">
      <w:pPr>
        <w:autoSpaceDE w:val="0"/>
        <w:autoSpaceDN w:val="0"/>
        <w:rPr>
          <w:rFonts w:asciiTheme="minorHAnsi" w:hAnsiTheme="minorHAnsi" w:cstheme="minorHAnsi"/>
          <w:szCs w:val="22"/>
        </w:rPr>
      </w:pPr>
      <w:r w:rsidRPr="005E5CB8">
        <w:rPr>
          <w:rFonts w:asciiTheme="minorHAnsi" w:hAnsiTheme="minorHAnsi" w:cstheme="minorHAnsi"/>
          <w:szCs w:val="22"/>
        </w:rPr>
        <w:t>The overall aim is to develop and support excellent consistent clinical standards and professional practice providing the best quality and outcomes.</w:t>
      </w:r>
      <w:r w:rsidRPr="005E5CB8">
        <w:rPr>
          <w:rFonts w:asciiTheme="minorHAnsi" w:hAnsiTheme="minorHAnsi" w:cstheme="minorHAnsi"/>
          <w:color w:val="2E75B6"/>
          <w:szCs w:val="22"/>
        </w:rPr>
        <w:t xml:space="preserve"> </w:t>
      </w:r>
      <w:r w:rsidRPr="005E5CB8">
        <w:rPr>
          <w:rFonts w:asciiTheme="minorHAnsi" w:hAnsiTheme="minorHAnsi" w:cstheme="minorHAnsi"/>
          <w:szCs w:val="22"/>
        </w:rPr>
        <w:t>Each of these area of focus will be ongoing over the duration of the IMTP and will continuously develop to support the growth and sustainability of Cwm Taf Morgannwg.</w:t>
      </w:r>
    </w:p>
    <w:p w14:paraId="34321552" w14:textId="0C1B4603" w:rsidR="00A15FA3" w:rsidRPr="005E5CB8" w:rsidRDefault="00A15FA3" w:rsidP="00A15FA3">
      <w:pPr>
        <w:autoSpaceDE w:val="0"/>
        <w:autoSpaceDN w:val="0"/>
        <w:rPr>
          <w:rFonts w:asciiTheme="minorHAnsi" w:hAnsiTheme="minorHAnsi" w:cstheme="minorHAnsi"/>
          <w:szCs w:val="22"/>
        </w:rPr>
      </w:pPr>
    </w:p>
    <w:p w14:paraId="67CA17E4" w14:textId="12154BB1" w:rsidR="00D852F5" w:rsidRPr="00800207" w:rsidRDefault="00A15FA3" w:rsidP="00D852F5">
      <w:pPr>
        <w:ind w:left="360"/>
        <w:rPr>
          <w:rFonts w:cstheme="minorHAnsi"/>
          <w:szCs w:val="22"/>
        </w:rPr>
      </w:pPr>
      <w:r w:rsidRPr="00800207">
        <w:rPr>
          <w:noProof/>
          <w:szCs w:val="22"/>
        </w:rPr>
        <mc:AlternateContent>
          <mc:Choice Requires="wps">
            <w:drawing>
              <wp:anchor distT="0" distB="0" distL="114300" distR="114300" simplePos="0" relativeHeight="252801024" behindDoc="0" locked="0" layoutInCell="1" allowOverlap="1" wp14:anchorId="23C1F1A5" wp14:editId="7CD6DA3C">
                <wp:simplePos x="0" y="0"/>
                <wp:positionH relativeFrom="margin">
                  <wp:posOffset>1621501</wp:posOffset>
                </wp:positionH>
                <wp:positionV relativeFrom="paragraph">
                  <wp:posOffset>96611</wp:posOffset>
                </wp:positionV>
                <wp:extent cx="4305300" cy="813269"/>
                <wp:effectExtent l="0" t="0" r="19050" b="25400"/>
                <wp:wrapNone/>
                <wp:docPr id="27" name="Text Box 27"/>
                <wp:cNvGraphicFramePr/>
                <a:graphic xmlns:a="http://schemas.openxmlformats.org/drawingml/2006/main">
                  <a:graphicData uri="http://schemas.microsoft.com/office/word/2010/wordprocessingShape">
                    <wps:wsp>
                      <wps:cNvSpPr txBox="1"/>
                      <wps:spPr>
                        <a:xfrm>
                          <a:off x="0" y="0"/>
                          <a:ext cx="4305300" cy="813269"/>
                        </a:xfrm>
                        <a:prstGeom prst="rect">
                          <a:avLst/>
                        </a:prstGeom>
                        <a:solidFill>
                          <a:sysClr val="window" lastClr="FFFFFF"/>
                        </a:solidFill>
                        <a:ln w="6350">
                          <a:solidFill>
                            <a:prstClr val="black"/>
                          </a:solidFill>
                        </a:ln>
                        <a:effectLst/>
                      </wps:spPr>
                      <wps:txbx>
                        <w:txbxContent>
                          <w:p w14:paraId="0F0A6B8C" w14:textId="77777777" w:rsidR="006F090B" w:rsidRPr="005D3F61" w:rsidRDefault="006F090B" w:rsidP="00D852F5">
                            <w:pPr>
                              <w:rPr>
                                <w:rFonts w:cstheme="minorHAnsi"/>
                              </w:rPr>
                            </w:pPr>
                            <w:r w:rsidRPr="005D3F61">
                              <w:t>We will have increased the organisation Engagement index score, improved the experience of staff appraisal, the e</w:t>
                            </w:r>
                            <w:r w:rsidRPr="005D3F61">
                              <w:rPr>
                                <w:rFonts w:cstheme="minorHAnsi"/>
                              </w:rPr>
                              <w:t>ffectiveness of team working (i.e. innovative teams), and experience of leadership. Measured by staff survey.</w:t>
                            </w:r>
                          </w:p>
                          <w:p w14:paraId="1DCCA072" w14:textId="77777777" w:rsidR="006F090B" w:rsidRPr="005D3F61" w:rsidRDefault="006F090B" w:rsidP="00D852F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C1F1A5" id="Text Box 27" o:spid="_x0000_s1031" type="#_x0000_t202" style="position:absolute;left:0;text-align:left;margin-left:127.7pt;margin-top:7.6pt;width:339pt;height:64.05pt;z-index:2528010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" fillcolor="window" strokeweight=".5pt">
                <v:textbox>
                  <w:txbxContent>
                    <w:p w14:paraId="0F0A6B8C" w14:textId="77777777" w:rsidR="006F090B" w:rsidRPr="005D3F61" w:rsidRDefault="006F090B" w:rsidP="00D852F5">
                      <w:pPr>
                        <w:rPr>
                          <w:rFonts w:cstheme="minorHAnsi"/>
                        </w:rPr>
                      </w:pPr>
                      <w:r w:rsidRPr="005D3F61">
                        <w:t>We will have increased the organisation Engagement index score, improved the experience of staff appraisal, the e</w:t>
                      </w:r>
                      <w:r w:rsidRPr="005D3F61">
                        <w:rPr>
                          <w:rFonts w:cstheme="minorHAnsi"/>
                        </w:rPr>
                        <w:t>ffectiveness of team working (i.e. innovative teams), and experience of leadership. Measured by staff survey.</w:t>
                      </w:r>
                    </w:p>
                    <w:p w14:paraId="1DCCA072" w14:textId="77777777" w:rsidR="006F090B" w:rsidRPr="005D3F61" w:rsidRDefault="006F090B" w:rsidP="00D852F5"/>
                  </w:txbxContent>
                </v:textbox>
                <w10:wrap anchorx="margin"/>
              </v:shape>
            </w:pict>
          </mc:Fallback>
        </mc:AlternateContent>
      </w:r>
      <w:r w:rsidR="00D852F5" w:rsidRPr="00800207">
        <w:rPr>
          <w:noProof/>
          <w:szCs w:val="22"/>
        </w:rPr>
        <w:drawing>
          <wp:inline distT="0" distB="0" distL="0" distR="0" wp14:anchorId="1BED94CE" wp14:editId="047270C4">
            <wp:extent cx="5727065" cy="897545"/>
            <wp:effectExtent l="76200" t="57150" r="102235" b="112395"/>
            <wp:docPr id="48" name="Diagram 4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3" r:lo="rId74" r:qs="rId75" r:cs="rId76"/>
              </a:graphicData>
            </a:graphic>
          </wp:inline>
        </w:drawing>
      </w:r>
    </w:p>
    <w:p w14:paraId="53C40EDB" w14:textId="66493420" w:rsidR="00D852F5" w:rsidRPr="00800207" w:rsidRDefault="00D852F5" w:rsidP="00536402">
      <w:pPr>
        <w:pStyle w:val="Heading2"/>
      </w:pPr>
      <w:bookmarkStart w:id="163" w:name="_Toc25262185"/>
      <w:r w:rsidRPr="00800207">
        <w:t>Workforce Sustainability</w:t>
      </w:r>
      <w:bookmarkEnd w:id="163"/>
    </w:p>
    <w:p w14:paraId="35CEBEEA" w14:textId="6FFB24E7" w:rsidR="00A15FA3" w:rsidRPr="00A15FA3" w:rsidRDefault="00A15FA3" w:rsidP="00D852F5">
      <w:pPr>
        <w:rPr>
          <w:rFonts w:asciiTheme="minorHAnsi" w:hAnsiTheme="minorHAnsi" w:cstheme="minorHAnsi"/>
          <w:szCs w:val="22"/>
        </w:rPr>
      </w:pPr>
      <w:r w:rsidRPr="005E5CB8">
        <w:rPr>
          <w:rFonts w:asciiTheme="minorHAnsi" w:hAnsiTheme="minorHAnsi" w:cstheme="minorHAnsi"/>
          <w:szCs w:val="22"/>
        </w:rPr>
        <w:t>Maximising the efficiency and productivity contribution of the workforce is a key co</w:t>
      </w:r>
      <w:r>
        <w:rPr>
          <w:rFonts w:asciiTheme="minorHAnsi" w:hAnsiTheme="minorHAnsi" w:cstheme="minorHAnsi"/>
          <w:szCs w:val="22"/>
        </w:rPr>
        <w:t xml:space="preserve">mponent of our workforce plan.  </w:t>
      </w:r>
      <w:r w:rsidRPr="005E5CB8">
        <w:rPr>
          <w:rFonts w:asciiTheme="minorHAnsi" w:hAnsiTheme="minorHAnsi" w:cstheme="minorHAnsi"/>
          <w:szCs w:val="22"/>
        </w:rPr>
        <w:t>The priorities include ensuring our operational and management systems/processes are robust to facilitate the effective management and deployment of our staff.</w:t>
      </w:r>
      <w:r>
        <w:rPr>
          <w:rFonts w:asciiTheme="minorHAnsi" w:hAnsiTheme="minorHAnsi" w:cstheme="minorHAnsi"/>
          <w:szCs w:val="22"/>
        </w:rPr>
        <w:t xml:space="preserve"> </w:t>
      </w:r>
      <w:r w:rsidRPr="005E5CB8">
        <w:rPr>
          <w:rFonts w:asciiTheme="minorHAnsi" w:hAnsiTheme="minorHAnsi" w:cstheme="minorHAnsi"/>
          <w:szCs w:val="22"/>
        </w:rPr>
        <w:t xml:space="preserve"> Where practical we will utilise e-employ</w:t>
      </w:r>
      <w:r>
        <w:rPr>
          <w:rFonts w:asciiTheme="minorHAnsi" w:hAnsiTheme="minorHAnsi" w:cstheme="minorHAnsi"/>
          <w:szCs w:val="22"/>
        </w:rPr>
        <w:t xml:space="preserve">ment systems to minimise waste. </w:t>
      </w:r>
      <w:r w:rsidRPr="005E5CB8">
        <w:rPr>
          <w:rFonts w:asciiTheme="minorHAnsi" w:hAnsiTheme="minorHAnsi" w:cstheme="minorHAnsi"/>
          <w:szCs w:val="22"/>
        </w:rPr>
        <w:t xml:space="preserve"> There will continue to be workforce productivity cross cutting work programmes to oversee a range of activities that will support efficiency, productivity, service improvement and release savings from the pay bill.</w:t>
      </w:r>
    </w:p>
    <w:p w14:paraId="6DAFA807" w14:textId="77777777" w:rsidR="00D852F5" w:rsidRPr="00800207" w:rsidRDefault="00D852F5" w:rsidP="00A15FA3">
      <w:pPr>
        <w:pStyle w:val="Heading3"/>
      </w:pPr>
      <w:r w:rsidRPr="00800207">
        <w:t xml:space="preserve">6.2.1   Current Position </w:t>
      </w:r>
    </w:p>
    <w:p w14:paraId="06CE07A3" w14:textId="77777777" w:rsidR="00D852F5" w:rsidRPr="00A15FA3" w:rsidRDefault="00D852F5" w:rsidP="00D852F5">
      <w:pPr>
        <w:rPr>
          <w:rFonts w:cstheme="minorHAnsi"/>
          <w:i/>
          <w:color w:val="943634" w:themeColor="accent2" w:themeShade="BF"/>
          <w:szCs w:val="22"/>
        </w:rPr>
      </w:pPr>
      <w:r w:rsidRPr="00A15FA3">
        <w:rPr>
          <w:rFonts w:cstheme="minorHAnsi"/>
          <w:i/>
          <w:color w:val="943634" w:themeColor="accent2" w:themeShade="BF"/>
          <w:szCs w:val="22"/>
        </w:rPr>
        <w:t xml:space="preserve">Key messages from the profile &amp; </w:t>
      </w:r>
      <w:r w:rsidRPr="00A15FA3">
        <w:rPr>
          <w:rFonts w:cstheme="minorHAnsi"/>
          <w:i/>
          <w:color w:val="943634" w:themeColor="accent2" w:themeShade="BF"/>
          <w:szCs w:val="22"/>
          <w:u w:val="single"/>
        </w:rPr>
        <w:t>analysis</w:t>
      </w:r>
      <w:r w:rsidRPr="00A15FA3">
        <w:rPr>
          <w:rFonts w:cstheme="minorHAnsi"/>
          <w:i/>
          <w:color w:val="943634" w:themeColor="accent2" w:themeShade="BF"/>
          <w:szCs w:val="22"/>
        </w:rPr>
        <w:t xml:space="preserve"> for example, challenges relating to:</w:t>
      </w:r>
    </w:p>
    <w:p w14:paraId="2907ABB1" w14:textId="77777777" w:rsidR="00D852F5" w:rsidRPr="00A15FA3" w:rsidRDefault="00D852F5" w:rsidP="003B1653">
      <w:pPr>
        <w:pStyle w:val="ListParagraph"/>
        <w:numPr>
          <w:ilvl w:val="0"/>
          <w:numId w:val="61"/>
        </w:numPr>
        <w:spacing w:after="160" w:line="259" w:lineRule="auto"/>
        <w:jc w:val="left"/>
        <w:rPr>
          <w:rFonts w:cstheme="minorHAnsi"/>
          <w:color w:val="943634" w:themeColor="accent2" w:themeShade="BF"/>
          <w:szCs w:val="22"/>
        </w:rPr>
      </w:pPr>
      <w:r w:rsidRPr="00A15FA3">
        <w:rPr>
          <w:rFonts w:cstheme="minorHAnsi"/>
          <w:color w:val="943634" w:themeColor="accent2" w:themeShade="BF"/>
          <w:szCs w:val="22"/>
        </w:rPr>
        <w:t>Size of increase relating to Bridgend</w:t>
      </w:r>
    </w:p>
    <w:p w14:paraId="265276F9" w14:textId="77777777" w:rsidR="00D852F5" w:rsidRPr="00A15FA3" w:rsidRDefault="00D852F5" w:rsidP="003B1653">
      <w:pPr>
        <w:pStyle w:val="ListParagraph"/>
        <w:numPr>
          <w:ilvl w:val="0"/>
          <w:numId w:val="61"/>
        </w:numPr>
        <w:spacing w:after="160" w:line="259" w:lineRule="auto"/>
        <w:jc w:val="left"/>
        <w:rPr>
          <w:rFonts w:cstheme="minorHAnsi"/>
          <w:color w:val="943634" w:themeColor="accent2" w:themeShade="BF"/>
          <w:szCs w:val="22"/>
        </w:rPr>
      </w:pPr>
      <w:r w:rsidRPr="00A15FA3">
        <w:rPr>
          <w:rFonts w:cstheme="minorHAnsi"/>
          <w:color w:val="943634" w:themeColor="accent2" w:themeShade="BF"/>
          <w:szCs w:val="22"/>
        </w:rPr>
        <w:t>Number / percentage of nursing vacancies</w:t>
      </w:r>
    </w:p>
    <w:p w14:paraId="44AB07D9" w14:textId="77777777" w:rsidR="00D852F5" w:rsidRPr="00A15FA3" w:rsidRDefault="00D852F5" w:rsidP="003B1653">
      <w:pPr>
        <w:pStyle w:val="ListParagraph"/>
        <w:numPr>
          <w:ilvl w:val="0"/>
          <w:numId w:val="61"/>
        </w:numPr>
        <w:spacing w:after="160" w:line="259" w:lineRule="auto"/>
        <w:jc w:val="left"/>
        <w:rPr>
          <w:rFonts w:cstheme="minorHAnsi"/>
          <w:b/>
          <w:color w:val="943634" w:themeColor="accent2" w:themeShade="BF"/>
          <w:szCs w:val="22"/>
        </w:rPr>
      </w:pPr>
      <w:r w:rsidRPr="00A15FA3">
        <w:rPr>
          <w:rFonts w:cstheme="minorHAnsi"/>
          <w:color w:val="943634" w:themeColor="accent2" w:themeShade="BF"/>
          <w:szCs w:val="22"/>
        </w:rPr>
        <w:t>Medical hard to fill posts</w:t>
      </w:r>
    </w:p>
    <w:p w14:paraId="7058DE0E" w14:textId="77777777" w:rsidR="00D852F5" w:rsidRPr="00A15FA3" w:rsidRDefault="00D852F5" w:rsidP="003B1653">
      <w:pPr>
        <w:pStyle w:val="ListParagraph"/>
        <w:numPr>
          <w:ilvl w:val="0"/>
          <w:numId w:val="61"/>
        </w:numPr>
        <w:spacing w:after="160" w:line="259" w:lineRule="auto"/>
        <w:jc w:val="left"/>
        <w:rPr>
          <w:rFonts w:cstheme="minorHAnsi"/>
          <w:b/>
          <w:color w:val="943634" w:themeColor="accent2" w:themeShade="BF"/>
          <w:szCs w:val="22"/>
        </w:rPr>
      </w:pPr>
      <w:r w:rsidRPr="00A15FA3">
        <w:rPr>
          <w:rFonts w:cstheme="minorHAnsi"/>
          <w:color w:val="943634" w:themeColor="accent2" w:themeShade="BF"/>
          <w:szCs w:val="22"/>
        </w:rPr>
        <w:t>Turnover (age profile)</w:t>
      </w:r>
    </w:p>
    <w:p w14:paraId="1C4BB134" w14:textId="77777777" w:rsidR="00D852F5" w:rsidRPr="00A15FA3" w:rsidRDefault="00D852F5" w:rsidP="003B1653">
      <w:pPr>
        <w:pStyle w:val="ListParagraph"/>
        <w:numPr>
          <w:ilvl w:val="0"/>
          <w:numId w:val="61"/>
        </w:numPr>
        <w:spacing w:after="160" w:line="259" w:lineRule="auto"/>
        <w:jc w:val="left"/>
        <w:rPr>
          <w:b/>
          <w:color w:val="943634" w:themeColor="accent2" w:themeShade="BF"/>
          <w:szCs w:val="22"/>
        </w:rPr>
      </w:pPr>
      <w:r w:rsidRPr="00A15FA3">
        <w:rPr>
          <w:rFonts w:cstheme="minorHAnsi"/>
          <w:color w:val="943634" w:themeColor="accent2" w:themeShade="BF"/>
          <w:szCs w:val="22"/>
        </w:rPr>
        <w:lastRenderedPageBreak/>
        <w:t>Staff survey engagement index, (performance appraisal, team working, experience of leadership) Bridgend staff analysis?</w:t>
      </w:r>
    </w:p>
    <w:p w14:paraId="280A7C67" w14:textId="77777777" w:rsidR="00D852F5" w:rsidRPr="00800207" w:rsidRDefault="00D852F5" w:rsidP="00832B80">
      <w:pPr>
        <w:pStyle w:val="Heading3"/>
      </w:pPr>
      <w:r w:rsidRPr="00800207">
        <w:t>Workforce Financial Assumptions:</w:t>
      </w:r>
    </w:p>
    <w:p w14:paraId="3DA1233C" w14:textId="77777777" w:rsidR="00832B80" w:rsidRPr="00832B80" w:rsidRDefault="00832B80" w:rsidP="00832B80">
      <w:pPr>
        <w:rPr>
          <w:rFonts w:asciiTheme="minorHAnsi" w:hAnsiTheme="minorHAnsi" w:cstheme="minorHAnsi"/>
          <w:color w:val="943634" w:themeColor="accent2" w:themeShade="BF"/>
          <w:szCs w:val="22"/>
        </w:rPr>
      </w:pPr>
      <w:r w:rsidRPr="00832B80">
        <w:rPr>
          <w:rFonts w:asciiTheme="minorHAnsi" w:hAnsiTheme="minorHAnsi" w:cstheme="minorHAnsi"/>
          <w:color w:val="943634" w:themeColor="accent2" w:themeShade="BF"/>
          <w:szCs w:val="22"/>
        </w:rPr>
        <w:t>Based on our corporate and directorate plans, the net impact on our workforce profile is projected at a reduction of circa **** paid WTE over three years.  Provision for investment in new service and delivery models has been made within the finance plan and this reduction will be offset by a projected increase over the three years of **** paid WTE.  The net decrease of **** paid WTE over three years of current workforce is shown in table below:</w:t>
      </w:r>
    </w:p>
    <w:p w14:paraId="579066F1" w14:textId="77777777" w:rsidR="00D852F5" w:rsidRPr="00832B80" w:rsidRDefault="00D852F5" w:rsidP="00D852F5">
      <w:pPr>
        <w:rPr>
          <w:rFonts w:cs="Times New Roman"/>
          <w:b/>
          <w:color w:val="943634" w:themeColor="accent2" w:themeShade="BF"/>
          <w:szCs w:val="22"/>
        </w:rPr>
      </w:pPr>
    </w:p>
    <w:tbl>
      <w:tblPr>
        <w:tblStyle w:val="TableGrid1"/>
        <w:tblW w:w="8319" w:type="dxa"/>
        <w:jc w:val="center"/>
        <w:tblLayout w:type="fixed"/>
        <w:tblLook w:val="0000" w:firstRow="0" w:lastRow="0" w:firstColumn="0" w:lastColumn="0" w:noHBand="0" w:noVBand="0"/>
      </w:tblPr>
      <w:tblGrid>
        <w:gridCol w:w="2724"/>
        <w:gridCol w:w="1612"/>
        <w:gridCol w:w="2104"/>
        <w:gridCol w:w="1879"/>
      </w:tblGrid>
      <w:tr w:rsidR="00D852F5" w:rsidRPr="00832B80" w14:paraId="654F683A" w14:textId="77777777" w:rsidTr="00CA53D6">
        <w:trPr>
          <w:trHeight w:val="613"/>
          <w:jc w:val="center"/>
        </w:trPr>
        <w:tc>
          <w:tcPr>
            <w:tcW w:w="2724" w:type="dxa"/>
            <w:shd w:val="clear" w:color="auto" w:fill="DBE5F1" w:themeFill="accent1" w:themeFillTint="33"/>
            <w:noWrap/>
          </w:tcPr>
          <w:p w14:paraId="59CA1978" w14:textId="77777777" w:rsidR="00D852F5" w:rsidRPr="00832B80" w:rsidRDefault="00D852F5" w:rsidP="00D852F5">
            <w:pPr>
              <w:rPr>
                <w:b/>
                <w:bCs/>
                <w:color w:val="943634" w:themeColor="accent2" w:themeShade="BF"/>
                <w:sz w:val="22"/>
                <w:szCs w:val="22"/>
              </w:rPr>
            </w:pPr>
            <w:r w:rsidRPr="00832B80">
              <w:rPr>
                <w:b/>
                <w:bCs/>
                <w:color w:val="943634" w:themeColor="accent2" w:themeShade="BF"/>
                <w:sz w:val="22"/>
                <w:szCs w:val="22"/>
              </w:rPr>
              <w:t>Workforce Plan 2020/21 – 2022/23</w:t>
            </w:r>
          </w:p>
        </w:tc>
        <w:tc>
          <w:tcPr>
            <w:tcW w:w="1612" w:type="dxa"/>
            <w:shd w:val="clear" w:color="auto" w:fill="DBE5F1" w:themeFill="accent1" w:themeFillTint="33"/>
          </w:tcPr>
          <w:p w14:paraId="393FFC57" w14:textId="77777777" w:rsidR="00D852F5" w:rsidRPr="00832B80" w:rsidRDefault="00D852F5" w:rsidP="00D852F5">
            <w:pPr>
              <w:rPr>
                <w:b/>
                <w:bCs/>
                <w:color w:val="943634" w:themeColor="accent2" w:themeShade="BF"/>
                <w:sz w:val="22"/>
                <w:szCs w:val="22"/>
              </w:rPr>
            </w:pPr>
            <w:r w:rsidRPr="00832B80">
              <w:rPr>
                <w:b/>
                <w:bCs/>
                <w:color w:val="943634" w:themeColor="accent2" w:themeShade="BF"/>
                <w:sz w:val="22"/>
                <w:szCs w:val="22"/>
              </w:rPr>
              <w:t>Savings Plans</w:t>
            </w:r>
          </w:p>
        </w:tc>
        <w:tc>
          <w:tcPr>
            <w:tcW w:w="2104" w:type="dxa"/>
            <w:shd w:val="clear" w:color="auto" w:fill="DBE5F1" w:themeFill="accent1" w:themeFillTint="33"/>
          </w:tcPr>
          <w:p w14:paraId="66C07716" w14:textId="77777777" w:rsidR="00D852F5" w:rsidRPr="00832B80" w:rsidRDefault="00D852F5" w:rsidP="00D852F5">
            <w:pPr>
              <w:rPr>
                <w:b/>
                <w:bCs/>
                <w:color w:val="943634" w:themeColor="accent2" w:themeShade="BF"/>
                <w:sz w:val="22"/>
                <w:szCs w:val="22"/>
              </w:rPr>
            </w:pPr>
            <w:r w:rsidRPr="00832B80">
              <w:rPr>
                <w:b/>
                <w:bCs/>
                <w:color w:val="943634" w:themeColor="accent2" w:themeShade="BF"/>
                <w:sz w:val="22"/>
                <w:szCs w:val="22"/>
              </w:rPr>
              <w:t>Cost Pressures and  investment</w:t>
            </w:r>
          </w:p>
        </w:tc>
        <w:tc>
          <w:tcPr>
            <w:tcW w:w="1879" w:type="dxa"/>
            <w:shd w:val="clear" w:color="auto" w:fill="DBE5F1" w:themeFill="accent1" w:themeFillTint="33"/>
          </w:tcPr>
          <w:p w14:paraId="00A56CE6" w14:textId="77777777" w:rsidR="00D852F5" w:rsidRPr="00832B80" w:rsidRDefault="00D852F5" w:rsidP="00D852F5">
            <w:pPr>
              <w:rPr>
                <w:b/>
                <w:bCs/>
                <w:color w:val="943634" w:themeColor="accent2" w:themeShade="BF"/>
                <w:sz w:val="22"/>
                <w:szCs w:val="22"/>
              </w:rPr>
            </w:pPr>
            <w:r w:rsidRPr="00832B80">
              <w:rPr>
                <w:b/>
                <w:bCs/>
                <w:color w:val="943634" w:themeColor="accent2" w:themeShade="BF"/>
                <w:sz w:val="22"/>
                <w:szCs w:val="22"/>
              </w:rPr>
              <w:t>Net Movement</w:t>
            </w:r>
          </w:p>
        </w:tc>
      </w:tr>
      <w:tr w:rsidR="00D852F5" w:rsidRPr="00832B80" w14:paraId="05FB34D0" w14:textId="77777777" w:rsidTr="00CA53D6">
        <w:trPr>
          <w:trHeight w:val="306"/>
          <w:jc w:val="center"/>
        </w:trPr>
        <w:tc>
          <w:tcPr>
            <w:tcW w:w="2724" w:type="dxa"/>
            <w:noWrap/>
          </w:tcPr>
          <w:p w14:paraId="325E6D83" w14:textId="77777777" w:rsidR="00D852F5" w:rsidRPr="00832B80" w:rsidRDefault="00D852F5" w:rsidP="00D852F5">
            <w:pPr>
              <w:rPr>
                <w:color w:val="943634" w:themeColor="accent2" w:themeShade="BF"/>
                <w:sz w:val="22"/>
                <w:szCs w:val="22"/>
              </w:rPr>
            </w:pPr>
          </w:p>
        </w:tc>
        <w:tc>
          <w:tcPr>
            <w:tcW w:w="1612" w:type="dxa"/>
            <w:noWrap/>
          </w:tcPr>
          <w:p w14:paraId="6B9C03DE" w14:textId="77777777" w:rsidR="00D852F5" w:rsidRPr="00832B80" w:rsidRDefault="00D852F5" w:rsidP="00D852F5">
            <w:pPr>
              <w:rPr>
                <w:color w:val="943634" w:themeColor="accent2" w:themeShade="BF"/>
                <w:sz w:val="22"/>
                <w:szCs w:val="22"/>
              </w:rPr>
            </w:pPr>
          </w:p>
        </w:tc>
        <w:tc>
          <w:tcPr>
            <w:tcW w:w="2104" w:type="dxa"/>
          </w:tcPr>
          <w:p w14:paraId="5B4D4E36" w14:textId="77777777" w:rsidR="00D852F5" w:rsidRPr="00832B80" w:rsidRDefault="00D852F5" w:rsidP="00D852F5">
            <w:pPr>
              <w:rPr>
                <w:color w:val="943634" w:themeColor="accent2" w:themeShade="BF"/>
                <w:sz w:val="22"/>
                <w:szCs w:val="22"/>
              </w:rPr>
            </w:pPr>
          </w:p>
        </w:tc>
        <w:tc>
          <w:tcPr>
            <w:tcW w:w="1879" w:type="dxa"/>
            <w:noWrap/>
          </w:tcPr>
          <w:p w14:paraId="3FBE637B" w14:textId="77777777" w:rsidR="00D852F5" w:rsidRPr="00832B80" w:rsidRDefault="00D852F5" w:rsidP="00D852F5">
            <w:pPr>
              <w:rPr>
                <w:color w:val="943634" w:themeColor="accent2" w:themeShade="BF"/>
                <w:sz w:val="22"/>
                <w:szCs w:val="22"/>
              </w:rPr>
            </w:pPr>
          </w:p>
        </w:tc>
      </w:tr>
      <w:tr w:rsidR="00D852F5" w:rsidRPr="00832B80" w14:paraId="64F29312" w14:textId="77777777" w:rsidTr="00CA53D6">
        <w:trPr>
          <w:trHeight w:val="306"/>
          <w:jc w:val="center"/>
        </w:trPr>
        <w:tc>
          <w:tcPr>
            <w:tcW w:w="2724" w:type="dxa"/>
            <w:noWrap/>
          </w:tcPr>
          <w:p w14:paraId="5B463022" w14:textId="77777777" w:rsidR="00D852F5" w:rsidRPr="00832B80" w:rsidRDefault="00D852F5" w:rsidP="00D852F5">
            <w:pPr>
              <w:contextualSpacing/>
              <w:rPr>
                <w:color w:val="943634" w:themeColor="accent2" w:themeShade="BF"/>
                <w:sz w:val="22"/>
                <w:szCs w:val="22"/>
              </w:rPr>
            </w:pPr>
          </w:p>
        </w:tc>
        <w:tc>
          <w:tcPr>
            <w:tcW w:w="1612" w:type="dxa"/>
            <w:noWrap/>
          </w:tcPr>
          <w:p w14:paraId="2EB17599" w14:textId="77777777" w:rsidR="00D852F5" w:rsidRPr="00832B80" w:rsidRDefault="00D852F5" w:rsidP="00D852F5">
            <w:pPr>
              <w:contextualSpacing/>
              <w:rPr>
                <w:color w:val="943634" w:themeColor="accent2" w:themeShade="BF"/>
                <w:sz w:val="22"/>
                <w:szCs w:val="22"/>
              </w:rPr>
            </w:pPr>
          </w:p>
        </w:tc>
        <w:tc>
          <w:tcPr>
            <w:tcW w:w="2104" w:type="dxa"/>
          </w:tcPr>
          <w:p w14:paraId="68F941FA" w14:textId="77777777" w:rsidR="00D852F5" w:rsidRPr="00832B80" w:rsidRDefault="00D852F5" w:rsidP="00D852F5">
            <w:pPr>
              <w:contextualSpacing/>
              <w:rPr>
                <w:color w:val="943634" w:themeColor="accent2" w:themeShade="BF"/>
                <w:sz w:val="22"/>
                <w:szCs w:val="22"/>
              </w:rPr>
            </w:pPr>
          </w:p>
        </w:tc>
        <w:tc>
          <w:tcPr>
            <w:tcW w:w="1879" w:type="dxa"/>
            <w:noWrap/>
          </w:tcPr>
          <w:p w14:paraId="3D64F407" w14:textId="77777777" w:rsidR="00D852F5" w:rsidRPr="00832B80" w:rsidRDefault="00D852F5" w:rsidP="00D852F5">
            <w:pPr>
              <w:contextualSpacing/>
              <w:rPr>
                <w:color w:val="943634" w:themeColor="accent2" w:themeShade="BF"/>
                <w:sz w:val="22"/>
                <w:szCs w:val="22"/>
              </w:rPr>
            </w:pPr>
          </w:p>
        </w:tc>
      </w:tr>
      <w:tr w:rsidR="00D852F5" w:rsidRPr="00832B80" w14:paraId="2E785AF4" w14:textId="77777777" w:rsidTr="00CA53D6">
        <w:trPr>
          <w:trHeight w:val="104"/>
          <w:jc w:val="center"/>
        </w:trPr>
        <w:tc>
          <w:tcPr>
            <w:tcW w:w="2724" w:type="dxa"/>
            <w:noWrap/>
          </w:tcPr>
          <w:p w14:paraId="49011445" w14:textId="77777777" w:rsidR="00D852F5" w:rsidRPr="00832B80" w:rsidRDefault="00D852F5" w:rsidP="00D852F5">
            <w:pPr>
              <w:contextualSpacing/>
              <w:rPr>
                <w:b/>
                <w:bCs/>
                <w:color w:val="943634" w:themeColor="accent2" w:themeShade="BF"/>
                <w:sz w:val="22"/>
                <w:szCs w:val="22"/>
              </w:rPr>
            </w:pPr>
            <w:r w:rsidRPr="00832B80">
              <w:rPr>
                <w:b/>
                <w:bCs/>
                <w:color w:val="943634" w:themeColor="accent2" w:themeShade="BF"/>
                <w:sz w:val="22"/>
                <w:szCs w:val="22"/>
              </w:rPr>
              <w:t>Total</w:t>
            </w:r>
          </w:p>
        </w:tc>
        <w:tc>
          <w:tcPr>
            <w:tcW w:w="1612" w:type="dxa"/>
            <w:noWrap/>
          </w:tcPr>
          <w:p w14:paraId="49738923" w14:textId="77777777" w:rsidR="00D852F5" w:rsidRPr="00832B80" w:rsidRDefault="00D852F5" w:rsidP="00D852F5">
            <w:pPr>
              <w:contextualSpacing/>
              <w:rPr>
                <w:b/>
                <w:bCs/>
                <w:color w:val="943634" w:themeColor="accent2" w:themeShade="BF"/>
                <w:sz w:val="22"/>
                <w:szCs w:val="22"/>
              </w:rPr>
            </w:pPr>
          </w:p>
        </w:tc>
        <w:tc>
          <w:tcPr>
            <w:tcW w:w="2104" w:type="dxa"/>
          </w:tcPr>
          <w:p w14:paraId="7060D708" w14:textId="77777777" w:rsidR="00D852F5" w:rsidRPr="00832B80" w:rsidRDefault="00D852F5" w:rsidP="00D852F5">
            <w:pPr>
              <w:contextualSpacing/>
              <w:rPr>
                <w:b/>
                <w:bCs/>
                <w:color w:val="943634" w:themeColor="accent2" w:themeShade="BF"/>
                <w:sz w:val="22"/>
                <w:szCs w:val="22"/>
              </w:rPr>
            </w:pPr>
          </w:p>
        </w:tc>
        <w:tc>
          <w:tcPr>
            <w:tcW w:w="1879" w:type="dxa"/>
            <w:noWrap/>
          </w:tcPr>
          <w:p w14:paraId="4E264D82" w14:textId="77777777" w:rsidR="00D852F5" w:rsidRPr="00832B80" w:rsidRDefault="00D852F5" w:rsidP="00D852F5">
            <w:pPr>
              <w:contextualSpacing/>
              <w:rPr>
                <w:b/>
                <w:bCs/>
                <w:color w:val="943634" w:themeColor="accent2" w:themeShade="BF"/>
                <w:sz w:val="22"/>
                <w:szCs w:val="22"/>
              </w:rPr>
            </w:pPr>
          </w:p>
        </w:tc>
      </w:tr>
    </w:tbl>
    <w:p w14:paraId="5A461D9A" w14:textId="77777777" w:rsidR="00D852F5" w:rsidRPr="00832B80" w:rsidRDefault="00D852F5" w:rsidP="00D852F5">
      <w:pPr>
        <w:rPr>
          <w:rFonts w:cs="Times New Roman"/>
          <w:color w:val="943634" w:themeColor="accent2" w:themeShade="BF"/>
          <w:szCs w:val="22"/>
        </w:rPr>
      </w:pPr>
    </w:p>
    <w:p w14:paraId="4EEA8A6A" w14:textId="77777777" w:rsidR="00D852F5" w:rsidRPr="00832B80" w:rsidRDefault="00D852F5" w:rsidP="00D852F5">
      <w:pPr>
        <w:rPr>
          <w:rFonts w:cs="Times New Roman"/>
          <w:color w:val="943634" w:themeColor="accent2" w:themeShade="BF"/>
          <w:szCs w:val="22"/>
        </w:rPr>
      </w:pPr>
      <w:r w:rsidRPr="00832B80">
        <w:rPr>
          <w:rFonts w:cs="Times New Roman"/>
          <w:color w:val="943634" w:themeColor="accent2" w:themeShade="BF"/>
          <w:szCs w:val="22"/>
        </w:rPr>
        <w:t>Further details of the year one impact by staff group and the expected model of workforce reduction is shown in the following table.  The table below reflects this position for both financial and workforce plan movements:</w:t>
      </w:r>
    </w:p>
    <w:p w14:paraId="16CCECD0" w14:textId="77777777" w:rsidR="00D852F5" w:rsidRPr="00832B80" w:rsidRDefault="00D852F5" w:rsidP="00D852F5">
      <w:pPr>
        <w:rPr>
          <w:rFonts w:cs="Times New Roman"/>
          <w:color w:val="943634" w:themeColor="accent2" w:themeShade="BF"/>
          <w:szCs w:val="22"/>
        </w:rPr>
      </w:pPr>
    </w:p>
    <w:tbl>
      <w:tblPr>
        <w:tblStyle w:val="TableGrid1"/>
        <w:tblW w:w="8703" w:type="dxa"/>
        <w:jc w:val="center"/>
        <w:tblLayout w:type="fixed"/>
        <w:tblLook w:val="04A0" w:firstRow="1" w:lastRow="0" w:firstColumn="1" w:lastColumn="0" w:noHBand="0" w:noVBand="1"/>
      </w:tblPr>
      <w:tblGrid>
        <w:gridCol w:w="3849"/>
        <w:gridCol w:w="1552"/>
        <w:gridCol w:w="1965"/>
        <w:gridCol w:w="1337"/>
      </w:tblGrid>
      <w:tr w:rsidR="00D852F5" w:rsidRPr="00832B80" w14:paraId="155EECD3" w14:textId="77777777" w:rsidTr="00D852F5">
        <w:trPr>
          <w:trHeight w:val="716"/>
          <w:tblHeader/>
          <w:jc w:val="center"/>
        </w:trPr>
        <w:tc>
          <w:tcPr>
            <w:tcW w:w="3849" w:type="dxa"/>
            <w:shd w:val="clear" w:color="auto" w:fill="DBE5F1" w:themeFill="accent1" w:themeFillTint="33"/>
            <w:noWrap/>
            <w:hideMark/>
          </w:tcPr>
          <w:p w14:paraId="4EA5950B" w14:textId="77777777" w:rsidR="00D852F5" w:rsidRPr="00832B80" w:rsidRDefault="00D852F5" w:rsidP="00D852F5">
            <w:pPr>
              <w:rPr>
                <w:rFonts w:cstheme="minorHAnsi"/>
                <w:b/>
                <w:bCs/>
                <w:color w:val="943634" w:themeColor="accent2" w:themeShade="BF"/>
                <w:sz w:val="22"/>
                <w:szCs w:val="22"/>
              </w:rPr>
            </w:pPr>
            <w:r w:rsidRPr="00832B80">
              <w:rPr>
                <w:rFonts w:cstheme="minorHAnsi"/>
                <w:b/>
                <w:bCs/>
                <w:color w:val="943634" w:themeColor="accent2" w:themeShade="BF"/>
                <w:sz w:val="22"/>
                <w:szCs w:val="22"/>
              </w:rPr>
              <w:t>Workforce Plan 2020/21</w:t>
            </w:r>
          </w:p>
          <w:p w14:paraId="4153AAA7" w14:textId="77777777" w:rsidR="00D852F5" w:rsidRPr="00832B80" w:rsidRDefault="00D852F5" w:rsidP="00D852F5">
            <w:pPr>
              <w:rPr>
                <w:rFonts w:cstheme="minorHAnsi"/>
                <w:b/>
                <w:bCs/>
                <w:color w:val="943634" w:themeColor="accent2" w:themeShade="BF"/>
                <w:sz w:val="22"/>
                <w:szCs w:val="22"/>
              </w:rPr>
            </w:pPr>
            <w:r w:rsidRPr="00832B80">
              <w:rPr>
                <w:rFonts w:cstheme="minorHAnsi"/>
                <w:b/>
                <w:bCs/>
                <w:color w:val="943634" w:themeColor="accent2" w:themeShade="BF"/>
                <w:sz w:val="22"/>
                <w:szCs w:val="22"/>
              </w:rPr>
              <w:t>Staff Group</w:t>
            </w:r>
          </w:p>
        </w:tc>
        <w:tc>
          <w:tcPr>
            <w:tcW w:w="1552" w:type="dxa"/>
            <w:shd w:val="clear" w:color="auto" w:fill="DBE5F1" w:themeFill="accent1" w:themeFillTint="33"/>
            <w:hideMark/>
          </w:tcPr>
          <w:p w14:paraId="41C69279" w14:textId="77777777" w:rsidR="00D852F5" w:rsidRPr="00832B80" w:rsidRDefault="00D852F5" w:rsidP="00D852F5">
            <w:pPr>
              <w:rPr>
                <w:rFonts w:cstheme="minorHAnsi"/>
                <w:b/>
                <w:bCs/>
                <w:color w:val="943634" w:themeColor="accent2" w:themeShade="BF"/>
                <w:sz w:val="22"/>
                <w:szCs w:val="22"/>
              </w:rPr>
            </w:pPr>
            <w:r w:rsidRPr="00832B80">
              <w:rPr>
                <w:rFonts w:cstheme="minorHAnsi"/>
                <w:b/>
                <w:bCs/>
                <w:color w:val="943634" w:themeColor="accent2" w:themeShade="BF"/>
                <w:sz w:val="22"/>
                <w:szCs w:val="22"/>
              </w:rPr>
              <w:t>Savings plans</w:t>
            </w:r>
          </w:p>
        </w:tc>
        <w:tc>
          <w:tcPr>
            <w:tcW w:w="1965" w:type="dxa"/>
            <w:shd w:val="clear" w:color="auto" w:fill="DBE5F1" w:themeFill="accent1" w:themeFillTint="33"/>
            <w:hideMark/>
          </w:tcPr>
          <w:p w14:paraId="79EE0292" w14:textId="77777777" w:rsidR="00D852F5" w:rsidRPr="00832B80" w:rsidRDefault="00D852F5" w:rsidP="00D852F5">
            <w:pPr>
              <w:rPr>
                <w:rFonts w:cstheme="minorHAnsi"/>
                <w:b/>
                <w:bCs/>
                <w:color w:val="943634" w:themeColor="accent2" w:themeShade="BF"/>
                <w:sz w:val="22"/>
                <w:szCs w:val="22"/>
              </w:rPr>
            </w:pPr>
            <w:r w:rsidRPr="00832B80">
              <w:rPr>
                <w:rFonts w:cstheme="minorHAnsi"/>
                <w:b/>
                <w:bCs/>
                <w:color w:val="943634" w:themeColor="accent2" w:themeShade="BF"/>
                <w:sz w:val="22"/>
                <w:szCs w:val="22"/>
              </w:rPr>
              <w:t>Investments and Cost Pressures</w:t>
            </w:r>
          </w:p>
        </w:tc>
        <w:tc>
          <w:tcPr>
            <w:tcW w:w="1337" w:type="dxa"/>
            <w:shd w:val="clear" w:color="auto" w:fill="DBE5F1" w:themeFill="accent1" w:themeFillTint="33"/>
            <w:hideMark/>
          </w:tcPr>
          <w:p w14:paraId="3AE59A58" w14:textId="77777777" w:rsidR="00D852F5" w:rsidRPr="00832B80" w:rsidRDefault="00D852F5" w:rsidP="00D852F5">
            <w:pPr>
              <w:rPr>
                <w:rFonts w:cstheme="minorHAnsi"/>
                <w:b/>
                <w:bCs/>
                <w:color w:val="943634" w:themeColor="accent2" w:themeShade="BF"/>
                <w:sz w:val="22"/>
                <w:szCs w:val="22"/>
              </w:rPr>
            </w:pPr>
            <w:r w:rsidRPr="00832B80">
              <w:rPr>
                <w:rFonts w:cstheme="minorHAnsi"/>
                <w:b/>
                <w:bCs/>
                <w:color w:val="943634" w:themeColor="accent2" w:themeShade="BF"/>
                <w:sz w:val="22"/>
                <w:szCs w:val="22"/>
              </w:rPr>
              <w:t>Total</w:t>
            </w:r>
          </w:p>
        </w:tc>
      </w:tr>
      <w:tr w:rsidR="00D852F5" w:rsidRPr="00832B80" w14:paraId="7B4B47BE" w14:textId="77777777" w:rsidTr="00D852F5">
        <w:trPr>
          <w:trHeight w:val="306"/>
          <w:jc w:val="center"/>
        </w:trPr>
        <w:tc>
          <w:tcPr>
            <w:tcW w:w="3849" w:type="dxa"/>
            <w:noWrap/>
            <w:hideMark/>
          </w:tcPr>
          <w:p w14:paraId="75B01FBC" w14:textId="77777777" w:rsidR="00D852F5" w:rsidRPr="00832B80" w:rsidRDefault="00D852F5" w:rsidP="00D852F5">
            <w:pPr>
              <w:rPr>
                <w:rFonts w:cstheme="minorHAnsi"/>
                <w:color w:val="943634" w:themeColor="accent2" w:themeShade="BF"/>
                <w:sz w:val="22"/>
                <w:szCs w:val="22"/>
              </w:rPr>
            </w:pPr>
            <w:r w:rsidRPr="00832B80">
              <w:rPr>
                <w:rFonts w:cstheme="minorHAnsi"/>
                <w:color w:val="943634" w:themeColor="accent2" w:themeShade="BF"/>
                <w:sz w:val="22"/>
                <w:szCs w:val="22"/>
              </w:rPr>
              <w:t>Board Members</w:t>
            </w:r>
          </w:p>
        </w:tc>
        <w:tc>
          <w:tcPr>
            <w:tcW w:w="1552" w:type="dxa"/>
          </w:tcPr>
          <w:p w14:paraId="00BE5B46" w14:textId="77777777" w:rsidR="00D852F5" w:rsidRPr="00832B80" w:rsidRDefault="00D852F5" w:rsidP="00D852F5">
            <w:pPr>
              <w:rPr>
                <w:rFonts w:cstheme="minorHAnsi"/>
                <w:color w:val="943634" w:themeColor="accent2" w:themeShade="BF"/>
                <w:sz w:val="22"/>
                <w:szCs w:val="22"/>
              </w:rPr>
            </w:pPr>
          </w:p>
        </w:tc>
        <w:tc>
          <w:tcPr>
            <w:tcW w:w="1965" w:type="dxa"/>
            <w:noWrap/>
          </w:tcPr>
          <w:p w14:paraId="21C0362B" w14:textId="77777777" w:rsidR="00D852F5" w:rsidRPr="00832B80" w:rsidRDefault="00D852F5" w:rsidP="00D852F5">
            <w:pPr>
              <w:rPr>
                <w:rFonts w:eastAsia="MS PGothic" w:cstheme="minorHAnsi"/>
                <w:color w:val="943634" w:themeColor="accent2" w:themeShade="BF"/>
                <w:sz w:val="22"/>
                <w:szCs w:val="22"/>
                <w:lang w:eastAsia="ja-JP"/>
              </w:rPr>
            </w:pPr>
          </w:p>
        </w:tc>
        <w:tc>
          <w:tcPr>
            <w:tcW w:w="1337" w:type="dxa"/>
          </w:tcPr>
          <w:p w14:paraId="65EAC9C4" w14:textId="77777777" w:rsidR="00D852F5" w:rsidRPr="00832B80" w:rsidRDefault="00D852F5" w:rsidP="00D852F5">
            <w:pPr>
              <w:rPr>
                <w:rFonts w:eastAsia="MS PGothic" w:cstheme="minorHAnsi"/>
                <w:color w:val="943634" w:themeColor="accent2" w:themeShade="BF"/>
                <w:sz w:val="22"/>
                <w:szCs w:val="22"/>
                <w:lang w:eastAsia="ja-JP"/>
              </w:rPr>
            </w:pPr>
          </w:p>
        </w:tc>
      </w:tr>
      <w:tr w:rsidR="00D852F5" w:rsidRPr="00832B80" w14:paraId="63B81D67" w14:textId="77777777" w:rsidTr="00D852F5">
        <w:trPr>
          <w:trHeight w:val="306"/>
          <w:jc w:val="center"/>
        </w:trPr>
        <w:tc>
          <w:tcPr>
            <w:tcW w:w="3849" w:type="dxa"/>
            <w:noWrap/>
            <w:hideMark/>
          </w:tcPr>
          <w:p w14:paraId="120C3CF6" w14:textId="77777777" w:rsidR="00D852F5" w:rsidRPr="00832B80" w:rsidRDefault="00D852F5" w:rsidP="00D852F5">
            <w:pPr>
              <w:rPr>
                <w:rFonts w:cstheme="minorHAnsi"/>
                <w:color w:val="943634" w:themeColor="accent2" w:themeShade="BF"/>
                <w:sz w:val="22"/>
                <w:szCs w:val="22"/>
              </w:rPr>
            </w:pPr>
            <w:r w:rsidRPr="00832B80">
              <w:rPr>
                <w:rFonts w:cstheme="minorHAnsi"/>
                <w:color w:val="943634" w:themeColor="accent2" w:themeShade="BF"/>
                <w:sz w:val="22"/>
                <w:szCs w:val="22"/>
              </w:rPr>
              <w:t>Medical and Dental</w:t>
            </w:r>
          </w:p>
        </w:tc>
        <w:tc>
          <w:tcPr>
            <w:tcW w:w="1552" w:type="dxa"/>
            <w:noWrap/>
          </w:tcPr>
          <w:p w14:paraId="7A8B636F" w14:textId="77777777" w:rsidR="00D852F5" w:rsidRPr="00832B80" w:rsidRDefault="00D852F5" w:rsidP="00D852F5">
            <w:pPr>
              <w:rPr>
                <w:rFonts w:cstheme="minorHAnsi"/>
                <w:color w:val="943634" w:themeColor="accent2" w:themeShade="BF"/>
                <w:sz w:val="22"/>
                <w:szCs w:val="22"/>
              </w:rPr>
            </w:pPr>
          </w:p>
        </w:tc>
        <w:tc>
          <w:tcPr>
            <w:tcW w:w="1965" w:type="dxa"/>
            <w:noWrap/>
          </w:tcPr>
          <w:p w14:paraId="507290C2" w14:textId="77777777" w:rsidR="00D852F5" w:rsidRPr="00832B80" w:rsidRDefault="00D852F5" w:rsidP="00D852F5">
            <w:pPr>
              <w:rPr>
                <w:rFonts w:eastAsia="MS PGothic" w:cstheme="minorHAnsi"/>
                <w:color w:val="943634" w:themeColor="accent2" w:themeShade="BF"/>
                <w:sz w:val="22"/>
                <w:szCs w:val="22"/>
                <w:lang w:eastAsia="ja-JP"/>
              </w:rPr>
            </w:pPr>
          </w:p>
        </w:tc>
        <w:tc>
          <w:tcPr>
            <w:tcW w:w="1337" w:type="dxa"/>
          </w:tcPr>
          <w:p w14:paraId="562850FF" w14:textId="77777777" w:rsidR="00D852F5" w:rsidRPr="00832B80" w:rsidRDefault="00D852F5" w:rsidP="00D852F5">
            <w:pPr>
              <w:rPr>
                <w:rFonts w:eastAsia="MS PGothic" w:cstheme="minorHAnsi"/>
                <w:color w:val="943634" w:themeColor="accent2" w:themeShade="BF"/>
                <w:sz w:val="22"/>
                <w:szCs w:val="22"/>
                <w:lang w:eastAsia="ja-JP"/>
              </w:rPr>
            </w:pPr>
          </w:p>
        </w:tc>
      </w:tr>
      <w:tr w:rsidR="00D852F5" w:rsidRPr="00832B80" w14:paraId="5B36E6C9" w14:textId="77777777" w:rsidTr="00D852F5">
        <w:trPr>
          <w:trHeight w:val="306"/>
          <w:jc w:val="center"/>
        </w:trPr>
        <w:tc>
          <w:tcPr>
            <w:tcW w:w="3849" w:type="dxa"/>
            <w:noWrap/>
            <w:hideMark/>
          </w:tcPr>
          <w:p w14:paraId="294CDF4C" w14:textId="77777777" w:rsidR="00D852F5" w:rsidRPr="00832B80" w:rsidRDefault="00D852F5" w:rsidP="00D852F5">
            <w:pPr>
              <w:rPr>
                <w:rFonts w:cstheme="minorHAnsi"/>
                <w:color w:val="943634" w:themeColor="accent2" w:themeShade="BF"/>
                <w:sz w:val="22"/>
                <w:szCs w:val="22"/>
              </w:rPr>
            </w:pPr>
            <w:r w:rsidRPr="00832B80">
              <w:rPr>
                <w:rFonts w:cstheme="minorHAnsi"/>
                <w:color w:val="943634" w:themeColor="accent2" w:themeShade="BF"/>
                <w:sz w:val="22"/>
                <w:szCs w:val="22"/>
              </w:rPr>
              <w:t>Nursing and Midwifery Registered</w:t>
            </w:r>
          </w:p>
        </w:tc>
        <w:tc>
          <w:tcPr>
            <w:tcW w:w="1552" w:type="dxa"/>
            <w:noWrap/>
          </w:tcPr>
          <w:p w14:paraId="051F2926" w14:textId="77777777" w:rsidR="00D852F5" w:rsidRPr="00832B80" w:rsidRDefault="00D852F5" w:rsidP="00D852F5">
            <w:pPr>
              <w:rPr>
                <w:rFonts w:cstheme="minorHAnsi"/>
                <w:color w:val="943634" w:themeColor="accent2" w:themeShade="BF"/>
                <w:sz w:val="22"/>
                <w:szCs w:val="22"/>
              </w:rPr>
            </w:pPr>
          </w:p>
        </w:tc>
        <w:tc>
          <w:tcPr>
            <w:tcW w:w="1965" w:type="dxa"/>
            <w:noWrap/>
          </w:tcPr>
          <w:p w14:paraId="177A55AC" w14:textId="77777777" w:rsidR="00D852F5" w:rsidRPr="00832B80" w:rsidRDefault="00D852F5" w:rsidP="00D852F5">
            <w:pPr>
              <w:rPr>
                <w:rFonts w:eastAsia="MS PGothic" w:cstheme="minorHAnsi"/>
                <w:color w:val="943634" w:themeColor="accent2" w:themeShade="BF"/>
                <w:sz w:val="22"/>
                <w:szCs w:val="22"/>
                <w:lang w:eastAsia="ja-JP"/>
              </w:rPr>
            </w:pPr>
          </w:p>
        </w:tc>
        <w:tc>
          <w:tcPr>
            <w:tcW w:w="1337" w:type="dxa"/>
          </w:tcPr>
          <w:p w14:paraId="4B356A2C" w14:textId="77777777" w:rsidR="00D852F5" w:rsidRPr="00832B80" w:rsidRDefault="00D852F5" w:rsidP="00D852F5">
            <w:pPr>
              <w:rPr>
                <w:rFonts w:eastAsia="MS PGothic" w:cstheme="minorHAnsi"/>
                <w:color w:val="943634" w:themeColor="accent2" w:themeShade="BF"/>
                <w:sz w:val="22"/>
                <w:szCs w:val="22"/>
                <w:lang w:eastAsia="ja-JP"/>
              </w:rPr>
            </w:pPr>
          </w:p>
        </w:tc>
      </w:tr>
      <w:tr w:rsidR="00D852F5" w:rsidRPr="00832B80" w14:paraId="413329A0" w14:textId="77777777" w:rsidTr="00D852F5">
        <w:trPr>
          <w:trHeight w:val="306"/>
          <w:jc w:val="center"/>
        </w:trPr>
        <w:tc>
          <w:tcPr>
            <w:tcW w:w="3849" w:type="dxa"/>
            <w:noWrap/>
            <w:hideMark/>
          </w:tcPr>
          <w:p w14:paraId="64408DD3" w14:textId="77777777" w:rsidR="00D852F5" w:rsidRPr="00832B80" w:rsidRDefault="00D852F5" w:rsidP="00D852F5">
            <w:pPr>
              <w:rPr>
                <w:rFonts w:cstheme="minorHAnsi"/>
                <w:color w:val="943634" w:themeColor="accent2" w:themeShade="BF"/>
                <w:sz w:val="22"/>
                <w:szCs w:val="22"/>
              </w:rPr>
            </w:pPr>
            <w:r w:rsidRPr="00832B80">
              <w:rPr>
                <w:rFonts w:cstheme="minorHAnsi"/>
                <w:color w:val="943634" w:themeColor="accent2" w:themeShade="BF"/>
                <w:sz w:val="22"/>
                <w:szCs w:val="22"/>
              </w:rPr>
              <w:t>Additional Prof, Scientific and Tech</w:t>
            </w:r>
          </w:p>
        </w:tc>
        <w:tc>
          <w:tcPr>
            <w:tcW w:w="1552" w:type="dxa"/>
            <w:noWrap/>
          </w:tcPr>
          <w:p w14:paraId="1B8DCB92" w14:textId="77777777" w:rsidR="00D852F5" w:rsidRPr="00832B80" w:rsidRDefault="00D852F5" w:rsidP="00D852F5">
            <w:pPr>
              <w:rPr>
                <w:rFonts w:cstheme="minorHAnsi"/>
                <w:color w:val="943634" w:themeColor="accent2" w:themeShade="BF"/>
                <w:sz w:val="22"/>
                <w:szCs w:val="22"/>
              </w:rPr>
            </w:pPr>
          </w:p>
        </w:tc>
        <w:tc>
          <w:tcPr>
            <w:tcW w:w="1965" w:type="dxa"/>
            <w:noWrap/>
          </w:tcPr>
          <w:p w14:paraId="29C75371" w14:textId="77777777" w:rsidR="00D852F5" w:rsidRPr="00832B80" w:rsidRDefault="00D852F5" w:rsidP="00D852F5">
            <w:pPr>
              <w:rPr>
                <w:rFonts w:eastAsia="MS PGothic" w:cstheme="minorHAnsi"/>
                <w:color w:val="943634" w:themeColor="accent2" w:themeShade="BF"/>
                <w:sz w:val="22"/>
                <w:szCs w:val="22"/>
                <w:lang w:eastAsia="ja-JP"/>
              </w:rPr>
            </w:pPr>
          </w:p>
        </w:tc>
        <w:tc>
          <w:tcPr>
            <w:tcW w:w="1337" w:type="dxa"/>
          </w:tcPr>
          <w:p w14:paraId="5ED8E0C1" w14:textId="77777777" w:rsidR="00D852F5" w:rsidRPr="00832B80" w:rsidRDefault="00D852F5" w:rsidP="00D852F5">
            <w:pPr>
              <w:rPr>
                <w:rFonts w:eastAsia="MS PGothic" w:cstheme="minorHAnsi"/>
                <w:color w:val="943634" w:themeColor="accent2" w:themeShade="BF"/>
                <w:sz w:val="22"/>
                <w:szCs w:val="22"/>
                <w:lang w:eastAsia="ja-JP"/>
              </w:rPr>
            </w:pPr>
          </w:p>
        </w:tc>
      </w:tr>
      <w:tr w:rsidR="00D852F5" w:rsidRPr="00832B80" w14:paraId="6502F641" w14:textId="77777777" w:rsidTr="00D852F5">
        <w:trPr>
          <w:trHeight w:val="306"/>
          <w:jc w:val="center"/>
        </w:trPr>
        <w:tc>
          <w:tcPr>
            <w:tcW w:w="3849" w:type="dxa"/>
            <w:noWrap/>
            <w:hideMark/>
          </w:tcPr>
          <w:p w14:paraId="62D0ACF9" w14:textId="77777777" w:rsidR="00D852F5" w:rsidRPr="00832B80" w:rsidRDefault="00D852F5" w:rsidP="00D852F5">
            <w:pPr>
              <w:rPr>
                <w:rFonts w:cstheme="minorHAnsi"/>
                <w:color w:val="943634" w:themeColor="accent2" w:themeShade="BF"/>
                <w:sz w:val="22"/>
                <w:szCs w:val="22"/>
              </w:rPr>
            </w:pPr>
            <w:r w:rsidRPr="00832B80">
              <w:rPr>
                <w:rFonts w:cstheme="minorHAnsi"/>
                <w:color w:val="943634" w:themeColor="accent2" w:themeShade="BF"/>
                <w:sz w:val="22"/>
                <w:szCs w:val="22"/>
              </w:rPr>
              <w:t>Healthcare Scientists</w:t>
            </w:r>
          </w:p>
        </w:tc>
        <w:tc>
          <w:tcPr>
            <w:tcW w:w="1552" w:type="dxa"/>
            <w:noWrap/>
          </w:tcPr>
          <w:p w14:paraId="7A88C217" w14:textId="77777777" w:rsidR="00D852F5" w:rsidRPr="00832B80" w:rsidRDefault="00D852F5" w:rsidP="00D852F5">
            <w:pPr>
              <w:rPr>
                <w:rFonts w:cstheme="minorHAnsi"/>
                <w:color w:val="943634" w:themeColor="accent2" w:themeShade="BF"/>
                <w:sz w:val="22"/>
                <w:szCs w:val="22"/>
              </w:rPr>
            </w:pPr>
          </w:p>
        </w:tc>
        <w:tc>
          <w:tcPr>
            <w:tcW w:w="1965" w:type="dxa"/>
            <w:noWrap/>
          </w:tcPr>
          <w:p w14:paraId="6B8AF34D" w14:textId="77777777" w:rsidR="00D852F5" w:rsidRPr="00832B80" w:rsidRDefault="00D852F5" w:rsidP="00D852F5">
            <w:pPr>
              <w:rPr>
                <w:rFonts w:eastAsia="MS PGothic" w:cstheme="minorHAnsi"/>
                <w:color w:val="943634" w:themeColor="accent2" w:themeShade="BF"/>
                <w:sz w:val="22"/>
                <w:szCs w:val="22"/>
                <w:lang w:eastAsia="ja-JP"/>
              </w:rPr>
            </w:pPr>
          </w:p>
        </w:tc>
        <w:tc>
          <w:tcPr>
            <w:tcW w:w="1337" w:type="dxa"/>
          </w:tcPr>
          <w:p w14:paraId="4CA4B00E" w14:textId="77777777" w:rsidR="00D852F5" w:rsidRPr="00832B80" w:rsidRDefault="00D852F5" w:rsidP="00D852F5">
            <w:pPr>
              <w:rPr>
                <w:rFonts w:eastAsia="MS PGothic" w:cstheme="minorHAnsi"/>
                <w:color w:val="943634" w:themeColor="accent2" w:themeShade="BF"/>
                <w:sz w:val="22"/>
                <w:szCs w:val="22"/>
                <w:lang w:eastAsia="ja-JP"/>
              </w:rPr>
            </w:pPr>
          </w:p>
        </w:tc>
      </w:tr>
      <w:tr w:rsidR="00D852F5" w:rsidRPr="00832B80" w14:paraId="60D38446" w14:textId="77777777" w:rsidTr="00D852F5">
        <w:trPr>
          <w:trHeight w:val="306"/>
          <w:jc w:val="center"/>
        </w:trPr>
        <w:tc>
          <w:tcPr>
            <w:tcW w:w="3849" w:type="dxa"/>
            <w:noWrap/>
            <w:hideMark/>
          </w:tcPr>
          <w:p w14:paraId="3DAE0E67" w14:textId="77777777" w:rsidR="00D852F5" w:rsidRPr="00832B80" w:rsidRDefault="00D852F5" w:rsidP="00D852F5">
            <w:pPr>
              <w:rPr>
                <w:rFonts w:cstheme="minorHAnsi"/>
                <w:color w:val="943634" w:themeColor="accent2" w:themeShade="BF"/>
                <w:sz w:val="22"/>
                <w:szCs w:val="22"/>
              </w:rPr>
            </w:pPr>
            <w:r w:rsidRPr="00832B80">
              <w:rPr>
                <w:rFonts w:cstheme="minorHAnsi"/>
                <w:color w:val="943634" w:themeColor="accent2" w:themeShade="BF"/>
                <w:sz w:val="22"/>
                <w:szCs w:val="22"/>
              </w:rPr>
              <w:t>Allied Health Professionals</w:t>
            </w:r>
          </w:p>
        </w:tc>
        <w:tc>
          <w:tcPr>
            <w:tcW w:w="1552" w:type="dxa"/>
            <w:noWrap/>
          </w:tcPr>
          <w:p w14:paraId="596B69BF" w14:textId="77777777" w:rsidR="00D852F5" w:rsidRPr="00832B80" w:rsidRDefault="00D852F5" w:rsidP="00D852F5">
            <w:pPr>
              <w:rPr>
                <w:rFonts w:cstheme="minorHAnsi"/>
                <w:color w:val="943634" w:themeColor="accent2" w:themeShade="BF"/>
                <w:sz w:val="22"/>
                <w:szCs w:val="22"/>
              </w:rPr>
            </w:pPr>
          </w:p>
        </w:tc>
        <w:tc>
          <w:tcPr>
            <w:tcW w:w="1965" w:type="dxa"/>
            <w:noWrap/>
          </w:tcPr>
          <w:p w14:paraId="08C4A68C" w14:textId="77777777" w:rsidR="00D852F5" w:rsidRPr="00832B80" w:rsidRDefault="00D852F5" w:rsidP="00D852F5">
            <w:pPr>
              <w:rPr>
                <w:rFonts w:eastAsia="MS PGothic" w:cstheme="minorHAnsi"/>
                <w:color w:val="943634" w:themeColor="accent2" w:themeShade="BF"/>
                <w:sz w:val="22"/>
                <w:szCs w:val="22"/>
                <w:lang w:eastAsia="ja-JP"/>
              </w:rPr>
            </w:pPr>
          </w:p>
        </w:tc>
        <w:tc>
          <w:tcPr>
            <w:tcW w:w="1337" w:type="dxa"/>
          </w:tcPr>
          <w:p w14:paraId="7B35FA62" w14:textId="77777777" w:rsidR="00D852F5" w:rsidRPr="00832B80" w:rsidRDefault="00D852F5" w:rsidP="00D852F5">
            <w:pPr>
              <w:rPr>
                <w:rFonts w:eastAsia="MS PGothic" w:cstheme="minorHAnsi"/>
                <w:color w:val="943634" w:themeColor="accent2" w:themeShade="BF"/>
                <w:sz w:val="22"/>
                <w:szCs w:val="22"/>
                <w:lang w:eastAsia="ja-JP"/>
              </w:rPr>
            </w:pPr>
          </w:p>
        </w:tc>
      </w:tr>
      <w:tr w:rsidR="00D852F5" w:rsidRPr="00832B80" w14:paraId="31B108A1" w14:textId="77777777" w:rsidTr="00D852F5">
        <w:trPr>
          <w:trHeight w:val="306"/>
          <w:jc w:val="center"/>
        </w:trPr>
        <w:tc>
          <w:tcPr>
            <w:tcW w:w="3849" w:type="dxa"/>
            <w:noWrap/>
            <w:hideMark/>
          </w:tcPr>
          <w:p w14:paraId="2D86693E" w14:textId="77777777" w:rsidR="00D852F5" w:rsidRPr="00832B80" w:rsidRDefault="00D852F5" w:rsidP="00D852F5">
            <w:pPr>
              <w:rPr>
                <w:rFonts w:cstheme="minorHAnsi"/>
                <w:color w:val="943634" w:themeColor="accent2" w:themeShade="BF"/>
                <w:sz w:val="22"/>
                <w:szCs w:val="22"/>
              </w:rPr>
            </w:pPr>
            <w:r w:rsidRPr="00832B80">
              <w:rPr>
                <w:rFonts w:cstheme="minorHAnsi"/>
                <w:color w:val="943634" w:themeColor="accent2" w:themeShade="BF"/>
                <w:sz w:val="22"/>
                <w:szCs w:val="22"/>
              </w:rPr>
              <w:t>Additional Clinical Services</w:t>
            </w:r>
          </w:p>
        </w:tc>
        <w:tc>
          <w:tcPr>
            <w:tcW w:w="1552" w:type="dxa"/>
            <w:noWrap/>
          </w:tcPr>
          <w:p w14:paraId="18803403" w14:textId="77777777" w:rsidR="00D852F5" w:rsidRPr="00832B80" w:rsidRDefault="00D852F5" w:rsidP="00D852F5">
            <w:pPr>
              <w:rPr>
                <w:rFonts w:cstheme="minorHAnsi"/>
                <w:color w:val="943634" w:themeColor="accent2" w:themeShade="BF"/>
                <w:sz w:val="22"/>
                <w:szCs w:val="22"/>
              </w:rPr>
            </w:pPr>
          </w:p>
        </w:tc>
        <w:tc>
          <w:tcPr>
            <w:tcW w:w="1965" w:type="dxa"/>
            <w:noWrap/>
          </w:tcPr>
          <w:p w14:paraId="09580B52" w14:textId="77777777" w:rsidR="00D852F5" w:rsidRPr="00832B80" w:rsidRDefault="00D852F5" w:rsidP="00D852F5">
            <w:pPr>
              <w:rPr>
                <w:rFonts w:eastAsia="MS PGothic" w:cstheme="minorHAnsi"/>
                <w:color w:val="943634" w:themeColor="accent2" w:themeShade="BF"/>
                <w:sz w:val="22"/>
                <w:szCs w:val="22"/>
                <w:lang w:eastAsia="ja-JP"/>
              </w:rPr>
            </w:pPr>
          </w:p>
        </w:tc>
        <w:tc>
          <w:tcPr>
            <w:tcW w:w="1337" w:type="dxa"/>
          </w:tcPr>
          <w:p w14:paraId="11B6ED0F" w14:textId="77777777" w:rsidR="00D852F5" w:rsidRPr="00832B80" w:rsidRDefault="00D852F5" w:rsidP="00D852F5">
            <w:pPr>
              <w:rPr>
                <w:rFonts w:eastAsia="MS PGothic" w:cstheme="minorHAnsi"/>
                <w:color w:val="943634" w:themeColor="accent2" w:themeShade="BF"/>
                <w:sz w:val="22"/>
                <w:szCs w:val="22"/>
                <w:lang w:eastAsia="ja-JP"/>
              </w:rPr>
            </w:pPr>
          </w:p>
        </w:tc>
      </w:tr>
      <w:tr w:rsidR="00D852F5" w:rsidRPr="00832B80" w14:paraId="27CEF56D" w14:textId="77777777" w:rsidTr="00D852F5">
        <w:trPr>
          <w:trHeight w:val="306"/>
          <w:jc w:val="center"/>
        </w:trPr>
        <w:tc>
          <w:tcPr>
            <w:tcW w:w="3849" w:type="dxa"/>
            <w:noWrap/>
            <w:hideMark/>
          </w:tcPr>
          <w:p w14:paraId="6FA4DA75" w14:textId="77777777" w:rsidR="00D852F5" w:rsidRPr="00832B80" w:rsidRDefault="00D852F5" w:rsidP="00D852F5">
            <w:pPr>
              <w:rPr>
                <w:rFonts w:cstheme="minorHAnsi"/>
                <w:color w:val="943634" w:themeColor="accent2" w:themeShade="BF"/>
                <w:sz w:val="22"/>
                <w:szCs w:val="22"/>
              </w:rPr>
            </w:pPr>
            <w:r w:rsidRPr="00832B80">
              <w:rPr>
                <w:rFonts w:cstheme="minorHAnsi"/>
                <w:color w:val="943634" w:themeColor="accent2" w:themeShade="BF"/>
                <w:sz w:val="22"/>
                <w:szCs w:val="22"/>
              </w:rPr>
              <w:t xml:space="preserve">Administrative and Clerical </w:t>
            </w:r>
          </w:p>
        </w:tc>
        <w:tc>
          <w:tcPr>
            <w:tcW w:w="1552" w:type="dxa"/>
            <w:noWrap/>
          </w:tcPr>
          <w:p w14:paraId="225DAFC5" w14:textId="77777777" w:rsidR="00D852F5" w:rsidRPr="00832B80" w:rsidRDefault="00D852F5" w:rsidP="00D852F5">
            <w:pPr>
              <w:rPr>
                <w:rFonts w:cstheme="minorHAnsi"/>
                <w:color w:val="943634" w:themeColor="accent2" w:themeShade="BF"/>
                <w:sz w:val="22"/>
                <w:szCs w:val="22"/>
              </w:rPr>
            </w:pPr>
          </w:p>
        </w:tc>
        <w:tc>
          <w:tcPr>
            <w:tcW w:w="1965" w:type="dxa"/>
            <w:noWrap/>
          </w:tcPr>
          <w:p w14:paraId="7F2CD661" w14:textId="77777777" w:rsidR="00D852F5" w:rsidRPr="00832B80" w:rsidRDefault="00D852F5" w:rsidP="00D852F5">
            <w:pPr>
              <w:rPr>
                <w:rFonts w:eastAsia="MS PGothic" w:cstheme="minorHAnsi"/>
                <w:color w:val="943634" w:themeColor="accent2" w:themeShade="BF"/>
                <w:sz w:val="22"/>
                <w:szCs w:val="22"/>
                <w:lang w:eastAsia="ja-JP"/>
              </w:rPr>
            </w:pPr>
          </w:p>
        </w:tc>
        <w:tc>
          <w:tcPr>
            <w:tcW w:w="1337" w:type="dxa"/>
          </w:tcPr>
          <w:p w14:paraId="762941D1" w14:textId="77777777" w:rsidR="00D852F5" w:rsidRPr="00832B80" w:rsidRDefault="00D852F5" w:rsidP="00D852F5">
            <w:pPr>
              <w:rPr>
                <w:rFonts w:cstheme="minorHAnsi"/>
                <w:color w:val="943634" w:themeColor="accent2" w:themeShade="BF"/>
                <w:sz w:val="22"/>
                <w:szCs w:val="22"/>
              </w:rPr>
            </w:pPr>
          </w:p>
        </w:tc>
      </w:tr>
      <w:tr w:rsidR="00D852F5" w:rsidRPr="00832B80" w14:paraId="61285E10" w14:textId="77777777" w:rsidTr="00D852F5">
        <w:trPr>
          <w:trHeight w:val="306"/>
          <w:jc w:val="center"/>
        </w:trPr>
        <w:tc>
          <w:tcPr>
            <w:tcW w:w="3849" w:type="dxa"/>
            <w:noWrap/>
            <w:hideMark/>
          </w:tcPr>
          <w:p w14:paraId="49AA0BDF" w14:textId="77777777" w:rsidR="00D852F5" w:rsidRPr="00832B80" w:rsidRDefault="00D852F5" w:rsidP="00D852F5">
            <w:pPr>
              <w:rPr>
                <w:rFonts w:cstheme="minorHAnsi"/>
                <w:color w:val="943634" w:themeColor="accent2" w:themeShade="BF"/>
                <w:sz w:val="22"/>
                <w:szCs w:val="22"/>
              </w:rPr>
            </w:pPr>
            <w:r w:rsidRPr="00832B80">
              <w:rPr>
                <w:rFonts w:cstheme="minorHAnsi"/>
                <w:color w:val="943634" w:themeColor="accent2" w:themeShade="BF"/>
                <w:sz w:val="22"/>
                <w:szCs w:val="22"/>
              </w:rPr>
              <w:t>Estates and Ancillary</w:t>
            </w:r>
          </w:p>
        </w:tc>
        <w:tc>
          <w:tcPr>
            <w:tcW w:w="1552" w:type="dxa"/>
            <w:noWrap/>
          </w:tcPr>
          <w:p w14:paraId="1B964979" w14:textId="77777777" w:rsidR="00D852F5" w:rsidRPr="00832B80" w:rsidRDefault="00D852F5" w:rsidP="00D852F5">
            <w:pPr>
              <w:rPr>
                <w:rFonts w:cstheme="minorHAnsi"/>
                <w:color w:val="943634" w:themeColor="accent2" w:themeShade="BF"/>
                <w:sz w:val="22"/>
                <w:szCs w:val="22"/>
              </w:rPr>
            </w:pPr>
          </w:p>
        </w:tc>
        <w:tc>
          <w:tcPr>
            <w:tcW w:w="1965" w:type="dxa"/>
            <w:noWrap/>
          </w:tcPr>
          <w:p w14:paraId="6F8D6A2A" w14:textId="77777777" w:rsidR="00D852F5" w:rsidRPr="00832B80" w:rsidRDefault="00D852F5" w:rsidP="00D852F5">
            <w:pPr>
              <w:rPr>
                <w:rFonts w:eastAsia="MS PGothic" w:cstheme="minorHAnsi"/>
                <w:color w:val="943634" w:themeColor="accent2" w:themeShade="BF"/>
                <w:sz w:val="22"/>
                <w:szCs w:val="22"/>
                <w:lang w:eastAsia="ja-JP"/>
              </w:rPr>
            </w:pPr>
          </w:p>
        </w:tc>
        <w:tc>
          <w:tcPr>
            <w:tcW w:w="1337" w:type="dxa"/>
          </w:tcPr>
          <w:p w14:paraId="1F2ECAD7" w14:textId="77777777" w:rsidR="00D852F5" w:rsidRPr="00832B80" w:rsidRDefault="00D852F5" w:rsidP="00D852F5">
            <w:pPr>
              <w:rPr>
                <w:rFonts w:eastAsia="MS PGothic" w:cstheme="minorHAnsi"/>
                <w:color w:val="943634" w:themeColor="accent2" w:themeShade="BF"/>
                <w:sz w:val="22"/>
                <w:szCs w:val="22"/>
                <w:lang w:eastAsia="ja-JP"/>
              </w:rPr>
            </w:pPr>
          </w:p>
        </w:tc>
      </w:tr>
      <w:tr w:rsidR="00D852F5" w:rsidRPr="00832B80" w14:paraId="30CCB370" w14:textId="77777777" w:rsidTr="00D852F5">
        <w:trPr>
          <w:trHeight w:val="306"/>
          <w:jc w:val="center"/>
        </w:trPr>
        <w:tc>
          <w:tcPr>
            <w:tcW w:w="3849" w:type="dxa"/>
            <w:noWrap/>
            <w:hideMark/>
          </w:tcPr>
          <w:p w14:paraId="64AD8259" w14:textId="77777777" w:rsidR="00D852F5" w:rsidRPr="00832B80" w:rsidRDefault="00D852F5" w:rsidP="00D852F5">
            <w:pPr>
              <w:rPr>
                <w:rFonts w:cstheme="minorHAnsi"/>
                <w:color w:val="943634" w:themeColor="accent2" w:themeShade="BF"/>
                <w:sz w:val="22"/>
                <w:szCs w:val="22"/>
              </w:rPr>
            </w:pPr>
            <w:r w:rsidRPr="00832B80">
              <w:rPr>
                <w:rFonts w:cstheme="minorHAnsi"/>
                <w:color w:val="943634" w:themeColor="accent2" w:themeShade="BF"/>
                <w:sz w:val="22"/>
                <w:szCs w:val="22"/>
              </w:rPr>
              <w:t>Students</w:t>
            </w:r>
          </w:p>
        </w:tc>
        <w:tc>
          <w:tcPr>
            <w:tcW w:w="1552" w:type="dxa"/>
            <w:noWrap/>
          </w:tcPr>
          <w:p w14:paraId="6F6E77CE" w14:textId="77777777" w:rsidR="00D852F5" w:rsidRPr="00832B80" w:rsidRDefault="00D852F5" w:rsidP="00D852F5">
            <w:pPr>
              <w:rPr>
                <w:rFonts w:cstheme="minorHAnsi"/>
                <w:color w:val="943634" w:themeColor="accent2" w:themeShade="BF"/>
                <w:sz w:val="22"/>
                <w:szCs w:val="22"/>
              </w:rPr>
            </w:pPr>
          </w:p>
        </w:tc>
        <w:tc>
          <w:tcPr>
            <w:tcW w:w="1965" w:type="dxa"/>
            <w:noWrap/>
          </w:tcPr>
          <w:p w14:paraId="7BF7141E" w14:textId="77777777" w:rsidR="00D852F5" w:rsidRPr="00832B80" w:rsidRDefault="00D852F5" w:rsidP="00D852F5">
            <w:pPr>
              <w:rPr>
                <w:rFonts w:eastAsia="MS PGothic" w:cstheme="minorHAnsi"/>
                <w:color w:val="943634" w:themeColor="accent2" w:themeShade="BF"/>
                <w:sz w:val="22"/>
                <w:szCs w:val="22"/>
                <w:lang w:eastAsia="ja-JP"/>
              </w:rPr>
            </w:pPr>
          </w:p>
        </w:tc>
        <w:tc>
          <w:tcPr>
            <w:tcW w:w="1337" w:type="dxa"/>
          </w:tcPr>
          <w:p w14:paraId="50CBAD85" w14:textId="77777777" w:rsidR="00D852F5" w:rsidRPr="00832B80" w:rsidRDefault="00D852F5" w:rsidP="00D852F5">
            <w:pPr>
              <w:rPr>
                <w:rFonts w:eastAsia="MS PGothic" w:cstheme="minorHAnsi"/>
                <w:color w:val="943634" w:themeColor="accent2" w:themeShade="BF"/>
                <w:sz w:val="22"/>
                <w:szCs w:val="22"/>
                <w:lang w:eastAsia="ja-JP"/>
              </w:rPr>
            </w:pPr>
          </w:p>
        </w:tc>
      </w:tr>
      <w:tr w:rsidR="00D852F5" w:rsidRPr="00832B80" w14:paraId="03CE4C36" w14:textId="77777777" w:rsidTr="00D852F5">
        <w:trPr>
          <w:trHeight w:val="306"/>
          <w:jc w:val="center"/>
        </w:trPr>
        <w:tc>
          <w:tcPr>
            <w:tcW w:w="3849" w:type="dxa"/>
            <w:noWrap/>
            <w:hideMark/>
          </w:tcPr>
          <w:p w14:paraId="380CADA6" w14:textId="77777777" w:rsidR="00D852F5" w:rsidRPr="00832B80" w:rsidRDefault="00D852F5" w:rsidP="00D852F5">
            <w:pPr>
              <w:rPr>
                <w:rFonts w:cstheme="minorHAnsi"/>
                <w:b/>
                <w:color w:val="943634" w:themeColor="accent2" w:themeShade="BF"/>
                <w:sz w:val="22"/>
                <w:szCs w:val="22"/>
              </w:rPr>
            </w:pPr>
            <w:r w:rsidRPr="00832B80">
              <w:rPr>
                <w:rFonts w:cstheme="minorHAnsi"/>
                <w:b/>
                <w:color w:val="943634" w:themeColor="accent2" w:themeShade="BF"/>
                <w:sz w:val="22"/>
                <w:szCs w:val="22"/>
              </w:rPr>
              <w:t>Total</w:t>
            </w:r>
          </w:p>
        </w:tc>
        <w:tc>
          <w:tcPr>
            <w:tcW w:w="1552" w:type="dxa"/>
            <w:noWrap/>
          </w:tcPr>
          <w:p w14:paraId="596E8A9A" w14:textId="77777777" w:rsidR="00D852F5" w:rsidRPr="00832B80" w:rsidRDefault="00D852F5" w:rsidP="00D852F5">
            <w:pPr>
              <w:rPr>
                <w:rFonts w:cstheme="minorHAnsi"/>
                <w:b/>
                <w:color w:val="943634" w:themeColor="accent2" w:themeShade="BF"/>
                <w:sz w:val="22"/>
                <w:szCs w:val="22"/>
              </w:rPr>
            </w:pPr>
          </w:p>
        </w:tc>
        <w:tc>
          <w:tcPr>
            <w:tcW w:w="1965" w:type="dxa"/>
            <w:noWrap/>
          </w:tcPr>
          <w:p w14:paraId="00C812DC" w14:textId="77777777" w:rsidR="00D852F5" w:rsidRPr="00832B80" w:rsidRDefault="00D852F5" w:rsidP="00D852F5">
            <w:pPr>
              <w:rPr>
                <w:rFonts w:cstheme="minorHAnsi"/>
                <w:b/>
                <w:color w:val="943634" w:themeColor="accent2" w:themeShade="BF"/>
                <w:sz w:val="22"/>
                <w:szCs w:val="22"/>
              </w:rPr>
            </w:pPr>
          </w:p>
        </w:tc>
        <w:tc>
          <w:tcPr>
            <w:tcW w:w="1337" w:type="dxa"/>
            <w:hideMark/>
          </w:tcPr>
          <w:p w14:paraId="16883E64" w14:textId="77777777" w:rsidR="00D852F5" w:rsidRPr="00832B80" w:rsidRDefault="00D852F5" w:rsidP="00D852F5">
            <w:pPr>
              <w:rPr>
                <w:rFonts w:cstheme="minorHAnsi"/>
                <w:b/>
                <w:color w:val="943634" w:themeColor="accent2" w:themeShade="BF"/>
                <w:sz w:val="22"/>
                <w:szCs w:val="22"/>
              </w:rPr>
            </w:pPr>
          </w:p>
        </w:tc>
      </w:tr>
    </w:tbl>
    <w:p w14:paraId="1C4E7658" w14:textId="77777777" w:rsidR="00D852F5" w:rsidRPr="00832B80" w:rsidRDefault="00D852F5" w:rsidP="00D852F5">
      <w:pPr>
        <w:rPr>
          <w:rFonts w:cs="Times New Roman"/>
          <w:color w:val="943634" w:themeColor="accent2" w:themeShade="BF"/>
          <w:szCs w:val="22"/>
        </w:rPr>
      </w:pPr>
    </w:p>
    <w:p w14:paraId="275F94A1" w14:textId="77777777" w:rsidR="00832B80" w:rsidRPr="00832B80" w:rsidRDefault="00832B80" w:rsidP="00832B80">
      <w:pPr>
        <w:rPr>
          <w:rFonts w:asciiTheme="minorHAnsi" w:hAnsiTheme="minorHAnsi" w:cstheme="minorHAnsi"/>
          <w:color w:val="943634" w:themeColor="accent2" w:themeShade="BF"/>
          <w:szCs w:val="22"/>
        </w:rPr>
      </w:pPr>
      <w:r w:rsidRPr="00832B80">
        <w:rPr>
          <w:rFonts w:asciiTheme="minorHAnsi" w:hAnsiTheme="minorHAnsi" w:cstheme="minorHAnsi"/>
          <w:color w:val="943634" w:themeColor="accent2" w:themeShade="BF"/>
          <w:szCs w:val="22"/>
        </w:rPr>
        <w:t xml:space="preserve">It should be noted that the estimated WTE referred to above, does not in all cases mean a real reduction in employed staff.  This WTE reduction will be released through skill mix change, reduce usage of bank staff and efficiencies. </w:t>
      </w:r>
    </w:p>
    <w:p w14:paraId="1C31C056" w14:textId="18817C9F" w:rsidR="00D852F5" w:rsidRPr="00800207" w:rsidRDefault="00D852F5" w:rsidP="00832B80">
      <w:pPr>
        <w:pStyle w:val="Heading3"/>
        <w:rPr>
          <w:u w:val="single"/>
        </w:rPr>
      </w:pPr>
      <w:r w:rsidRPr="00800207">
        <w:t>Efficient and Effective Workforce Processes</w:t>
      </w:r>
    </w:p>
    <w:p w14:paraId="3BAC54EC" w14:textId="77777777" w:rsidR="00D852F5" w:rsidRPr="00317070" w:rsidRDefault="00D852F5" w:rsidP="00832B80">
      <w:pPr>
        <w:pStyle w:val="NormaBullet"/>
        <w:rPr>
          <w:color w:val="943634" w:themeColor="accent2" w:themeShade="BF"/>
        </w:rPr>
      </w:pPr>
      <w:r w:rsidRPr="00317070">
        <w:rPr>
          <w:color w:val="943634" w:themeColor="accent2" w:themeShade="BF"/>
        </w:rPr>
        <w:t>Workforce efficiency</w:t>
      </w:r>
    </w:p>
    <w:p w14:paraId="5D42A59E" w14:textId="77777777" w:rsidR="00D852F5" w:rsidRPr="00317070" w:rsidRDefault="00D852F5" w:rsidP="003B1653">
      <w:pPr>
        <w:pStyle w:val="NormaBullet"/>
        <w:numPr>
          <w:ilvl w:val="1"/>
          <w:numId w:val="5"/>
        </w:numPr>
        <w:ind w:left="709"/>
        <w:rPr>
          <w:color w:val="943634" w:themeColor="accent2" w:themeShade="BF"/>
        </w:rPr>
      </w:pPr>
      <w:r w:rsidRPr="00317070">
        <w:rPr>
          <w:color w:val="943634" w:themeColor="accent2" w:themeShade="BF"/>
        </w:rPr>
        <w:t>Medical</w:t>
      </w:r>
    </w:p>
    <w:p w14:paraId="60D88DF7" w14:textId="77777777" w:rsidR="00D852F5" w:rsidRPr="00317070" w:rsidRDefault="00D852F5" w:rsidP="003B1653">
      <w:pPr>
        <w:pStyle w:val="NormaBullet"/>
        <w:numPr>
          <w:ilvl w:val="1"/>
          <w:numId w:val="5"/>
        </w:numPr>
        <w:ind w:left="709"/>
        <w:rPr>
          <w:color w:val="943634" w:themeColor="accent2" w:themeShade="BF"/>
        </w:rPr>
      </w:pPr>
      <w:r w:rsidRPr="00317070">
        <w:rPr>
          <w:color w:val="943634" w:themeColor="accent2" w:themeShade="BF"/>
        </w:rPr>
        <w:t>Nursing</w:t>
      </w:r>
    </w:p>
    <w:p w14:paraId="02D6F211" w14:textId="76B3735A" w:rsidR="00D852F5" w:rsidRPr="00317070" w:rsidRDefault="00D852F5" w:rsidP="003B1653">
      <w:pPr>
        <w:pStyle w:val="NormaBullet"/>
        <w:numPr>
          <w:ilvl w:val="1"/>
          <w:numId w:val="5"/>
        </w:numPr>
        <w:ind w:left="709"/>
        <w:rPr>
          <w:color w:val="943634" w:themeColor="accent2" w:themeShade="BF"/>
        </w:rPr>
      </w:pPr>
      <w:r w:rsidRPr="00317070">
        <w:rPr>
          <w:color w:val="943634" w:themeColor="accent2" w:themeShade="BF"/>
        </w:rPr>
        <w:t>Other</w:t>
      </w:r>
    </w:p>
    <w:p w14:paraId="29C5DC62" w14:textId="1A761192" w:rsidR="00D852F5" w:rsidRPr="00317070" w:rsidRDefault="00D852F5" w:rsidP="00832B80">
      <w:pPr>
        <w:pStyle w:val="NormaBullet"/>
        <w:rPr>
          <w:color w:val="943634" w:themeColor="accent2" w:themeShade="BF"/>
        </w:rPr>
      </w:pPr>
      <w:r w:rsidRPr="00317070">
        <w:rPr>
          <w:color w:val="943634" w:themeColor="accent2" w:themeShade="BF"/>
        </w:rPr>
        <w:t>E-Systems and wider technology changes</w:t>
      </w:r>
    </w:p>
    <w:p w14:paraId="26A45D3B" w14:textId="77777777" w:rsidR="00D852F5" w:rsidRPr="00317070" w:rsidRDefault="00D852F5" w:rsidP="00832B80">
      <w:pPr>
        <w:pStyle w:val="NormaBullet"/>
        <w:rPr>
          <w:color w:val="943634" w:themeColor="accent2" w:themeShade="BF"/>
        </w:rPr>
      </w:pPr>
      <w:r w:rsidRPr="00317070">
        <w:rPr>
          <w:color w:val="943634" w:themeColor="accent2" w:themeShade="BF"/>
        </w:rPr>
        <w:t>Recruitment and Retention</w:t>
      </w:r>
    </w:p>
    <w:p w14:paraId="0A996F86" w14:textId="73B00F6E" w:rsidR="00D852F5" w:rsidRPr="00317070" w:rsidRDefault="00832B80" w:rsidP="00317070">
      <w:pPr>
        <w:pStyle w:val="NormalBulletIndent"/>
        <w:rPr>
          <w:color w:val="943634" w:themeColor="accent2" w:themeShade="BF"/>
        </w:rPr>
      </w:pPr>
      <w:r w:rsidRPr="00317070">
        <w:rPr>
          <w:color w:val="943634" w:themeColor="accent2" w:themeShade="BF"/>
        </w:rPr>
        <w:t>Medical</w:t>
      </w:r>
    </w:p>
    <w:p w14:paraId="3B5823A9" w14:textId="77777777" w:rsidR="00D852F5" w:rsidRPr="00317070" w:rsidRDefault="00D852F5" w:rsidP="00317070">
      <w:pPr>
        <w:pStyle w:val="NormalBulletIndent"/>
        <w:rPr>
          <w:color w:val="943634" w:themeColor="accent2" w:themeShade="BF"/>
        </w:rPr>
      </w:pPr>
      <w:r w:rsidRPr="00317070">
        <w:rPr>
          <w:color w:val="943634" w:themeColor="accent2" w:themeShade="BF"/>
        </w:rPr>
        <w:t>Nursing</w:t>
      </w:r>
    </w:p>
    <w:p w14:paraId="691E59D5" w14:textId="024A6B74" w:rsidR="00D852F5" w:rsidRPr="00317070" w:rsidRDefault="00D852F5" w:rsidP="00317070">
      <w:pPr>
        <w:pStyle w:val="NormalBulletIndent"/>
        <w:rPr>
          <w:color w:val="943634" w:themeColor="accent2" w:themeShade="BF"/>
        </w:rPr>
      </w:pPr>
      <w:r w:rsidRPr="00317070">
        <w:rPr>
          <w:color w:val="943634" w:themeColor="accent2" w:themeShade="BF"/>
        </w:rPr>
        <w:t>Other</w:t>
      </w:r>
    </w:p>
    <w:p w14:paraId="2A302C7F" w14:textId="77777777" w:rsidR="00317070" w:rsidRPr="00317070" w:rsidRDefault="00D852F5" w:rsidP="003B1653">
      <w:pPr>
        <w:pStyle w:val="ListParagraph"/>
        <w:numPr>
          <w:ilvl w:val="0"/>
          <w:numId w:val="66"/>
        </w:numPr>
        <w:spacing w:after="160" w:line="259" w:lineRule="auto"/>
        <w:jc w:val="left"/>
        <w:rPr>
          <w:color w:val="943634" w:themeColor="accent2" w:themeShade="BF"/>
        </w:rPr>
      </w:pPr>
      <w:r w:rsidRPr="00317070">
        <w:rPr>
          <w:color w:val="943634" w:themeColor="accent2" w:themeShade="BF"/>
          <w:szCs w:val="22"/>
        </w:rPr>
        <w:t>P</w:t>
      </w:r>
      <w:r w:rsidR="00317070" w:rsidRPr="00317070">
        <w:rPr>
          <w:color w:val="943634" w:themeColor="accent2" w:themeShade="BF"/>
          <w:szCs w:val="22"/>
        </w:rPr>
        <w:t>DR</w:t>
      </w:r>
    </w:p>
    <w:p w14:paraId="626FE59B" w14:textId="1527BFDC" w:rsidR="00317070" w:rsidRPr="00317070" w:rsidRDefault="00D852F5" w:rsidP="003B1653">
      <w:pPr>
        <w:pStyle w:val="ListParagraph"/>
        <w:numPr>
          <w:ilvl w:val="0"/>
          <w:numId w:val="66"/>
        </w:numPr>
        <w:spacing w:after="160" w:line="259" w:lineRule="auto"/>
        <w:jc w:val="left"/>
        <w:rPr>
          <w:color w:val="943634" w:themeColor="accent2" w:themeShade="BF"/>
        </w:rPr>
      </w:pPr>
      <w:r w:rsidRPr="00317070">
        <w:rPr>
          <w:color w:val="943634" w:themeColor="accent2" w:themeShade="BF"/>
        </w:rPr>
        <w:t>O</w:t>
      </w:r>
      <w:r w:rsidR="00317070" w:rsidRPr="00317070">
        <w:rPr>
          <w:color w:val="943634" w:themeColor="accent2" w:themeShade="BF"/>
        </w:rPr>
        <w:t>ver Arching Enablers</w:t>
      </w:r>
    </w:p>
    <w:p w14:paraId="17A8F513" w14:textId="79C86870" w:rsidR="00D852F5" w:rsidRDefault="00D852F5" w:rsidP="003B1653">
      <w:pPr>
        <w:pStyle w:val="ListParagraph"/>
        <w:numPr>
          <w:ilvl w:val="1"/>
          <w:numId w:val="60"/>
        </w:numPr>
        <w:spacing w:after="160" w:line="259" w:lineRule="auto"/>
        <w:jc w:val="left"/>
        <w:rPr>
          <w:color w:val="943634" w:themeColor="accent2" w:themeShade="BF"/>
          <w:szCs w:val="22"/>
        </w:rPr>
      </w:pPr>
      <w:r w:rsidRPr="00317070">
        <w:rPr>
          <w:color w:val="943634" w:themeColor="accent2" w:themeShade="BF"/>
          <w:szCs w:val="22"/>
        </w:rPr>
        <w:lastRenderedPageBreak/>
        <w:t>Nurse Staffing Act</w:t>
      </w:r>
    </w:p>
    <w:p w14:paraId="084C5F91" w14:textId="6D4071C1" w:rsidR="00317070" w:rsidRDefault="00317070" w:rsidP="00317070">
      <w:pPr>
        <w:autoSpaceDE w:val="0"/>
        <w:autoSpaceDN w:val="0"/>
        <w:rPr>
          <w:rFonts w:asciiTheme="minorHAnsi" w:hAnsiTheme="minorHAnsi" w:cstheme="minorHAnsi"/>
          <w:szCs w:val="22"/>
        </w:rPr>
      </w:pPr>
      <w:r w:rsidRPr="005E5CB8">
        <w:rPr>
          <w:rFonts w:asciiTheme="minorHAnsi" w:hAnsiTheme="minorHAnsi" w:cstheme="minorHAnsi"/>
          <w:noProof/>
          <w:szCs w:val="22"/>
          <w:highlight w:val="yellow"/>
        </w:rPr>
        <mc:AlternateContent>
          <mc:Choice Requires="wps">
            <w:drawing>
              <wp:anchor distT="0" distB="0" distL="114300" distR="114300" simplePos="0" relativeHeight="252857344" behindDoc="0" locked="0" layoutInCell="1" allowOverlap="1" wp14:anchorId="6EC2CBAF" wp14:editId="420CD902">
                <wp:simplePos x="0" y="0"/>
                <wp:positionH relativeFrom="column">
                  <wp:posOffset>1521460</wp:posOffset>
                </wp:positionH>
                <wp:positionV relativeFrom="paragraph">
                  <wp:posOffset>157480</wp:posOffset>
                </wp:positionV>
                <wp:extent cx="4127500" cy="749300"/>
                <wp:effectExtent l="0" t="0" r="25400" b="12700"/>
                <wp:wrapNone/>
                <wp:docPr id="21" name="Text Box 21"/>
                <wp:cNvGraphicFramePr/>
                <a:graphic xmlns:a="http://schemas.openxmlformats.org/drawingml/2006/main">
                  <a:graphicData uri="http://schemas.microsoft.com/office/word/2010/wordprocessingShape">
                    <wps:wsp>
                      <wps:cNvSpPr txBox="1"/>
                      <wps:spPr>
                        <a:xfrm>
                          <a:off x="0" y="0"/>
                          <a:ext cx="4127500" cy="749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38466A4" w14:textId="77777777" w:rsidR="006F090B" w:rsidRPr="00317070" w:rsidRDefault="006F090B" w:rsidP="00317070">
                            <w:pPr>
                              <w:rPr>
                                <w:color w:val="943634" w:themeColor="accent2" w:themeShade="BF"/>
                              </w:rPr>
                            </w:pPr>
                            <w:r w:rsidRPr="00937041">
                              <w:rPr>
                                <w:color w:val="943634" w:themeColor="accent2" w:themeShade="BF"/>
                              </w:rPr>
                              <w:t xml:space="preserve">We will have ………. e.g. </w:t>
                            </w:r>
                            <w:r w:rsidRPr="00937041">
                              <w:rPr>
                                <w:i/>
                                <w:color w:val="943634" w:themeColor="accent2" w:themeShade="BF"/>
                              </w:rPr>
                              <w:t>Reduced nurse vacancies: increased student recruitment from placements in CTM; stable turnover (</w:t>
                            </w:r>
                            <w:proofErr w:type="gramStart"/>
                            <w:r w:rsidRPr="00937041">
                              <w:rPr>
                                <w:i/>
                                <w:color w:val="943634" w:themeColor="accent2" w:themeShade="BF"/>
                              </w:rPr>
                              <w:t>x%</w:t>
                            </w:r>
                            <w:proofErr w:type="gramEnd"/>
                            <w:r w:rsidRPr="00937041">
                              <w:rPr>
                                <w:i/>
                                <w:color w:val="943634" w:themeColor="accent2" w:themeShade="BF"/>
                              </w:rPr>
                              <w:t>); reduction in agency/locum of x%; reduction in time to recruit; increased job planning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C2CBAF" id="Text Box 21" o:spid="_x0000_s1032" type="#_x0000_t202" style="position:absolute;left:0;text-align:left;margin-left:119.8pt;margin-top:12.4pt;width:325pt;height:59pt;z-index:252857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" fillcolor="white [3201]" strokeweight=".5pt">
                <v:textbox>
                  <w:txbxContent>
                    <w:p w14:paraId="638466A4" w14:textId="77777777" w:rsidR="006F090B" w:rsidRPr="00317070" w:rsidRDefault="006F090B" w:rsidP="00317070">
                      <w:pPr>
                        <w:rPr>
                          <w:color w:val="943634" w:themeColor="accent2" w:themeShade="BF"/>
                        </w:rPr>
                      </w:pPr>
                      <w:r w:rsidRPr="00937041">
                        <w:rPr>
                          <w:color w:val="943634" w:themeColor="accent2" w:themeShade="BF"/>
                        </w:rPr>
                        <w:t xml:space="preserve">We will have ………. e.g. </w:t>
                      </w:r>
                      <w:r w:rsidRPr="00937041">
                        <w:rPr>
                          <w:i/>
                          <w:color w:val="943634" w:themeColor="accent2" w:themeShade="BF"/>
                        </w:rPr>
                        <w:t>Reduced nurse vacancies: increased student recruitment from placements in CTM; stable turnover (</w:t>
                      </w:r>
                      <w:proofErr w:type="gramStart"/>
                      <w:r w:rsidRPr="00937041">
                        <w:rPr>
                          <w:i/>
                          <w:color w:val="943634" w:themeColor="accent2" w:themeShade="BF"/>
                        </w:rPr>
                        <w:t>x%</w:t>
                      </w:r>
                      <w:proofErr w:type="gramEnd"/>
                      <w:r w:rsidRPr="00937041">
                        <w:rPr>
                          <w:i/>
                          <w:color w:val="943634" w:themeColor="accent2" w:themeShade="BF"/>
                        </w:rPr>
                        <w:t>); reduction in agency/locum of x%; reduction in time to recruit; increased job planning</w:t>
                      </w:r>
                    </w:p>
                  </w:txbxContent>
                </v:textbox>
              </v:shape>
            </w:pict>
          </mc:Fallback>
        </mc:AlternateContent>
      </w:r>
      <w:r w:rsidRPr="005E5CB8">
        <w:rPr>
          <w:rFonts w:asciiTheme="minorHAnsi" w:hAnsiTheme="minorHAnsi" w:cstheme="minorHAnsi"/>
          <w:szCs w:val="22"/>
        </w:rPr>
        <w:t xml:space="preserve"> </w:t>
      </w:r>
      <w:r w:rsidRPr="005E5CB8">
        <w:rPr>
          <w:rFonts w:asciiTheme="minorHAnsi" w:hAnsiTheme="minorHAnsi" w:cstheme="minorHAnsi"/>
          <w:noProof/>
          <w:szCs w:val="22"/>
        </w:rPr>
        <w:drawing>
          <wp:inline distT="0" distB="0" distL="0" distR="0" wp14:anchorId="01EDF2E1" wp14:editId="208B4A5A">
            <wp:extent cx="5756910" cy="881743"/>
            <wp:effectExtent l="95250" t="57150" r="91440" b="109220"/>
            <wp:docPr id="51" name="Diagram 5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8" r:lo="rId79" r:qs="rId80" r:cs="rId81"/>
              </a:graphicData>
            </a:graphic>
          </wp:inline>
        </w:drawing>
      </w:r>
    </w:p>
    <w:p w14:paraId="74FAF7F8" w14:textId="77777777" w:rsidR="00317070" w:rsidRPr="005E5CB8" w:rsidRDefault="00317070" w:rsidP="00536402">
      <w:pPr>
        <w:pStyle w:val="Heading2"/>
      </w:pPr>
      <w:bookmarkStart w:id="164" w:name="_Toc25262186"/>
      <w:r w:rsidRPr="005E5CB8">
        <w:t>Development and Transformation</w:t>
      </w:r>
      <w:bookmarkEnd w:id="164"/>
      <w:r w:rsidRPr="005E5CB8">
        <w:t xml:space="preserve"> </w:t>
      </w:r>
    </w:p>
    <w:p w14:paraId="5B07CB12" w14:textId="51733C8D" w:rsidR="00317070" w:rsidRPr="005E5CB8" w:rsidRDefault="00317070" w:rsidP="00317070">
      <w:pPr>
        <w:pStyle w:val="ListParagraph"/>
        <w:autoSpaceDE w:val="0"/>
        <w:autoSpaceDN w:val="0"/>
        <w:ind w:left="840"/>
        <w:rPr>
          <w:rFonts w:asciiTheme="minorHAnsi" w:hAnsiTheme="minorHAnsi" w:cstheme="minorHAnsi"/>
          <w:szCs w:val="22"/>
        </w:rPr>
      </w:pPr>
      <w:r w:rsidRPr="005E5CB8">
        <w:rPr>
          <w:rFonts w:asciiTheme="minorHAnsi" w:hAnsiTheme="minorHAnsi" w:cstheme="minorHAnsi"/>
          <w:b/>
          <w:noProof/>
          <w:szCs w:val="22"/>
        </w:rPr>
        <w:drawing>
          <wp:anchor distT="0" distB="0" distL="114300" distR="114300" simplePos="0" relativeHeight="252858368" behindDoc="0" locked="0" layoutInCell="1" allowOverlap="1" wp14:anchorId="1AB02369" wp14:editId="3A1AD50E">
            <wp:simplePos x="0" y="0"/>
            <wp:positionH relativeFrom="margin">
              <wp:posOffset>-62544</wp:posOffset>
            </wp:positionH>
            <wp:positionV relativeFrom="paragraph">
              <wp:posOffset>187499</wp:posOffset>
            </wp:positionV>
            <wp:extent cx="1014730" cy="717550"/>
            <wp:effectExtent l="0" t="0" r="0" b="6350"/>
            <wp:wrapSquare wrapText="bothSides"/>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png"/>
                    <pic:cNvPicPr/>
                  </pic:nvPicPr>
                  <pic:blipFill>
                    <a:blip r:embed="rId83" cstate="print">
                      <a:extLst>
                        <a:ext uri="{28A0092B-C50C-407E-A947-70E740481C1C}">
                          <a14:useLocalDpi xmlns:a14="http://schemas.microsoft.com/office/drawing/2010/main" val="0"/>
                        </a:ext>
                      </a:extLst>
                    </a:blip>
                    <a:stretch>
                      <a:fillRect/>
                    </a:stretch>
                  </pic:blipFill>
                  <pic:spPr>
                    <a:xfrm>
                      <a:off x="0" y="0"/>
                      <a:ext cx="1014730" cy="717550"/>
                    </a:xfrm>
                    <a:prstGeom prst="rect">
                      <a:avLst/>
                    </a:prstGeom>
                  </pic:spPr>
                </pic:pic>
              </a:graphicData>
            </a:graphic>
            <wp14:sizeRelH relativeFrom="margin">
              <wp14:pctWidth>0</wp14:pctWidth>
            </wp14:sizeRelH>
            <wp14:sizeRelV relativeFrom="margin">
              <wp14:pctHeight>0</wp14:pctHeight>
            </wp14:sizeRelV>
          </wp:anchor>
        </w:drawing>
      </w:r>
    </w:p>
    <w:p w14:paraId="24BBE2BE" w14:textId="289B41ED" w:rsidR="00317070" w:rsidRPr="00317070" w:rsidRDefault="00536402" w:rsidP="00317070">
      <w:pPr>
        <w:spacing w:after="160" w:line="259" w:lineRule="auto"/>
        <w:jc w:val="left"/>
        <w:rPr>
          <w:color w:val="943634" w:themeColor="accent2" w:themeShade="BF"/>
          <w:szCs w:val="22"/>
        </w:rPr>
      </w:pPr>
      <w:r w:rsidRPr="005E5CB8">
        <w:rPr>
          <w:rFonts w:asciiTheme="minorHAnsi" w:hAnsiTheme="minorHAnsi" w:cstheme="minorHAnsi"/>
          <w:szCs w:val="22"/>
        </w:rPr>
        <w:t>A Healthier Wales: “A key feature of any positive employment offer is the opportunity to learn  and to develop and here new, community based models of care provide a real opportunity to re-evaluate education and training and to develop more flexible career pathways. Specific.  Education and training needs will differ for each staff group and profession”</w:t>
      </w:r>
    </w:p>
    <w:p w14:paraId="2F19BF6E" w14:textId="44B98063" w:rsidR="00D852F5" w:rsidRPr="00800207" w:rsidRDefault="00D852F5" w:rsidP="00536402">
      <w:pPr>
        <w:pStyle w:val="Heading3"/>
      </w:pPr>
      <w:r w:rsidRPr="00800207">
        <w:t xml:space="preserve">Skills development </w:t>
      </w:r>
    </w:p>
    <w:p w14:paraId="4CCB2C3B" w14:textId="6BA64CB7" w:rsidR="00D852F5" w:rsidRPr="00800207" w:rsidRDefault="00536402" w:rsidP="00536402">
      <w:pPr>
        <w:autoSpaceDE w:val="0"/>
        <w:autoSpaceDN w:val="0"/>
        <w:adjustRightInd w:val="0"/>
        <w:rPr>
          <w:rFonts w:cs="Calibri"/>
          <w:szCs w:val="22"/>
        </w:rPr>
      </w:pPr>
      <w:r w:rsidRPr="005E5CB8">
        <w:rPr>
          <w:rFonts w:asciiTheme="minorHAnsi" w:hAnsiTheme="minorHAnsi" w:cstheme="minorHAnsi"/>
          <w:szCs w:val="22"/>
        </w:rPr>
        <w:t>Learning and development approach which supports the overall organisation development direction of building a distributed leadership model, empowering staff with increased autonomy to improve services.  Enhancing team performance through the development of staff skills to improve quality and safety at all levels.   Ensuring</w:t>
      </w:r>
      <w:r w:rsidRPr="005E5CB8">
        <w:rPr>
          <w:rFonts w:asciiTheme="minorHAnsi" w:hAnsiTheme="minorHAnsi" w:cstheme="minorHAnsi"/>
          <w:color w:val="2E75B6"/>
          <w:szCs w:val="22"/>
        </w:rPr>
        <w:t xml:space="preserve"> </w:t>
      </w:r>
      <w:r w:rsidRPr="005E5CB8">
        <w:rPr>
          <w:rFonts w:asciiTheme="minorHAnsi" w:hAnsiTheme="minorHAnsi" w:cstheme="minorHAnsi"/>
          <w:szCs w:val="22"/>
        </w:rPr>
        <w:t>maximum return on investment for what the HB invests in skills development.  Prioritisation of those skills that have greatest impact on delivery of clinical service strategy and quality improvement</w:t>
      </w:r>
      <w:r>
        <w:rPr>
          <w:rFonts w:asciiTheme="minorHAnsi" w:hAnsiTheme="minorHAnsi" w:cstheme="minorHAnsi"/>
          <w:szCs w:val="22"/>
        </w:rPr>
        <w:t xml:space="preserve"> </w:t>
      </w:r>
      <w:r w:rsidR="00D852F5" w:rsidRPr="00800207">
        <w:rPr>
          <w:szCs w:val="22"/>
        </w:rPr>
        <w:t>Priorities include:</w:t>
      </w:r>
    </w:p>
    <w:p w14:paraId="4B5C8FCA" w14:textId="2BA3BF90" w:rsidR="00D852F5" w:rsidRPr="00536402" w:rsidRDefault="00D852F5" w:rsidP="003B1653">
      <w:pPr>
        <w:pStyle w:val="ListParagraph"/>
        <w:numPr>
          <w:ilvl w:val="0"/>
          <w:numId w:val="62"/>
        </w:numPr>
        <w:spacing w:after="160" w:line="259" w:lineRule="auto"/>
        <w:rPr>
          <w:color w:val="943634" w:themeColor="accent2" w:themeShade="BF"/>
          <w:szCs w:val="22"/>
        </w:rPr>
      </w:pPr>
      <w:r w:rsidRPr="00536402">
        <w:rPr>
          <w:color w:val="943634" w:themeColor="accent2" w:themeShade="BF"/>
          <w:szCs w:val="22"/>
        </w:rPr>
        <w:t>Primary Care development</w:t>
      </w:r>
    </w:p>
    <w:p w14:paraId="39050A48" w14:textId="1D9BA2A7" w:rsidR="00D852F5" w:rsidRPr="00536402" w:rsidRDefault="00536402" w:rsidP="00536402">
      <w:pPr>
        <w:pStyle w:val="Heading3"/>
      </w:pPr>
      <w:r w:rsidRPr="00536402">
        <w:t>C</w:t>
      </w:r>
      <w:r w:rsidR="00D852F5" w:rsidRPr="00536402">
        <w:t>linical Education - Strategic Professional Education</w:t>
      </w:r>
    </w:p>
    <w:p w14:paraId="377171DF" w14:textId="77777777" w:rsidR="00536402" w:rsidRPr="005E5CB8" w:rsidRDefault="00536402" w:rsidP="00536402">
      <w:pPr>
        <w:rPr>
          <w:rFonts w:asciiTheme="minorHAnsi" w:hAnsiTheme="minorHAnsi" w:cstheme="minorHAnsi"/>
          <w:szCs w:val="22"/>
        </w:rPr>
      </w:pPr>
      <w:r w:rsidRPr="005E5CB8">
        <w:rPr>
          <w:rFonts w:asciiTheme="minorHAnsi" w:hAnsiTheme="minorHAnsi" w:cstheme="minorHAnsi"/>
          <w:szCs w:val="22"/>
        </w:rPr>
        <w:t>The focus for Clinical Education over 2020-23 is to establish robust education governance systems and standards through which we will manage and control our educational activity, providing clarity and routes of escalation through to board, demonstrating accountability for continuous improvement of quality and performance and ensuring all our healthcare professional staff are fit for practice and fit for purpose.</w:t>
      </w:r>
    </w:p>
    <w:p w14:paraId="162A5154" w14:textId="77777777" w:rsidR="00536402" w:rsidRPr="005E5CB8" w:rsidRDefault="00536402" w:rsidP="00536402">
      <w:pPr>
        <w:rPr>
          <w:rFonts w:asciiTheme="minorHAnsi" w:hAnsiTheme="minorHAnsi" w:cstheme="minorHAnsi"/>
          <w:i/>
          <w:szCs w:val="22"/>
        </w:rPr>
      </w:pPr>
      <w:r w:rsidRPr="005E5CB8">
        <w:rPr>
          <w:rFonts w:asciiTheme="minorHAnsi" w:hAnsiTheme="minorHAnsi" w:cstheme="minorHAnsi"/>
          <w:szCs w:val="22"/>
        </w:rPr>
        <w:t>Cwm Taf Morgannwg has a multi-professional clinical education function bringing together undergraduate and post-graduate education and training for medical, nursing &amp; midwifery, Allied healthcare professions, pharmacy and health care scientists.</w:t>
      </w:r>
    </w:p>
    <w:p w14:paraId="707ECAC5" w14:textId="77777777" w:rsidR="00536402" w:rsidRPr="005E5CB8" w:rsidRDefault="00536402" w:rsidP="00536402">
      <w:pPr>
        <w:rPr>
          <w:rFonts w:asciiTheme="minorHAnsi" w:hAnsiTheme="minorHAnsi" w:cstheme="minorHAnsi"/>
          <w:szCs w:val="22"/>
        </w:rPr>
      </w:pPr>
      <w:r w:rsidRPr="005E5CB8">
        <w:rPr>
          <w:rFonts w:asciiTheme="minorHAnsi" w:hAnsiTheme="minorHAnsi" w:cstheme="minorHAnsi"/>
          <w:szCs w:val="22"/>
        </w:rPr>
        <w:t>An Education Governance Board will be established with a named Executive lead for multi-professional education. This board will be supported by Undergraduate/ pre-registration and postgraduate/ post-registration &amp; advanced practice education committees undertaking a quality assurance and risk management approach.</w:t>
      </w:r>
    </w:p>
    <w:p w14:paraId="4B35DDCE" w14:textId="77777777" w:rsidR="00536402" w:rsidRPr="005E5CB8" w:rsidRDefault="00536402" w:rsidP="00536402">
      <w:pPr>
        <w:rPr>
          <w:rFonts w:asciiTheme="minorHAnsi" w:hAnsiTheme="minorHAnsi" w:cstheme="minorHAnsi"/>
          <w:szCs w:val="22"/>
        </w:rPr>
      </w:pPr>
      <w:r w:rsidRPr="005E5CB8">
        <w:rPr>
          <w:rFonts w:asciiTheme="minorHAnsi" w:hAnsiTheme="minorHAnsi" w:cstheme="minorHAnsi"/>
          <w:szCs w:val="22"/>
        </w:rPr>
        <w:t>Organisational education and training activity for all healthcare professions will be;</w:t>
      </w:r>
    </w:p>
    <w:p w14:paraId="6C8AF396" w14:textId="77777777" w:rsidR="00536402" w:rsidRPr="005E5CB8" w:rsidRDefault="00536402" w:rsidP="00536402">
      <w:pPr>
        <w:pStyle w:val="NormaBullet"/>
      </w:pPr>
      <w:r w:rsidRPr="005E5CB8">
        <w:t>Mapped to gain clarity on current organisational delivery demand and capacity.</w:t>
      </w:r>
    </w:p>
    <w:p w14:paraId="29AFB3D6" w14:textId="77777777" w:rsidR="00536402" w:rsidRPr="005E5CB8" w:rsidRDefault="00536402" w:rsidP="00536402">
      <w:pPr>
        <w:pStyle w:val="NormaBullet"/>
      </w:pPr>
      <w:r w:rsidRPr="005E5CB8">
        <w:t>Evaluated for quality and compliance with regulatory requirements</w:t>
      </w:r>
    </w:p>
    <w:p w14:paraId="5492D369" w14:textId="77777777" w:rsidR="00536402" w:rsidRPr="005E5CB8" w:rsidRDefault="00536402" w:rsidP="00536402">
      <w:pPr>
        <w:pStyle w:val="NormaBullet"/>
      </w:pPr>
      <w:r w:rsidRPr="005E5CB8">
        <w:t>Evaluated for return on investment.</w:t>
      </w:r>
    </w:p>
    <w:p w14:paraId="1FC5459A" w14:textId="77777777" w:rsidR="00536402" w:rsidRPr="005E5CB8" w:rsidRDefault="00536402" w:rsidP="00536402">
      <w:pPr>
        <w:pStyle w:val="NormaBullet"/>
      </w:pPr>
      <w:r w:rsidRPr="005E5CB8">
        <w:t>Aligned with service development priorities and training needs analysis.</w:t>
      </w:r>
    </w:p>
    <w:p w14:paraId="6E0BF258" w14:textId="77777777" w:rsidR="00536402" w:rsidRPr="005E5CB8" w:rsidRDefault="00536402" w:rsidP="00536402">
      <w:pPr>
        <w:rPr>
          <w:rFonts w:asciiTheme="minorHAnsi" w:hAnsiTheme="minorHAnsi" w:cstheme="minorHAnsi"/>
          <w:szCs w:val="22"/>
        </w:rPr>
      </w:pPr>
    </w:p>
    <w:p w14:paraId="5B5D0C28" w14:textId="77777777" w:rsidR="00536402" w:rsidRPr="005E5CB8" w:rsidRDefault="00536402" w:rsidP="00536402">
      <w:pPr>
        <w:rPr>
          <w:rFonts w:asciiTheme="minorHAnsi" w:hAnsiTheme="minorHAnsi" w:cstheme="minorHAnsi"/>
          <w:szCs w:val="22"/>
        </w:rPr>
      </w:pPr>
      <w:r w:rsidRPr="005E5CB8">
        <w:rPr>
          <w:rFonts w:asciiTheme="minorHAnsi" w:hAnsiTheme="minorHAnsi" w:cstheme="minorHAnsi"/>
          <w:szCs w:val="22"/>
        </w:rPr>
        <w:t>We will ensure that our education offer to our current staff is optimised to support and underpin retention, explore ways to increase our capacity to support undergraduate clinical placements and increase multi-professional learning and development at all levels.</w:t>
      </w:r>
    </w:p>
    <w:p w14:paraId="23A53BDE" w14:textId="16E96CAD" w:rsidR="00536402" w:rsidRPr="00E334A5" w:rsidRDefault="00536402" w:rsidP="00536402">
      <w:pPr>
        <w:rPr>
          <w:rFonts w:asciiTheme="minorHAnsi" w:hAnsiTheme="minorHAnsi" w:cstheme="minorHAnsi"/>
          <w:szCs w:val="22"/>
        </w:rPr>
      </w:pPr>
      <w:r w:rsidRPr="005E5CB8">
        <w:rPr>
          <w:rFonts w:asciiTheme="minorHAnsi" w:hAnsiTheme="minorHAnsi" w:cstheme="minorHAnsi"/>
          <w:szCs w:val="22"/>
        </w:rPr>
        <w:t xml:space="preserve">The UHB has introduced a 6 week development programme for new Consultant and experienced SAS doctors. This programme has been co-developed and contains for example quality governance, concerns/complaints and </w:t>
      </w:r>
      <w:r w:rsidRPr="00E334A5">
        <w:rPr>
          <w:rFonts w:asciiTheme="minorHAnsi" w:hAnsiTheme="minorHAnsi" w:cstheme="minorHAnsi"/>
          <w:szCs w:val="22"/>
        </w:rPr>
        <w:t>values based health care.  The 1</w:t>
      </w:r>
      <w:r w:rsidRPr="00E334A5">
        <w:rPr>
          <w:rFonts w:asciiTheme="minorHAnsi" w:hAnsiTheme="minorHAnsi" w:cstheme="minorHAnsi"/>
          <w:szCs w:val="22"/>
          <w:vertAlign w:val="superscript"/>
        </w:rPr>
        <w:t>st</w:t>
      </w:r>
      <w:r w:rsidRPr="00E334A5">
        <w:rPr>
          <w:rFonts w:asciiTheme="minorHAnsi" w:hAnsiTheme="minorHAnsi" w:cstheme="minorHAnsi"/>
          <w:szCs w:val="22"/>
        </w:rPr>
        <w:t xml:space="preserve"> cohort is nearing completion with the next due to start in November 2019.</w:t>
      </w:r>
    </w:p>
    <w:p w14:paraId="14F6888C" w14:textId="77777777" w:rsidR="00536402" w:rsidRPr="00E334A5" w:rsidRDefault="00536402" w:rsidP="00536402">
      <w:pPr>
        <w:pStyle w:val="NormaBullet"/>
        <w:rPr>
          <w:color w:val="943634" w:themeColor="accent2" w:themeShade="BF"/>
        </w:rPr>
      </w:pPr>
      <w:r w:rsidRPr="00E334A5">
        <w:rPr>
          <w:color w:val="943634" w:themeColor="accent2" w:themeShade="BF"/>
        </w:rPr>
        <w:t>Changes to Nursing standards for Education and Training</w:t>
      </w:r>
    </w:p>
    <w:p w14:paraId="50E10E9E" w14:textId="77777777" w:rsidR="00536402" w:rsidRPr="00E334A5" w:rsidRDefault="00536402" w:rsidP="00536402">
      <w:pPr>
        <w:pStyle w:val="NormaBullet"/>
        <w:rPr>
          <w:b/>
          <w:color w:val="943634" w:themeColor="accent2" w:themeShade="BF"/>
          <w:u w:val="single"/>
        </w:rPr>
      </w:pPr>
      <w:r w:rsidRPr="00E334A5">
        <w:rPr>
          <w:color w:val="943634" w:themeColor="accent2" w:themeShade="BF"/>
        </w:rPr>
        <w:t xml:space="preserve">Part time nursing </w:t>
      </w:r>
    </w:p>
    <w:p w14:paraId="7DE1F9A8" w14:textId="50ACCF52" w:rsidR="00536402" w:rsidRPr="00E334A5" w:rsidRDefault="00536402" w:rsidP="00536402">
      <w:pPr>
        <w:pStyle w:val="NormaBullet"/>
        <w:rPr>
          <w:color w:val="943634" w:themeColor="accent2" w:themeShade="BF"/>
        </w:rPr>
      </w:pPr>
      <w:r w:rsidRPr="00E334A5">
        <w:rPr>
          <w:color w:val="943634" w:themeColor="accent2" w:themeShade="BF"/>
        </w:rPr>
        <w:t>Alternative practitioner development (including non-traditional education pathways)</w:t>
      </w:r>
    </w:p>
    <w:p w14:paraId="61339665" w14:textId="77777777" w:rsidR="00536402" w:rsidRPr="00E334A5" w:rsidRDefault="00536402" w:rsidP="00536402">
      <w:pPr>
        <w:pStyle w:val="NormaBullet"/>
        <w:rPr>
          <w:color w:val="943634" w:themeColor="accent2" w:themeShade="BF"/>
        </w:rPr>
      </w:pPr>
      <w:r w:rsidRPr="00E334A5">
        <w:rPr>
          <w:color w:val="943634" w:themeColor="accent2" w:themeShade="BF"/>
        </w:rPr>
        <w:t xml:space="preserve">HCSW – Apprentices </w:t>
      </w:r>
    </w:p>
    <w:p w14:paraId="06879F83" w14:textId="77777777" w:rsidR="00D852F5" w:rsidRPr="00800207" w:rsidRDefault="00D852F5" w:rsidP="00D852F5">
      <w:pPr>
        <w:rPr>
          <w:szCs w:val="22"/>
        </w:rPr>
      </w:pPr>
    </w:p>
    <w:p w14:paraId="1BFF0D94" w14:textId="109A60E5" w:rsidR="00D852F5" w:rsidRPr="00800207" w:rsidRDefault="00D852F5" w:rsidP="00536402">
      <w:pPr>
        <w:pStyle w:val="Heading3"/>
      </w:pPr>
      <w:r w:rsidRPr="00800207">
        <w:t xml:space="preserve">Workforce Transformation </w:t>
      </w:r>
    </w:p>
    <w:p w14:paraId="1C388215" w14:textId="77777777" w:rsidR="00536402" w:rsidRDefault="00536402" w:rsidP="00D852F5">
      <w:pPr>
        <w:rPr>
          <w:rFonts w:asciiTheme="minorHAnsi" w:hAnsiTheme="minorHAnsi" w:cstheme="minorHAnsi"/>
          <w:szCs w:val="22"/>
        </w:rPr>
      </w:pPr>
      <w:r w:rsidRPr="005E5CB8">
        <w:rPr>
          <w:rFonts w:asciiTheme="minorHAnsi" w:hAnsiTheme="minorHAnsi" w:cstheme="minorHAnsi"/>
          <w:szCs w:val="22"/>
        </w:rPr>
        <w:t xml:space="preserve">Consistency in clinical standards and professional practice, providing the best quality and         outcomes across all our services.  Supported by right staff with right skills, effective workforce models of delivery etc.  </w:t>
      </w:r>
      <w:r w:rsidRPr="005E5CB8">
        <w:rPr>
          <w:rFonts w:asciiTheme="minorHAnsi" w:hAnsiTheme="minorHAnsi" w:cstheme="minorHAnsi"/>
          <w:b/>
          <w:bCs/>
          <w:szCs w:val="22"/>
        </w:rPr>
        <w:t xml:space="preserve">Community Focused. </w:t>
      </w:r>
      <w:r w:rsidRPr="005E5CB8">
        <w:rPr>
          <w:rFonts w:asciiTheme="minorHAnsi" w:hAnsiTheme="minorHAnsi" w:cstheme="minorHAnsi"/>
          <w:szCs w:val="22"/>
        </w:rPr>
        <w:t>Local community needs met through a community and prevention focus. System Leadership which serves the whole person’s needs, not just part.</w:t>
      </w:r>
    </w:p>
    <w:p w14:paraId="2835A66C" w14:textId="77777777" w:rsidR="00536402" w:rsidRDefault="00536402" w:rsidP="00D852F5">
      <w:pPr>
        <w:rPr>
          <w:rFonts w:asciiTheme="minorHAnsi" w:hAnsiTheme="minorHAnsi" w:cstheme="minorHAnsi"/>
          <w:szCs w:val="22"/>
        </w:rPr>
      </w:pPr>
    </w:p>
    <w:p w14:paraId="21101688" w14:textId="3EE311FB" w:rsidR="00D852F5" w:rsidRPr="00536402" w:rsidRDefault="00D852F5" w:rsidP="00D852F5">
      <w:pPr>
        <w:rPr>
          <w:b/>
          <w:color w:val="943634" w:themeColor="accent2" w:themeShade="BF"/>
          <w:szCs w:val="22"/>
        </w:rPr>
      </w:pPr>
      <w:r w:rsidRPr="00536402">
        <w:rPr>
          <w:b/>
          <w:color w:val="943634" w:themeColor="accent2" w:themeShade="BF"/>
          <w:szCs w:val="22"/>
        </w:rPr>
        <w:t>Cluster Workforce Plan</w:t>
      </w:r>
    </w:p>
    <w:p w14:paraId="70F88D67" w14:textId="77777777" w:rsidR="00536402" w:rsidRPr="00536402" w:rsidRDefault="00536402" w:rsidP="00536402">
      <w:pPr>
        <w:rPr>
          <w:rFonts w:asciiTheme="minorHAnsi" w:hAnsiTheme="minorHAnsi" w:cstheme="minorHAnsi"/>
          <w:color w:val="943634" w:themeColor="accent2" w:themeShade="BF"/>
          <w:szCs w:val="22"/>
        </w:rPr>
      </w:pPr>
      <w:r w:rsidRPr="00536402">
        <w:rPr>
          <w:rFonts w:asciiTheme="minorHAnsi" w:hAnsiTheme="minorHAnsi" w:cstheme="minorHAnsi"/>
          <w:color w:val="943634" w:themeColor="accent2" w:themeShade="BF"/>
          <w:szCs w:val="22"/>
        </w:rPr>
        <w:t>Transformation fund project- Development of new staffing models especially in primary / community care (SWYC – evaluation of workforce models) underpinned by integrated workforce plans.</w:t>
      </w:r>
    </w:p>
    <w:p w14:paraId="0A559392" w14:textId="77777777" w:rsidR="00536402" w:rsidRPr="00536402" w:rsidRDefault="00536402" w:rsidP="00536402">
      <w:pPr>
        <w:rPr>
          <w:rFonts w:asciiTheme="minorHAnsi" w:hAnsiTheme="minorHAnsi" w:cstheme="minorHAnsi"/>
          <w:color w:val="943634" w:themeColor="accent2" w:themeShade="BF"/>
          <w:szCs w:val="22"/>
        </w:rPr>
      </w:pPr>
      <w:r w:rsidRPr="00536402">
        <w:rPr>
          <w:rFonts w:asciiTheme="minorHAnsi" w:hAnsiTheme="minorHAnsi" w:cstheme="minorHAnsi"/>
          <w:color w:val="943634" w:themeColor="accent2" w:themeShade="BF"/>
          <w:szCs w:val="22"/>
        </w:rPr>
        <w:t>Examples – change workforce models, skill mix changes, services delivered in alternative locations etc. (secondary and PC examples given)</w:t>
      </w:r>
    </w:p>
    <w:p w14:paraId="7A74C45D" w14:textId="77777777" w:rsidR="00536402" w:rsidRPr="00536402" w:rsidRDefault="00536402" w:rsidP="00536402">
      <w:pPr>
        <w:rPr>
          <w:rFonts w:asciiTheme="minorHAnsi" w:hAnsiTheme="minorHAnsi" w:cstheme="minorHAnsi"/>
          <w:color w:val="943634" w:themeColor="accent2" w:themeShade="BF"/>
          <w:szCs w:val="22"/>
        </w:rPr>
      </w:pPr>
    </w:p>
    <w:p w14:paraId="12872B3A" w14:textId="77777777" w:rsidR="00536402" w:rsidRPr="00536402" w:rsidRDefault="00536402" w:rsidP="00536402">
      <w:pPr>
        <w:rPr>
          <w:rFonts w:asciiTheme="minorHAnsi" w:hAnsiTheme="minorHAnsi" w:cstheme="minorHAnsi"/>
          <w:szCs w:val="22"/>
        </w:rPr>
      </w:pPr>
      <w:r w:rsidRPr="00536402">
        <w:rPr>
          <w:rFonts w:asciiTheme="minorHAnsi" w:hAnsiTheme="minorHAnsi" w:cstheme="minorHAnsi"/>
          <w:szCs w:val="22"/>
        </w:rPr>
        <w:t>The UHB has a strong Ambulatory Emergency Care service which is consultant lead and delivered/supported by Advance Nurse Practitioners and trainees.  Further development of the Ambulatory Emergency Care in POW should help patient flow and will be part of the redesign of the front door.</w:t>
      </w:r>
    </w:p>
    <w:p w14:paraId="0CD24A30" w14:textId="77777777" w:rsidR="00536402" w:rsidRPr="00536402" w:rsidRDefault="00536402" w:rsidP="00536402">
      <w:pPr>
        <w:rPr>
          <w:rFonts w:asciiTheme="minorHAnsi" w:hAnsiTheme="minorHAnsi" w:cstheme="minorHAnsi"/>
          <w:szCs w:val="22"/>
        </w:rPr>
      </w:pPr>
    </w:p>
    <w:p w14:paraId="7F1B1198" w14:textId="6692123B" w:rsidR="00D852F5" w:rsidRDefault="00536402" w:rsidP="00536402">
      <w:pPr>
        <w:rPr>
          <w:rFonts w:asciiTheme="minorHAnsi" w:hAnsiTheme="minorHAnsi" w:cstheme="minorHAnsi"/>
          <w:szCs w:val="22"/>
        </w:rPr>
      </w:pPr>
      <w:r w:rsidRPr="00536402">
        <w:rPr>
          <w:rFonts w:asciiTheme="minorHAnsi" w:hAnsiTheme="minorHAnsi" w:cstheme="minorHAnsi"/>
          <w:szCs w:val="22"/>
        </w:rPr>
        <w:t>A new model of care for patients medically fit for discharge has been piloted in our community hospital Ysbyty Cwm Cynon. Ward 1 is made up of registered staff and HCSW by day looking after patients who need enhanced care.  On the other end of the ward, totally independently, HCSWs are responsible the care of up to 8 patients in individual cubicles who are medically fit for discharge. The HCSW team work during the day while the unit is covered by 2 registered staff by night, these registered nurses undertake an initial assessment and develop a care plan.  The HCSW then mirror the care plan and help their readiness for discharge and can suggest changes that may be required to the care plan to aid in the prevent readmissions.  This is also an example how effective delegation can impact on patients, staff and the service.</w:t>
      </w:r>
    </w:p>
    <w:p w14:paraId="14D562B7" w14:textId="77777777" w:rsidR="00536402" w:rsidRPr="005E5CB8" w:rsidRDefault="00536402" w:rsidP="00536402">
      <w:pPr>
        <w:rPr>
          <w:rFonts w:asciiTheme="minorHAnsi" w:hAnsiTheme="minorHAnsi" w:cstheme="minorHAnsi"/>
          <w:szCs w:val="22"/>
        </w:rPr>
      </w:pPr>
    </w:p>
    <w:p w14:paraId="3F6D8E38" w14:textId="2448CFA6" w:rsidR="00D852F5" w:rsidRPr="00536402" w:rsidRDefault="00536402" w:rsidP="00536402">
      <w:pPr>
        <w:rPr>
          <w:rFonts w:asciiTheme="minorHAnsi" w:hAnsiTheme="minorHAnsi" w:cstheme="minorHAnsi"/>
          <w:b/>
          <w:szCs w:val="22"/>
          <w:u w:val="single"/>
        </w:rPr>
      </w:pPr>
      <w:r w:rsidRPr="005E5CB8">
        <w:rPr>
          <w:rFonts w:asciiTheme="minorHAnsi" w:hAnsiTheme="minorHAnsi" w:cstheme="minorHAnsi"/>
          <w:noProof/>
          <w:szCs w:val="22"/>
        </w:rPr>
        <mc:AlternateContent>
          <mc:Choice Requires="wps">
            <w:drawing>
              <wp:anchor distT="0" distB="0" distL="114300" distR="114300" simplePos="0" relativeHeight="252864512" behindDoc="0" locked="0" layoutInCell="1" allowOverlap="1" wp14:anchorId="3D9576CE" wp14:editId="29FB964D">
                <wp:simplePos x="0" y="0"/>
                <wp:positionH relativeFrom="column">
                  <wp:posOffset>1377950</wp:posOffset>
                </wp:positionH>
                <wp:positionV relativeFrom="paragraph">
                  <wp:posOffset>153035</wp:posOffset>
                </wp:positionV>
                <wp:extent cx="4248150" cy="654050"/>
                <wp:effectExtent l="0" t="0" r="19050" b="12700"/>
                <wp:wrapNone/>
                <wp:docPr id="29" name="Text Box 29"/>
                <wp:cNvGraphicFramePr/>
                <a:graphic xmlns:a="http://schemas.openxmlformats.org/drawingml/2006/main">
                  <a:graphicData uri="http://schemas.microsoft.com/office/word/2010/wordprocessingShape">
                    <wps:wsp>
                      <wps:cNvSpPr txBox="1"/>
                      <wps:spPr>
                        <a:xfrm>
                          <a:off x="0" y="0"/>
                          <a:ext cx="4248150" cy="654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4FE267F" w14:textId="4C327519" w:rsidR="006F090B" w:rsidRPr="008D4068" w:rsidRDefault="006F090B" w:rsidP="00536402">
                            <w:pPr>
                              <w:rPr>
                                <w:i/>
                              </w:rPr>
                            </w:pPr>
                            <w:r>
                              <w:rPr>
                                <w:color w:val="943634" w:themeColor="accent2" w:themeShade="BF"/>
                              </w:rPr>
                              <w:t xml:space="preserve">We will have </w:t>
                            </w:r>
                            <w:r w:rsidRPr="00536402">
                              <w:rPr>
                                <w:color w:val="943634" w:themeColor="accent2" w:themeShade="BF"/>
                              </w:rPr>
                              <w:t xml:space="preserve">e.g. </w:t>
                            </w:r>
                            <w:r w:rsidRPr="00536402">
                              <w:rPr>
                                <w:i/>
                                <w:color w:val="943634" w:themeColor="accent2" w:themeShade="BF"/>
                              </w:rPr>
                              <w:t>via staff survey:  access to training and development; improved opportunity</w:t>
                            </w:r>
                            <w:r w:rsidRPr="00536402">
                              <w:rPr>
                                <w:color w:val="943634" w:themeColor="accent2" w:themeShade="BF"/>
                              </w:rPr>
                              <w:t xml:space="preserve"> </w:t>
                            </w:r>
                            <w:r w:rsidRPr="00536402">
                              <w:rPr>
                                <w:i/>
                                <w:color w:val="943634" w:themeColor="accent2" w:themeShade="BF"/>
                              </w:rPr>
                              <w:t xml:space="preserve">to innovate; improved experience of team working; increased ROI in priority areas e.g. investment in HCSW </w:t>
                            </w:r>
                            <w:r>
                              <w:rPr>
                                <w:i/>
                              </w:rPr>
                              <w:t>conversion.</w:t>
                            </w:r>
                          </w:p>
                          <w:p w14:paraId="5517CDE0" w14:textId="77777777" w:rsidR="006F090B" w:rsidRDefault="006F090B" w:rsidP="0053640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D9576CE" id="Text Box 29" o:spid="_x0000_s1033" type="#_x0000_t202" style="position:absolute;left:0;text-align:left;margin-left:108.5pt;margin-top:12.05pt;width:334.5pt;height:51.5pt;z-index:2528645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" fillcolor="white [3201]" strokeweight=".5pt">
                <v:textbox>
                  <w:txbxContent>
                    <w:p w14:paraId="74FE267F" w14:textId="4C327519" w:rsidR="006F090B" w:rsidRPr="008D4068" w:rsidRDefault="006F090B" w:rsidP="00536402">
                      <w:pPr>
                        <w:rPr>
                          <w:i/>
                        </w:rPr>
                      </w:pPr>
                      <w:r>
                        <w:rPr>
                          <w:color w:val="943634" w:themeColor="accent2" w:themeShade="BF"/>
                        </w:rPr>
                        <w:t xml:space="preserve">We will have </w:t>
                      </w:r>
                      <w:r w:rsidRPr="00536402">
                        <w:rPr>
                          <w:color w:val="943634" w:themeColor="accent2" w:themeShade="BF"/>
                        </w:rPr>
                        <w:t xml:space="preserve">e.g. </w:t>
                      </w:r>
                      <w:r w:rsidRPr="00536402">
                        <w:rPr>
                          <w:i/>
                          <w:color w:val="943634" w:themeColor="accent2" w:themeShade="BF"/>
                        </w:rPr>
                        <w:t>via staff survey:  access to training and development; improved opportunity</w:t>
                      </w:r>
                      <w:r w:rsidRPr="00536402">
                        <w:rPr>
                          <w:color w:val="943634" w:themeColor="accent2" w:themeShade="BF"/>
                        </w:rPr>
                        <w:t xml:space="preserve"> </w:t>
                      </w:r>
                      <w:r w:rsidRPr="00536402">
                        <w:rPr>
                          <w:i/>
                          <w:color w:val="943634" w:themeColor="accent2" w:themeShade="BF"/>
                        </w:rPr>
                        <w:t xml:space="preserve">to innovate; improved experience of team working; increased ROI in priority areas e.g. investment in HCSW </w:t>
                      </w:r>
                      <w:r>
                        <w:rPr>
                          <w:i/>
                        </w:rPr>
                        <w:t>conversion.</w:t>
                      </w:r>
                    </w:p>
                    <w:p w14:paraId="5517CDE0" w14:textId="77777777" w:rsidR="006F090B" w:rsidRDefault="006F090B" w:rsidP="00536402"/>
                  </w:txbxContent>
                </v:textbox>
              </v:shape>
            </w:pict>
          </mc:Fallback>
        </mc:AlternateContent>
      </w:r>
      <w:r w:rsidRPr="005E5CB8">
        <w:rPr>
          <w:rFonts w:asciiTheme="minorHAnsi" w:hAnsiTheme="minorHAnsi" w:cstheme="minorHAnsi"/>
          <w:noProof/>
          <w:szCs w:val="22"/>
        </w:rPr>
        <w:drawing>
          <wp:inline distT="0" distB="0" distL="0" distR="0" wp14:anchorId="33C1DD2B" wp14:editId="2F4E8241">
            <wp:extent cx="5725160" cy="838200"/>
            <wp:effectExtent l="57150" t="57150" r="104140" b="95250"/>
            <wp:docPr id="32" name="Diagram 3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4" r:lo="rId85" r:qs="rId86" r:cs="rId87"/>
              </a:graphicData>
            </a:graphic>
          </wp:inline>
        </w:drawing>
      </w:r>
    </w:p>
    <w:p w14:paraId="68F5DE4C" w14:textId="1F2582B6" w:rsidR="00D852F5" w:rsidRPr="00800207" w:rsidRDefault="00D852F5" w:rsidP="00536402">
      <w:pPr>
        <w:pStyle w:val="Heading2"/>
      </w:pPr>
      <w:bookmarkStart w:id="165" w:name="_Toc25262187"/>
      <w:r w:rsidRPr="00800207">
        <w:t>Wellbeing, diverse and engaged workforce</w:t>
      </w:r>
      <w:bookmarkEnd w:id="165"/>
    </w:p>
    <w:p w14:paraId="3B5DEF4A" w14:textId="7D143E3B" w:rsidR="00D852F5" w:rsidRPr="00536402" w:rsidRDefault="00536402" w:rsidP="00536402">
      <w:pPr>
        <w:rPr>
          <w:szCs w:val="22"/>
        </w:rPr>
      </w:pPr>
      <w:r w:rsidRPr="00800207">
        <w:rPr>
          <w:noProof/>
          <w:szCs w:val="22"/>
        </w:rPr>
        <w:drawing>
          <wp:anchor distT="0" distB="0" distL="114300" distR="114300" simplePos="0" relativeHeight="252804096" behindDoc="0" locked="0" layoutInCell="1" allowOverlap="1" wp14:anchorId="4AE50F0B" wp14:editId="40746AD3">
            <wp:simplePos x="0" y="0"/>
            <wp:positionH relativeFrom="margin">
              <wp:align>left</wp:align>
            </wp:positionH>
            <wp:positionV relativeFrom="margin">
              <wp:posOffset>6069644</wp:posOffset>
            </wp:positionV>
            <wp:extent cx="800100" cy="755650"/>
            <wp:effectExtent l="0" t="0" r="0" b="6350"/>
            <wp:wrapSquare wrapText="bothSides"/>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3.png"/>
                    <pic:cNvPicPr/>
                  </pic:nvPicPr>
                  <pic:blipFill>
                    <a:blip r:embed="rId89" cstate="print">
                      <a:extLst>
                        <a:ext uri="{28A0092B-C50C-407E-A947-70E740481C1C}">
                          <a14:useLocalDpi xmlns:a14="http://schemas.microsoft.com/office/drawing/2010/main" val="0"/>
                        </a:ext>
                      </a:extLst>
                    </a:blip>
                    <a:stretch>
                      <a:fillRect/>
                    </a:stretch>
                  </pic:blipFill>
                  <pic:spPr>
                    <a:xfrm>
                      <a:off x="0" y="0"/>
                      <a:ext cx="800100" cy="755650"/>
                    </a:xfrm>
                    <a:prstGeom prst="rect">
                      <a:avLst/>
                    </a:prstGeom>
                  </pic:spPr>
                </pic:pic>
              </a:graphicData>
            </a:graphic>
          </wp:anchor>
        </w:drawing>
      </w:r>
    </w:p>
    <w:p w14:paraId="44BA63E4" w14:textId="2A2B6CB2" w:rsidR="00D852F5" w:rsidRDefault="00D852F5" w:rsidP="00536402">
      <w:pPr>
        <w:pStyle w:val="Pa5"/>
        <w:spacing w:before="40" w:after="160"/>
        <w:ind w:right="160"/>
        <w:jc w:val="both"/>
        <w:rPr>
          <w:rFonts w:asciiTheme="minorHAnsi" w:hAnsiTheme="minorHAnsi" w:cs="Metronic Slab Pro Regular"/>
          <w:color w:val="000000"/>
          <w:sz w:val="22"/>
          <w:szCs w:val="22"/>
        </w:rPr>
      </w:pPr>
      <w:r w:rsidRPr="00800207">
        <w:rPr>
          <w:rFonts w:asciiTheme="minorHAnsi" w:hAnsiTheme="minorHAnsi"/>
          <w:sz w:val="22"/>
          <w:szCs w:val="22"/>
        </w:rPr>
        <w:t>A Healthier Wales: “</w:t>
      </w:r>
      <w:r w:rsidRPr="00800207">
        <w:rPr>
          <w:rFonts w:asciiTheme="minorHAnsi" w:hAnsiTheme="minorHAnsi" w:cs="Metronic Slab Pro Regular"/>
          <w:color w:val="000000"/>
          <w:sz w:val="22"/>
          <w:szCs w:val="22"/>
        </w:rPr>
        <w:t xml:space="preserve">By making health and social care a good career choice, investing in training and skills, and supporting health and wellbeing at work, we will be able to get and keep the talented people we need to work in Wales.” </w:t>
      </w:r>
    </w:p>
    <w:p w14:paraId="3D9704E2" w14:textId="30117E6A" w:rsidR="00D852F5" w:rsidRPr="00800207" w:rsidRDefault="00D852F5" w:rsidP="00536402">
      <w:pPr>
        <w:pStyle w:val="Heading3"/>
      </w:pPr>
      <w:r w:rsidRPr="00800207">
        <w:t>Wellbeing of staff at work and a healthier workforce</w:t>
      </w:r>
    </w:p>
    <w:p w14:paraId="11EEC0BD" w14:textId="77777777" w:rsidR="00536402" w:rsidRPr="005E5CB8" w:rsidRDefault="00536402" w:rsidP="00536402">
      <w:pPr>
        <w:rPr>
          <w:rFonts w:asciiTheme="minorHAnsi" w:hAnsiTheme="minorHAnsi" w:cstheme="minorHAnsi"/>
          <w:szCs w:val="22"/>
        </w:rPr>
      </w:pPr>
      <w:r w:rsidRPr="005E5CB8">
        <w:rPr>
          <w:rFonts w:asciiTheme="minorHAnsi" w:hAnsiTheme="minorHAnsi" w:cstheme="minorHAnsi"/>
          <w:szCs w:val="22"/>
        </w:rPr>
        <w:t>Reflecting the focus in the NHS Wales Planning Guidance, on the priority areas set out in “A Healthier Wales” on the ensuring wellbeing of staff. In October 2019 the UHB introduced an Employee Experience Steering Group and its role is to ensure the development and successful delivery of the Employee Experience work stream. This covers the employee life cycle from recruitment to exit, and incorporates all interactions. The Group will support the organisation to promote positive experiences among our staff, with a vision of making the Health Board a great place to work.</w:t>
      </w:r>
    </w:p>
    <w:p w14:paraId="0F64C35E" w14:textId="77777777" w:rsidR="00536402" w:rsidRPr="005E5CB8" w:rsidRDefault="00536402" w:rsidP="00536402">
      <w:pPr>
        <w:rPr>
          <w:rFonts w:asciiTheme="minorHAnsi" w:hAnsiTheme="minorHAnsi" w:cstheme="minorHAnsi"/>
          <w:szCs w:val="22"/>
        </w:rPr>
      </w:pPr>
    </w:p>
    <w:p w14:paraId="27A7A32C" w14:textId="77777777" w:rsidR="00536402" w:rsidRPr="005E5CB8" w:rsidRDefault="00536402" w:rsidP="00536402">
      <w:pPr>
        <w:rPr>
          <w:rFonts w:asciiTheme="minorHAnsi" w:hAnsiTheme="minorHAnsi" w:cstheme="minorHAnsi"/>
          <w:szCs w:val="22"/>
        </w:rPr>
      </w:pPr>
      <w:r w:rsidRPr="005E5CB8">
        <w:rPr>
          <w:rFonts w:asciiTheme="minorHAnsi" w:hAnsiTheme="minorHAnsi" w:cstheme="minorHAnsi"/>
          <w:szCs w:val="22"/>
        </w:rPr>
        <w:t>The Employee Experience work stream includes resources, support and training currently provided from Organisational Development, Health and Wellbeing, Learning and Development and Chaplaincy. This will be a whole programme approach to supporting employees during their employment with CTM. This will also include enhancing our Health &amp; Wellbeing offer to staff – counselling, occupational psychology &amp; more ‘soft’ services such as mindfulness.</w:t>
      </w:r>
    </w:p>
    <w:p w14:paraId="652BA766" w14:textId="77777777" w:rsidR="00536402" w:rsidRPr="005E5CB8" w:rsidRDefault="00536402" w:rsidP="00536402">
      <w:pPr>
        <w:rPr>
          <w:rFonts w:asciiTheme="minorHAnsi" w:hAnsiTheme="minorHAnsi" w:cstheme="minorHAnsi"/>
          <w:szCs w:val="22"/>
        </w:rPr>
      </w:pPr>
    </w:p>
    <w:p w14:paraId="56C1DAC8" w14:textId="77777777" w:rsidR="00536402" w:rsidRPr="005E5CB8" w:rsidRDefault="00536402" w:rsidP="00536402">
      <w:pPr>
        <w:rPr>
          <w:rFonts w:asciiTheme="minorHAnsi" w:hAnsiTheme="minorHAnsi" w:cstheme="minorHAnsi"/>
          <w:szCs w:val="22"/>
        </w:rPr>
      </w:pPr>
      <w:r w:rsidRPr="005E5CB8">
        <w:rPr>
          <w:rFonts w:asciiTheme="minorHAnsi" w:hAnsiTheme="minorHAnsi" w:cstheme="minorHAnsi"/>
          <w:szCs w:val="22"/>
        </w:rPr>
        <w:t>A ‘Wellbeing Support Directory’ has been developed and the directory includes a range of Health Board services &amp; NHS approved external/3rd sector services for line managers and employees to access. These include contact numbers for crisis services, web links and information on the chaplaincy service, cancer services, LGBT, support for employees experiencing abuse, addiction, family and relationship difficulties.</w:t>
      </w:r>
    </w:p>
    <w:p w14:paraId="4804ACFA" w14:textId="77777777" w:rsidR="00D852F5" w:rsidRPr="00800207" w:rsidRDefault="00D852F5" w:rsidP="00536402">
      <w:pPr>
        <w:pStyle w:val="NormaBullet"/>
      </w:pPr>
      <w:r w:rsidRPr="00800207">
        <w:t xml:space="preserve">Occupational Health has reviewed the line manager referral form which now provides clearer guidance for the line manager when completing the form with specific questions around the referral reasons and workplace issues. This will support the triage process in being able to signposting to the correct clinical service and level of intervention. In addition it will enable the resulting report to be tailored around the line manager’s specified queries and concerns. </w:t>
      </w:r>
    </w:p>
    <w:p w14:paraId="766CBC19" w14:textId="77777777" w:rsidR="00D852F5" w:rsidRPr="00800207" w:rsidRDefault="00D852F5" w:rsidP="00D852F5">
      <w:pPr>
        <w:rPr>
          <w:rFonts w:cstheme="minorHAnsi"/>
          <w:szCs w:val="22"/>
        </w:rPr>
      </w:pPr>
    </w:p>
    <w:p w14:paraId="76443743" w14:textId="77777777" w:rsidR="00536402" w:rsidRPr="005E5CB8" w:rsidRDefault="00536402" w:rsidP="00536402">
      <w:pPr>
        <w:rPr>
          <w:rFonts w:asciiTheme="minorHAnsi" w:hAnsiTheme="minorHAnsi" w:cstheme="minorHAnsi"/>
          <w:szCs w:val="22"/>
        </w:rPr>
      </w:pPr>
      <w:r w:rsidRPr="005E5CB8">
        <w:rPr>
          <w:rFonts w:asciiTheme="minorHAnsi" w:hAnsiTheme="minorHAnsi" w:cstheme="minorHAnsi"/>
          <w:szCs w:val="22"/>
        </w:rPr>
        <w:t>Work is underway with the Chief Pharmacist in Medicines Management to provide dietetic sessions for employees with Irritable Bowel Syndrome. The dietary plan is an evidence based ‘FODMAP’ diet which has been shown to improve symptoms in over 75% of sufferer’s. Currently Gastrointestinal disorders is 3rd highest level of sickness absence in the Health Board.</w:t>
      </w:r>
    </w:p>
    <w:p w14:paraId="1AFEE719" w14:textId="77777777" w:rsidR="00536402" w:rsidRPr="00E334A5" w:rsidRDefault="00536402" w:rsidP="003B1653">
      <w:pPr>
        <w:pStyle w:val="ListParagraph"/>
        <w:numPr>
          <w:ilvl w:val="0"/>
          <w:numId w:val="101"/>
        </w:numPr>
        <w:spacing w:after="160" w:line="259" w:lineRule="auto"/>
        <w:ind w:left="357" w:hanging="357"/>
        <w:jc w:val="left"/>
        <w:rPr>
          <w:rFonts w:asciiTheme="minorHAnsi" w:hAnsiTheme="minorHAnsi" w:cstheme="minorHAnsi"/>
          <w:b/>
          <w:color w:val="943634" w:themeColor="accent2" w:themeShade="BF"/>
          <w:szCs w:val="22"/>
          <w:u w:val="single"/>
        </w:rPr>
      </w:pPr>
      <w:r w:rsidRPr="00E334A5">
        <w:rPr>
          <w:rFonts w:asciiTheme="minorHAnsi" w:hAnsiTheme="minorHAnsi" w:cstheme="minorHAnsi"/>
          <w:color w:val="943634" w:themeColor="accent2" w:themeShade="BF"/>
          <w:szCs w:val="22"/>
        </w:rPr>
        <w:t xml:space="preserve">Corporate Health Standard and other interventions supporting healthy workforce  </w:t>
      </w:r>
    </w:p>
    <w:p w14:paraId="5CDFCD29" w14:textId="4F044480" w:rsidR="00D852F5" w:rsidRPr="00E334A5" w:rsidRDefault="00536402" w:rsidP="003B1653">
      <w:pPr>
        <w:pStyle w:val="ListParagraph"/>
        <w:numPr>
          <w:ilvl w:val="0"/>
          <w:numId w:val="63"/>
        </w:numPr>
        <w:spacing w:after="160" w:line="259" w:lineRule="auto"/>
        <w:ind w:left="357" w:hanging="357"/>
        <w:jc w:val="left"/>
        <w:rPr>
          <w:rFonts w:asciiTheme="minorHAnsi" w:hAnsiTheme="minorHAnsi" w:cstheme="minorHAnsi"/>
          <w:color w:val="943634" w:themeColor="accent2" w:themeShade="BF"/>
          <w:szCs w:val="22"/>
        </w:rPr>
      </w:pPr>
      <w:r w:rsidRPr="00E334A5">
        <w:rPr>
          <w:rFonts w:asciiTheme="minorHAnsi" w:hAnsiTheme="minorHAnsi" w:cstheme="minorHAnsi"/>
          <w:color w:val="943634" w:themeColor="accent2" w:themeShade="BF"/>
          <w:szCs w:val="22"/>
        </w:rPr>
        <w:t>International Health Links</w:t>
      </w:r>
    </w:p>
    <w:p w14:paraId="10CE82AD" w14:textId="42164EAD" w:rsidR="00D852F5" w:rsidRPr="00800207" w:rsidRDefault="00D852F5" w:rsidP="00536402">
      <w:pPr>
        <w:pStyle w:val="Heading3"/>
      </w:pPr>
      <w:r w:rsidRPr="00800207">
        <w:t>Maternity Staff Support</w:t>
      </w:r>
    </w:p>
    <w:p w14:paraId="258B0F7C" w14:textId="77777777" w:rsidR="00536402" w:rsidRPr="005E5CB8" w:rsidRDefault="00536402" w:rsidP="00536402">
      <w:pPr>
        <w:rPr>
          <w:rFonts w:asciiTheme="minorHAnsi" w:hAnsiTheme="minorHAnsi" w:cstheme="minorHAnsi"/>
          <w:color w:val="000000" w:themeColor="text1"/>
          <w:szCs w:val="22"/>
        </w:rPr>
      </w:pPr>
      <w:r w:rsidRPr="005E5CB8">
        <w:rPr>
          <w:rFonts w:asciiTheme="minorHAnsi" w:hAnsiTheme="minorHAnsi" w:cstheme="minorHAnsi"/>
          <w:color w:val="000000" w:themeColor="text1"/>
          <w:szCs w:val="22"/>
        </w:rPr>
        <w:t>It was recognised that in the wake of the Independent review, targeted support was needed for staff within maternity services.  There was increased levels of sickness absence particularly stress related and the UHB commissioned specialist external counselling support.  We have also recently employed a Consultant Clinical Psychologist/Head of Psychological Health &amp; Wellbeing who will spend her first couple of months working in Maternity Services supporting staff.</w:t>
      </w:r>
    </w:p>
    <w:p w14:paraId="5BC2BF85" w14:textId="77777777" w:rsidR="00D852F5" w:rsidRPr="00800207" w:rsidRDefault="00D852F5" w:rsidP="00536402">
      <w:pPr>
        <w:pStyle w:val="Heading3"/>
        <w:rPr>
          <w:u w:val="single"/>
        </w:rPr>
      </w:pPr>
      <w:r w:rsidRPr="00800207">
        <w:t xml:space="preserve">Equality &amp; Diversity </w:t>
      </w:r>
    </w:p>
    <w:p w14:paraId="3A233910" w14:textId="77777777" w:rsidR="00536402" w:rsidRPr="005E5CB8" w:rsidRDefault="00536402" w:rsidP="00536402">
      <w:pPr>
        <w:rPr>
          <w:rFonts w:asciiTheme="minorHAnsi" w:hAnsiTheme="minorHAnsi" w:cstheme="minorHAnsi"/>
          <w:szCs w:val="22"/>
        </w:rPr>
      </w:pPr>
      <w:r w:rsidRPr="005E5CB8">
        <w:rPr>
          <w:rFonts w:asciiTheme="minorHAnsi" w:hAnsiTheme="minorHAnsi" w:cstheme="minorHAnsi"/>
          <w:szCs w:val="22"/>
        </w:rPr>
        <w:t>The Health Board is committed to the principles of equality and diversity and the importance of meeting the needs of the protected groups under the Equality Act 2010 and the specific requirements of the Public Sector Equality Duty in order to:</w:t>
      </w:r>
    </w:p>
    <w:p w14:paraId="7450EAD5" w14:textId="77777777" w:rsidR="00536402" w:rsidRPr="005E5CB8" w:rsidRDefault="00536402" w:rsidP="00536402">
      <w:pPr>
        <w:rPr>
          <w:rFonts w:asciiTheme="minorHAnsi" w:hAnsiTheme="minorHAnsi" w:cstheme="minorHAnsi"/>
          <w:szCs w:val="22"/>
        </w:rPr>
      </w:pPr>
    </w:p>
    <w:p w14:paraId="5F4DED48" w14:textId="77777777" w:rsidR="00536402" w:rsidRPr="005E5CB8" w:rsidRDefault="00536402" w:rsidP="003B1653">
      <w:pPr>
        <w:numPr>
          <w:ilvl w:val="0"/>
          <w:numId w:val="65"/>
        </w:numPr>
        <w:ind w:left="357" w:hanging="357"/>
        <w:rPr>
          <w:rFonts w:asciiTheme="minorHAnsi" w:hAnsiTheme="minorHAnsi" w:cstheme="minorHAnsi"/>
          <w:szCs w:val="22"/>
        </w:rPr>
      </w:pPr>
      <w:r w:rsidRPr="005E5CB8">
        <w:rPr>
          <w:rFonts w:asciiTheme="minorHAnsi" w:hAnsiTheme="minorHAnsi" w:cstheme="minorHAnsi"/>
          <w:szCs w:val="22"/>
        </w:rPr>
        <w:t xml:space="preserve">Advance equality of opportunity between people who share a relevant protected characteristic and those who do not; </w:t>
      </w:r>
    </w:p>
    <w:p w14:paraId="4B94BF65" w14:textId="77777777" w:rsidR="00536402" w:rsidRPr="005E5CB8" w:rsidRDefault="00536402" w:rsidP="003B1653">
      <w:pPr>
        <w:numPr>
          <w:ilvl w:val="0"/>
          <w:numId w:val="65"/>
        </w:numPr>
        <w:ind w:left="357" w:hanging="357"/>
        <w:rPr>
          <w:rFonts w:asciiTheme="minorHAnsi" w:hAnsiTheme="minorHAnsi" w:cstheme="minorHAnsi"/>
          <w:szCs w:val="22"/>
        </w:rPr>
      </w:pPr>
      <w:r w:rsidRPr="005E5CB8">
        <w:rPr>
          <w:rFonts w:asciiTheme="minorHAnsi" w:hAnsiTheme="minorHAnsi" w:cstheme="minorHAnsi"/>
          <w:szCs w:val="22"/>
        </w:rPr>
        <w:t xml:space="preserve">Foster good relations between people who share a protected characteristic and those who do not; </w:t>
      </w:r>
    </w:p>
    <w:p w14:paraId="247F502C" w14:textId="77777777" w:rsidR="00536402" w:rsidRPr="005E5CB8" w:rsidRDefault="00536402" w:rsidP="003B1653">
      <w:pPr>
        <w:numPr>
          <w:ilvl w:val="0"/>
          <w:numId w:val="65"/>
        </w:numPr>
        <w:ind w:left="357" w:hanging="357"/>
        <w:rPr>
          <w:rFonts w:asciiTheme="minorHAnsi" w:hAnsiTheme="minorHAnsi" w:cstheme="minorHAnsi"/>
          <w:szCs w:val="22"/>
        </w:rPr>
      </w:pPr>
      <w:r w:rsidRPr="005E5CB8">
        <w:rPr>
          <w:rFonts w:asciiTheme="minorHAnsi" w:hAnsiTheme="minorHAnsi" w:cstheme="minorHAnsi"/>
          <w:szCs w:val="22"/>
        </w:rPr>
        <w:t xml:space="preserve">Eliminate unlawful discrimination, harassment and victimisation. </w:t>
      </w:r>
    </w:p>
    <w:p w14:paraId="43337097" w14:textId="77777777" w:rsidR="00536402" w:rsidRPr="005E5CB8" w:rsidRDefault="00536402" w:rsidP="00536402">
      <w:pPr>
        <w:rPr>
          <w:rFonts w:asciiTheme="minorHAnsi" w:hAnsiTheme="minorHAnsi" w:cstheme="minorHAnsi"/>
          <w:szCs w:val="22"/>
        </w:rPr>
      </w:pPr>
    </w:p>
    <w:p w14:paraId="27732B12" w14:textId="77777777" w:rsidR="00536402" w:rsidRPr="005E5CB8" w:rsidRDefault="00536402" w:rsidP="00536402">
      <w:pPr>
        <w:rPr>
          <w:rFonts w:asciiTheme="minorHAnsi" w:hAnsiTheme="minorHAnsi" w:cstheme="minorHAnsi"/>
          <w:szCs w:val="22"/>
        </w:rPr>
      </w:pPr>
      <w:r w:rsidRPr="005E5CB8">
        <w:rPr>
          <w:rFonts w:asciiTheme="minorHAnsi" w:hAnsiTheme="minorHAnsi" w:cstheme="minorHAnsi"/>
          <w:szCs w:val="22"/>
        </w:rPr>
        <w:t>Our vision is that ‘we know equality exists, we believe it matters and together we can change things’. In order to achieve this we have developed 3 strategic aims which are:</w:t>
      </w:r>
    </w:p>
    <w:p w14:paraId="08481FB1" w14:textId="77777777" w:rsidR="00536402" w:rsidRPr="005E5CB8" w:rsidRDefault="00536402" w:rsidP="00536402">
      <w:pPr>
        <w:pStyle w:val="NormaBullet"/>
      </w:pPr>
      <w:r w:rsidRPr="005E5CB8">
        <w:t xml:space="preserve">To improve access and experience for patients throughout the health board; </w:t>
      </w:r>
    </w:p>
    <w:p w14:paraId="51F48E16" w14:textId="77777777" w:rsidR="00536402" w:rsidRPr="005E5CB8" w:rsidRDefault="00536402" w:rsidP="00536402">
      <w:pPr>
        <w:pStyle w:val="NormaBullet"/>
      </w:pPr>
      <w:r w:rsidRPr="005E5CB8">
        <w:t xml:space="preserve">To improve staff engagement and experience and </w:t>
      </w:r>
    </w:p>
    <w:p w14:paraId="2DFBB218" w14:textId="77777777" w:rsidR="00536402" w:rsidRPr="005E5CB8" w:rsidRDefault="00536402" w:rsidP="00536402">
      <w:pPr>
        <w:pStyle w:val="NormaBullet"/>
      </w:pPr>
      <w:r w:rsidRPr="005E5CB8">
        <w:t xml:space="preserve">To improve mainstreaming, monitoring and compliance.  </w:t>
      </w:r>
    </w:p>
    <w:p w14:paraId="2BEBFCDD" w14:textId="77777777" w:rsidR="00536402" w:rsidRPr="005E5CB8" w:rsidRDefault="00536402" w:rsidP="00536402">
      <w:pPr>
        <w:rPr>
          <w:rFonts w:asciiTheme="minorHAnsi" w:hAnsiTheme="minorHAnsi" w:cstheme="minorHAnsi"/>
          <w:szCs w:val="22"/>
        </w:rPr>
      </w:pPr>
    </w:p>
    <w:p w14:paraId="17508254" w14:textId="77777777" w:rsidR="00536402" w:rsidRPr="005E5CB8" w:rsidRDefault="00536402" w:rsidP="00536402">
      <w:pPr>
        <w:rPr>
          <w:rFonts w:asciiTheme="minorHAnsi" w:hAnsiTheme="minorHAnsi" w:cstheme="minorHAnsi"/>
          <w:szCs w:val="22"/>
        </w:rPr>
      </w:pPr>
      <w:r w:rsidRPr="005E5CB8">
        <w:rPr>
          <w:rFonts w:asciiTheme="minorHAnsi" w:hAnsiTheme="minorHAnsi" w:cstheme="minorHAnsi"/>
          <w:szCs w:val="22"/>
        </w:rPr>
        <w:t>Since April 2019 this has included Bridgend services and our new Strategic Equality Plan for 2020-24 reflects a consistent approach throughout our services.  In support of this we produce an annual work plan which is scrutinised by the Equality and Welsh Language Forum which in turn reports to Quality, Safety and Risk Committee.</w:t>
      </w:r>
    </w:p>
    <w:p w14:paraId="06A49468" w14:textId="77777777" w:rsidR="00536402" w:rsidRPr="005E5CB8" w:rsidRDefault="00536402" w:rsidP="00536402">
      <w:pPr>
        <w:rPr>
          <w:rFonts w:asciiTheme="minorHAnsi" w:hAnsiTheme="minorHAnsi" w:cstheme="minorHAnsi"/>
          <w:szCs w:val="22"/>
        </w:rPr>
      </w:pPr>
    </w:p>
    <w:p w14:paraId="72DDFC9F" w14:textId="77777777" w:rsidR="00536402" w:rsidRPr="005E5CB8" w:rsidRDefault="00536402" w:rsidP="00536402">
      <w:pPr>
        <w:rPr>
          <w:rFonts w:asciiTheme="minorHAnsi" w:hAnsiTheme="minorHAnsi" w:cstheme="minorHAnsi"/>
          <w:szCs w:val="22"/>
        </w:rPr>
      </w:pPr>
      <w:r w:rsidRPr="005E5CB8">
        <w:rPr>
          <w:rFonts w:asciiTheme="minorHAnsi" w:hAnsiTheme="minorHAnsi" w:cstheme="minorHAnsi"/>
          <w:szCs w:val="22"/>
        </w:rPr>
        <w:t>Resources have been rolled-out to including POW e.g. hearing equipment and on-line interpretation. Excellent feedback has been receive to date and has also raised awareness at the local Deaf Club in Bridgend.  The Health Board also won the Action on Hearing Loss awards for ‘Excellence in Healthcare’ for the second time.</w:t>
      </w:r>
    </w:p>
    <w:p w14:paraId="49314B5C" w14:textId="77777777" w:rsidR="00536402" w:rsidRPr="005E5CB8" w:rsidRDefault="00536402" w:rsidP="00536402">
      <w:pPr>
        <w:rPr>
          <w:rFonts w:asciiTheme="minorHAnsi" w:hAnsiTheme="minorHAnsi" w:cstheme="minorHAnsi"/>
          <w:szCs w:val="22"/>
        </w:rPr>
      </w:pPr>
    </w:p>
    <w:p w14:paraId="0324DBF9" w14:textId="77777777" w:rsidR="00536402" w:rsidRDefault="00536402" w:rsidP="00536402">
      <w:pPr>
        <w:rPr>
          <w:rFonts w:asciiTheme="minorHAnsi" w:hAnsiTheme="minorHAnsi" w:cstheme="minorHAnsi"/>
          <w:szCs w:val="22"/>
        </w:rPr>
      </w:pPr>
      <w:r w:rsidRPr="005E5CB8">
        <w:rPr>
          <w:rFonts w:asciiTheme="minorHAnsi" w:hAnsiTheme="minorHAnsi" w:cstheme="minorHAnsi"/>
          <w:szCs w:val="22"/>
        </w:rPr>
        <w:t xml:space="preserve">We have a growing and thriving LGBT* staff network for CTM and has led to the development of awareness events, a dedicated helpline, coaching and mentoring for LGBT staff and allies.  Both former health boards </w:t>
      </w:r>
      <w:r w:rsidRPr="005E5CB8">
        <w:rPr>
          <w:rFonts w:asciiTheme="minorHAnsi" w:hAnsiTheme="minorHAnsi" w:cstheme="minorHAnsi"/>
          <w:szCs w:val="22"/>
        </w:rPr>
        <w:lastRenderedPageBreak/>
        <w:t>achieved high rankings on the Stonewall Employers’ Index and intend to build on this. This work has won an HPMA award and were finalists in the ‘wellbeing of staff category’ in the recent NHS Wales awards.</w:t>
      </w:r>
    </w:p>
    <w:p w14:paraId="2F5342D9" w14:textId="77777777" w:rsidR="00536402" w:rsidRPr="005E5CB8" w:rsidRDefault="00536402" w:rsidP="00536402">
      <w:pPr>
        <w:rPr>
          <w:rFonts w:asciiTheme="minorHAnsi" w:hAnsiTheme="minorHAnsi" w:cstheme="minorHAnsi"/>
          <w:szCs w:val="22"/>
        </w:rPr>
      </w:pPr>
    </w:p>
    <w:p w14:paraId="381780E0" w14:textId="08599C5A" w:rsidR="00536402" w:rsidRDefault="00536402" w:rsidP="00536402">
      <w:pPr>
        <w:rPr>
          <w:rFonts w:asciiTheme="minorHAnsi" w:hAnsiTheme="minorHAnsi" w:cstheme="minorHAnsi"/>
          <w:szCs w:val="22"/>
        </w:rPr>
      </w:pPr>
      <w:r w:rsidRPr="005E5CB8">
        <w:rPr>
          <w:rFonts w:asciiTheme="minorHAnsi" w:hAnsiTheme="minorHAnsi" w:cstheme="minorHAnsi"/>
          <w:szCs w:val="22"/>
        </w:rPr>
        <w:t>The UHB has achieved Disability Confident Level 3 and we are the first health board in Wales to do so. The Equality and Human Rights commission highlighted in their report “</w:t>
      </w:r>
      <w:r w:rsidRPr="005E5CB8">
        <w:rPr>
          <w:rFonts w:asciiTheme="minorHAnsi" w:hAnsiTheme="minorHAnsi" w:cstheme="minorHAnsi"/>
          <w:i/>
          <w:szCs w:val="22"/>
        </w:rPr>
        <w:t xml:space="preserve">Is Wales Fairer?” </w:t>
      </w:r>
      <w:r w:rsidRPr="005E5CB8">
        <w:rPr>
          <w:rFonts w:asciiTheme="minorHAnsi" w:hAnsiTheme="minorHAnsi" w:cstheme="minorHAnsi"/>
          <w:szCs w:val="22"/>
        </w:rPr>
        <w:t>the employment rate for non-disabled people (73.4%) was almost twice that for those with a disability which highlights the importance of making a difference with this work. It also make reference to improving access to Mental Health Services for certain groups (will initially be focussing on Black and Minority Ethnic) and service users who are deaf or have other sensory loss.  We are also taking account of changes in society e.g. the increasing number of peo</w:t>
      </w:r>
      <w:r>
        <w:rPr>
          <w:rFonts w:asciiTheme="minorHAnsi" w:hAnsiTheme="minorHAnsi" w:cstheme="minorHAnsi"/>
          <w:szCs w:val="22"/>
        </w:rPr>
        <w:t>ple presenting as transgender.</w:t>
      </w:r>
    </w:p>
    <w:p w14:paraId="11C331C9" w14:textId="77777777" w:rsidR="00536402" w:rsidRPr="005E5CB8" w:rsidRDefault="00536402" w:rsidP="00536402">
      <w:pPr>
        <w:rPr>
          <w:rFonts w:asciiTheme="minorHAnsi" w:hAnsiTheme="minorHAnsi" w:cstheme="minorHAnsi"/>
          <w:szCs w:val="22"/>
        </w:rPr>
      </w:pPr>
    </w:p>
    <w:p w14:paraId="78B7EBAA" w14:textId="77777777" w:rsidR="00536402" w:rsidRDefault="00536402" w:rsidP="00536402">
      <w:pPr>
        <w:rPr>
          <w:rFonts w:asciiTheme="minorHAnsi" w:hAnsiTheme="minorHAnsi" w:cstheme="minorHAnsi"/>
          <w:szCs w:val="22"/>
        </w:rPr>
      </w:pPr>
      <w:r w:rsidRPr="005E5CB8">
        <w:rPr>
          <w:rFonts w:asciiTheme="minorHAnsi" w:hAnsiTheme="minorHAnsi" w:cstheme="minorHAnsi"/>
          <w:szCs w:val="22"/>
        </w:rPr>
        <w:t>A network is being established to promote our policy and internet resources so that both managers and staff are equipped to manage issues that they may experience.  An Accessible Buildings policy has also been agreed which will be used by Capital Planners in the contracting process for new builds and refurbishments.  The aim is to empower disabled staff and service users to visit buildings and comment on suitable adaptations, which would meet the needs of disabled people.</w:t>
      </w:r>
    </w:p>
    <w:p w14:paraId="70CFE23D" w14:textId="77777777" w:rsidR="00536402" w:rsidRPr="005E5CB8" w:rsidRDefault="00536402" w:rsidP="00536402">
      <w:pPr>
        <w:rPr>
          <w:rFonts w:asciiTheme="minorHAnsi" w:hAnsiTheme="minorHAnsi" w:cstheme="minorHAnsi"/>
          <w:szCs w:val="22"/>
        </w:rPr>
      </w:pPr>
    </w:p>
    <w:p w14:paraId="42D8C4E1" w14:textId="77777777" w:rsidR="00536402" w:rsidRPr="005E5CB8" w:rsidRDefault="00536402" w:rsidP="00536402">
      <w:pPr>
        <w:rPr>
          <w:rFonts w:asciiTheme="minorHAnsi" w:hAnsiTheme="minorHAnsi" w:cstheme="minorHAnsi"/>
          <w:szCs w:val="22"/>
        </w:rPr>
      </w:pPr>
      <w:r w:rsidRPr="005E5CB8">
        <w:rPr>
          <w:rFonts w:asciiTheme="minorHAnsi" w:hAnsiTheme="minorHAnsi" w:cstheme="minorHAnsi"/>
          <w:szCs w:val="22"/>
        </w:rPr>
        <w:t xml:space="preserve">In terms of gender pay equality, a gender equality review has taken place with development of an action plan to address any emerging issues. </w:t>
      </w:r>
    </w:p>
    <w:p w14:paraId="1105C9C7" w14:textId="77777777" w:rsidR="00536402" w:rsidRPr="005E5CB8" w:rsidRDefault="00536402" w:rsidP="00536402">
      <w:pPr>
        <w:rPr>
          <w:rFonts w:asciiTheme="minorHAnsi" w:hAnsiTheme="minorHAnsi" w:cstheme="minorHAnsi"/>
          <w:szCs w:val="22"/>
        </w:rPr>
      </w:pPr>
    </w:p>
    <w:p w14:paraId="261A8932" w14:textId="72272B2E" w:rsidR="00536402" w:rsidRPr="00536402" w:rsidRDefault="00536402" w:rsidP="00536402">
      <w:pPr>
        <w:rPr>
          <w:rFonts w:asciiTheme="minorHAnsi" w:hAnsiTheme="minorHAnsi" w:cstheme="minorHAnsi"/>
          <w:b/>
          <w:szCs w:val="22"/>
        </w:rPr>
      </w:pPr>
      <w:r w:rsidRPr="005E5CB8">
        <w:rPr>
          <w:rFonts w:asciiTheme="minorHAnsi" w:hAnsiTheme="minorHAnsi" w:cstheme="minorHAnsi"/>
          <w:szCs w:val="22"/>
        </w:rPr>
        <w:t>There has been development to improve the quality and completeness of the Equality Impact Assessment process and ensure a strong link to IMTP developments.</w:t>
      </w:r>
    </w:p>
    <w:p w14:paraId="63B068A3" w14:textId="77777777" w:rsidR="00536402" w:rsidRPr="00536402" w:rsidRDefault="00536402" w:rsidP="00536402">
      <w:pPr>
        <w:rPr>
          <w:rFonts w:asciiTheme="minorHAnsi" w:hAnsiTheme="minorHAnsi" w:cstheme="minorHAnsi"/>
          <w:b/>
          <w:szCs w:val="22"/>
        </w:rPr>
      </w:pPr>
    </w:p>
    <w:p w14:paraId="630E1BF4" w14:textId="77777777" w:rsidR="00536402" w:rsidRPr="00536402" w:rsidRDefault="00536402" w:rsidP="00536402">
      <w:pPr>
        <w:rPr>
          <w:rFonts w:asciiTheme="minorHAnsi" w:hAnsiTheme="minorHAnsi" w:cstheme="minorHAnsi"/>
          <w:szCs w:val="22"/>
        </w:rPr>
      </w:pPr>
      <w:r w:rsidRPr="00536402">
        <w:rPr>
          <w:rFonts w:asciiTheme="minorHAnsi" w:hAnsiTheme="minorHAnsi" w:cstheme="minorHAnsi"/>
          <w:szCs w:val="22"/>
        </w:rPr>
        <w:t>The Strategic Equality Plan will link with the emerging clinical strategy and the objectives will be supported by training and ongoing communications including roadshows, event and articles.</w:t>
      </w:r>
    </w:p>
    <w:p w14:paraId="2A17731F" w14:textId="015D53A2" w:rsidR="00D852F5" w:rsidRPr="00536402" w:rsidRDefault="00536402" w:rsidP="00536402">
      <w:pPr>
        <w:pStyle w:val="Heading3"/>
      </w:pPr>
      <w:r>
        <w:t>Welsh Language</w:t>
      </w:r>
    </w:p>
    <w:p w14:paraId="610685B6" w14:textId="320AD602" w:rsidR="00385270" w:rsidRDefault="00385270" w:rsidP="00385270">
      <w:pPr>
        <w:rPr>
          <w:rFonts w:asciiTheme="minorHAnsi" w:hAnsiTheme="minorHAnsi" w:cstheme="minorHAnsi"/>
          <w:szCs w:val="22"/>
        </w:rPr>
      </w:pPr>
      <w:r w:rsidRPr="005E5CB8">
        <w:rPr>
          <w:rFonts w:asciiTheme="minorHAnsi" w:hAnsiTheme="minorHAnsi" w:cstheme="minorHAnsi"/>
          <w:szCs w:val="22"/>
        </w:rPr>
        <w:t>The Health Board is committed to improving and promoting bilingual service provision and recognises the positive impact this has upon our service users.  Annual monitoring and statistical reports are submitted to the Welsh Language Commissioner and Welsh Government outlining the steps taken to progress the Welsh language agenda. Following receipt of the Welsh Language Standards a new Bilingual Skills Strategy has been developed which focuses on how the workforce can strategically deliver services through the medium of Welsh, and identifies potential options for increasing the number of our Welsh speaking staff to meet the needs of the local population. The Health Board also provides opportunities for staff to learn Welsh with courses available in all three general hospitals as well as reception skills courses across the region.  Welsh speaking staff are encouraged to develop their Welsh language skills by attending confidence building courses as well as residential cou</w:t>
      </w:r>
      <w:r>
        <w:rPr>
          <w:rFonts w:asciiTheme="minorHAnsi" w:hAnsiTheme="minorHAnsi" w:cstheme="minorHAnsi"/>
          <w:szCs w:val="22"/>
        </w:rPr>
        <w:t>rses provided by Dysgu Cymraeg.</w:t>
      </w:r>
    </w:p>
    <w:p w14:paraId="42F0FC46" w14:textId="77777777" w:rsidR="00385270" w:rsidRPr="005E5CB8" w:rsidRDefault="00385270" w:rsidP="00385270">
      <w:pPr>
        <w:rPr>
          <w:rFonts w:asciiTheme="minorHAnsi" w:hAnsiTheme="minorHAnsi" w:cstheme="minorHAnsi"/>
          <w:szCs w:val="22"/>
        </w:rPr>
      </w:pPr>
    </w:p>
    <w:p w14:paraId="52448AF5" w14:textId="77777777" w:rsidR="00385270" w:rsidRDefault="00385270" w:rsidP="00385270">
      <w:pPr>
        <w:rPr>
          <w:rFonts w:asciiTheme="minorHAnsi" w:hAnsiTheme="minorHAnsi" w:cstheme="minorHAnsi"/>
          <w:szCs w:val="22"/>
        </w:rPr>
      </w:pPr>
      <w:r w:rsidRPr="005E5CB8">
        <w:rPr>
          <w:rFonts w:asciiTheme="minorHAnsi" w:hAnsiTheme="minorHAnsi" w:cstheme="minorHAnsi"/>
          <w:szCs w:val="22"/>
        </w:rPr>
        <w:t xml:space="preserve">The Welsh Language Standards are very wide ranging and a new working group, chaired by senior management, </w:t>
      </w:r>
      <w:proofErr w:type="gramStart"/>
      <w:r w:rsidRPr="005E5CB8">
        <w:rPr>
          <w:rFonts w:asciiTheme="minorHAnsi" w:hAnsiTheme="minorHAnsi" w:cstheme="minorHAnsi"/>
          <w:szCs w:val="22"/>
        </w:rPr>
        <w:t>has</w:t>
      </w:r>
      <w:proofErr w:type="gramEnd"/>
      <w:r w:rsidRPr="005E5CB8">
        <w:rPr>
          <w:rFonts w:asciiTheme="minorHAnsi" w:hAnsiTheme="minorHAnsi" w:cstheme="minorHAnsi"/>
          <w:szCs w:val="22"/>
        </w:rPr>
        <w:t xml:space="preserve"> been established to develop an action plan in relation to their delivery.  The work of this group includes addressing very significant increases in demand for translation, awareness raising, training, policy development and new ways of working throughout the health board.  Two new translator posts have been created to support our existing translator to meet the increased demand to translate documents such as patient letters, signs, posters and digital media. We are working closely with Welsh Language leads from other health boards to ensure a consistent approach and to jointly develop and share resources. Progress with the Welsh Language Standards is monitored by the Equality and Welsh Language Forum.</w:t>
      </w:r>
    </w:p>
    <w:p w14:paraId="64C0D6A1" w14:textId="77777777" w:rsidR="00385270" w:rsidRPr="005E5CB8" w:rsidRDefault="00385270" w:rsidP="00385270">
      <w:pPr>
        <w:rPr>
          <w:rFonts w:asciiTheme="minorHAnsi" w:hAnsiTheme="minorHAnsi" w:cstheme="minorHAnsi"/>
          <w:szCs w:val="22"/>
        </w:rPr>
      </w:pPr>
    </w:p>
    <w:p w14:paraId="2A93B9AA" w14:textId="77777777" w:rsidR="00385270" w:rsidRDefault="00385270" w:rsidP="00385270">
      <w:pPr>
        <w:rPr>
          <w:rFonts w:asciiTheme="minorHAnsi" w:hAnsiTheme="minorHAnsi" w:cstheme="minorHAnsi"/>
          <w:szCs w:val="22"/>
        </w:rPr>
      </w:pPr>
      <w:r w:rsidRPr="005E5CB8">
        <w:rPr>
          <w:rFonts w:asciiTheme="minorHAnsi" w:hAnsiTheme="minorHAnsi" w:cstheme="minorHAnsi"/>
          <w:szCs w:val="22"/>
        </w:rPr>
        <w:t xml:space="preserve">The implementation of the Welsh Language Standards has helped the Health Board further embed the objectives of the More than just words strategy and new action plan for 2019-2020. The ‘Active Offer’ forms part of the Corporate Orientation training for new staff including all health care support assistants.  All wards across the Health Board have been audited to ensure staff comply with Welsh Language Standards and More than Just Words Action plan. The audit ensures staff ask and note patient language preference and ensures patients are </w:t>
      </w:r>
      <w:r w:rsidRPr="005E5CB8">
        <w:rPr>
          <w:rFonts w:asciiTheme="minorHAnsi" w:hAnsiTheme="minorHAnsi" w:cstheme="minorHAnsi"/>
          <w:szCs w:val="22"/>
        </w:rPr>
        <w:lastRenderedPageBreak/>
        <w:t>able to identify Welsh speaking staff. The introduction of an online interpretation services has also enabled staff to provide Welsh interpretation at short notice.</w:t>
      </w:r>
    </w:p>
    <w:p w14:paraId="54F6B867" w14:textId="77777777" w:rsidR="00385270" w:rsidRPr="005E5CB8" w:rsidRDefault="00385270" w:rsidP="00385270">
      <w:pPr>
        <w:rPr>
          <w:rFonts w:asciiTheme="minorHAnsi" w:hAnsiTheme="minorHAnsi" w:cstheme="minorHAnsi"/>
          <w:szCs w:val="22"/>
        </w:rPr>
      </w:pPr>
    </w:p>
    <w:p w14:paraId="776176FE" w14:textId="00466E60" w:rsidR="00536402" w:rsidRDefault="00385270" w:rsidP="00385270">
      <w:pPr>
        <w:rPr>
          <w:rFonts w:asciiTheme="minorHAnsi" w:hAnsiTheme="minorHAnsi" w:cstheme="minorHAnsi"/>
          <w:szCs w:val="22"/>
        </w:rPr>
      </w:pPr>
      <w:r w:rsidRPr="005E5CB8">
        <w:rPr>
          <w:rFonts w:asciiTheme="minorHAnsi" w:hAnsiTheme="minorHAnsi" w:cstheme="minorHAnsi"/>
          <w:szCs w:val="22"/>
        </w:rPr>
        <w:t>The Welsh language team works closely with primary care managers to ensure they are able to access the training available to Health Board staff. General practice managers are encouraged to monitor compliance with the Welsh Language Standards and have received auditing and promotional documents to support them with this.</w:t>
      </w:r>
    </w:p>
    <w:p w14:paraId="169D596A" w14:textId="77777777" w:rsidR="00D852F5" w:rsidRPr="00800207" w:rsidRDefault="00D852F5" w:rsidP="00385270">
      <w:pPr>
        <w:pStyle w:val="Heading3"/>
      </w:pPr>
      <w:r w:rsidRPr="00800207">
        <w:t>Volunteers</w:t>
      </w:r>
    </w:p>
    <w:p w14:paraId="2D7BF613" w14:textId="77777777" w:rsidR="00D852F5" w:rsidRPr="00800207" w:rsidRDefault="00D852F5" w:rsidP="00D852F5">
      <w:pPr>
        <w:rPr>
          <w:szCs w:val="22"/>
        </w:rPr>
      </w:pPr>
      <w:r w:rsidRPr="00800207">
        <w:rPr>
          <w:szCs w:val="22"/>
        </w:rPr>
        <w:t>Since 1</w:t>
      </w:r>
      <w:r w:rsidRPr="00800207">
        <w:rPr>
          <w:szCs w:val="22"/>
          <w:vertAlign w:val="superscript"/>
        </w:rPr>
        <w:t>st</w:t>
      </w:r>
      <w:r w:rsidRPr="00800207">
        <w:rPr>
          <w:szCs w:val="22"/>
        </w:rPr>
        <w:t xml:space="preserve"> April 2019, logistically volunteering has expanded significantly, this has resulted in a joint working approach to centralise the volunteer process, systems, training and correspondence and we continue to work jointly and develop a robust volunteer service across CTM.  We also continue to work with our third sector partners including, BAVO, VAMT and Interlink along with our local Job Centres and Communities for Work.  </w:t>
      </w:r>
    </w:p>
    <w:p w14:paraId="079C0415" w14:textId="77777777" w:rsidR="00D852F5" w:rsidRPr="00800207" w:rsidRDefault="00D852F5" w:rsidP="00D852F5">
      <w:pPr>
        <w:rPr>
          <w:szCs w:val="22"/>
        </w:rPr>
      </w:pPr>
      <w:r w:rsidRPr="00800207">
        <w:rPr>
          <w:szCs w:val="22"/>
        </w:rPr>
        <w:t xml:space="preserve">Engagement and joint working with our Third Sector Organisation has resulted in the first Pets as Therapy Volunteer and the Lindsay Leg Foundation is coming up to its first successful year with a strong team of volunteers supporting the weekly sessions.  Joint working with our local schools and colleges has been a driver with the volunteer service and has developed and implemented the first “Junior Ward Volunteer” scheme which is aimed to provide opportunities for 14-16 year olds on a ward environment.  The Maternity Buddy Volunteer scheme still proves to be extremely popular and further volunteers have secured places to study their Midwifery Degree.  </w:t>
      </w:r>
    </w:p>
    <w:p w14:paraId="0755508E" w14:textId="77777777" w:rsidR="00D852F5" w:rsidRDefault="00D852F5" w:rsidP="00D852F5">
      <w:pPr>
        <w:rPr>
          <w:szCs w:val="22"/>
        </w:rPr>
      </w:pPr>
      <w:r w:rsidRPr="00800207">
        <w:rPr>
          <w:szCs w:val="22"/>
        </w:rPr>
        <w:t xml:space="preserve">Further work has included the effective partnership with communities for work and the Learning and Development Team, which has resulted in volunteers having the opportunity to apply for the “Pathways to Employment scheme” with opportunity to undertake further training and if successful to join the staff bank.     It is imperative that as a Health Board we ensure the volunteers are recognised and valued for their dedication and commitment and will be hosting a celebration event in the coming months.   </w:t>
      </w:r>
    </w:p>
    <w:p w14:paraId="7F229AD2" w14:textId="3844A6E8" w:rsidR="00385270" w:rsidRDefault="00385270" w:rsidP="00385270">
      <w:pPr>
        <w:rPr>
          <w:rFonts w:asciiTheme="minorHAnsi" w:hAnsiTheme="minorHAnsi" w:cstheme="minorHAnsi"/>
          <w:szCs w:val="22"/>
        </w:rPr>
      </w:pPr>
    </w:p>
    <w:p w14:paraId="6D9A62B2" w14:textId="74306BC9" w:rsidR="00385270" w:rsidRDefault="00385270" w:rsidP="00385270">
      <w:pPr>
        <w:rPr>
          <w:rFonts w:asciiTheme="minorHAnsi" w:hAnsiTheme="minorHAnsi" w:cstheme="minorHAnsi"/>
          <w:szCs w:val="22"/>
        </w:rPr>
      </w:pPr>
      <w:r w:rsidRPr="005E5CB8">
        <w:rPr>
          <w:rFonts w:asciiTheme="minorHAnsi" w:hAnsiTheme="minorHAnsi" w:cstheme="minorHAnsi"/>
          <w:noProof/>
          <w:szCs w:val="22"/>
        </w:rPr>
        <mc:AlternateContent>
          <mc:Choice Requires="wps">
            <w:drawing>
              <wp:anchor distT="0" distB="0" distL="114300" distR="114300" simplePos="0" relativeHeight="252866560" behindDoc="0" locked="0" layoutInCell="1" allowOverlap="1" wp14:anchorId="56C942F8" wp14:editId="2B4073FE">
                <wp:simplePos x="0" y="0"/>
                <wp:positionH relativeFrom="column">
                  <wp:posOffset>1292860</wp:posOffset>
                </wp:positionH>
                <wp:positionV relativeFrom="paragraph">
                  <wp:posOffset>102235</wp:posOffset>
                </wp:positionV>
                <wp:extent cx="3949700" cy="704850"/>
                <wp:effectExtent l="0" t="0" r="12700" b="19050"/>
                <wp:wrapNone/>
                <wp:docPr id="37" name="Text Box 37"/>
                <wp:cNvGraphicFramePr/>
                <a:graphic xmlns:a="http://schemas.openxmlformats.org/drawingml/2006/main">
                  <a:graphicData uri="http://schemas.microsoft.com/office/word/2010/wordprocessingShape">
                    <wps:wsp>
                      <wps:cNvSpPr txBox="1"/>
                      <wps:spPr>
                        <a:xfrm>
                          <a:off x="0" y="0"/>
                          <a:ext cx="3949700" cy="7048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7128E0C" w14:textId="77777777" w:rsidR="006F090B" w:rsidRPr="00385270" w:rsidRDefault="006F090B" w:rsidP="00385270">
                            <w:pPr>
                              <w:rPr>
                                <w:color w:val="943634" w:themeColor="accent2" w:themeShade="BF"/>
                              </w:rPr>
                            </w:pPr>
                            <w:r w:rsidRPr="00385270">
                              <w:rPr>
                                <w:color w:val="943634" w:themeColor="accent2" w:themeShade="BF"/>
                              </w:rPr>
                              <w:t xml:space="preserve"> We will have ……….e.g. lower levels of stress, a % increase in Engagement index; &amp; “friends and family” test; increase in positive experience of work</w:t>
                            </w:r>
                          </w:p>
                          <w:p w14:paraId="0DE03CF3" w14:textId="77777777" w:rsidR="006F090B" w:rsidRDefault="006F090B" w:rsidP="00385270">
                            <w:pPr>
                              <w:pStyle w:val="ListParagraph"/>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C942F8" id="Text Box 37" o:spid="_x0000_s1034" type="#_x0000_t202" style="position:absolute;left:0;text-align:left;margin-left:101.8pt;margin-top:8.05pt;width:311pt;height:55.5pt;z-index:25286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" fillcolor="white [3201]" strokeweight=".5pt">
                <v:textbox>
                  <w:txbxContent>
                    <w:p w14:paraId="27128E0C" w14:textId="77777777" w:rsidR="006F090B" w:rsidRPr="00385270" w:rsidRDefault="006F090B" w:rsidP="00385270">
                      <w:pPr>
                        <w:rPr>
                          <w:color w:val="943634" w:themeColor="accent2" w:themeShade="BF"/>
                        </w:rPr>
                      </w:pPr>
                      <w:r w:rsidRPr="00385270">
                        <w:rPr>
                          <w:color w:val="943634" w:themeColor="accent2" w:themeShade="BF"/>
                        </w:rPr>
                        <w:t xml:space="preserve"> We will have ……….e.g. lower levels of stress, a % increase in Engagement index; &amp; “friends and family” test; increase in positive experience of work</w:t>
                      </w:r>
                    </w:p>
                    <w:p w14:paraId="0DE03CF3" w14:textId="77777777" w:rsidR="006F090B" w:rsidRDefault="006F090B" w:rsidP="00385270">
                      <w:pPr>
                        <w:pStyle w:val="ListParagraph"/>
                      </w:pPr>
                    </w:p>
                  </w:txbxContent>
                </v:textbox>
              </v:shape>
            </w:pict>
          </mc:Fallback>
        </mc:AlternateContent>
      </w:r>
      <w:r w:rsidRPr="005E5CB8">
        <w:rPr>
          <w:rFonts w:eastAsia="Calibri" w:cs="Times New Roman"/>
          <w:noProof/>
          <w:sz w:val="24"/>
        </w:rPr>
        <w:drawing>
          <wp:inline distT="0" distB="0" distL="0" distR="0" wp14:anchorId="628674BC" wp14:editId="5B392D49">
            <wp:extent cx="5471160" cy="904240"/>
            <wp:effectExtent l="0" t="0" r="15240" b="10160"/>
            <wp:docPr id="38" name="Diagram 3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0" r:lo="rId91" r:qs="rId92" r:cs="rId93"/>
              </a:graphicData>
            </a:graphic>
          </wp:inline>
        </w:drawing>
      </w:r>
    </w:p>
    <w:p w14:paraId="080C3E89" w14:textId="5361BDD8" w:rsidR="00D852F5" w:rsidRPr="00800207" w:rsidRDefault="00385270" w:rsidP="00385270">
      <w:pPr>
        <w:pStyle w:val="Heading2"/>
      </w:pPr>
      <w:bookmarkStart w:id="166" w:name="_Toc25262188"/>
      <w:r w:rsidRPr="00800207">
        <w:rPr>
          <w:noProof/>
          <w:szCs w:val="22"/>
          <w:lang w:eastAsia="en-GB"/>
        </w:rPr>
        <w:drawing>
          <wp:anchor distT="0" distB="0" distL="114300" distR="114300" simplePos="0" relativeHeight="252805120" behindDoc="1" locked="0" layoutInCell="1" allowOverlap="1" wp14:anchorId="7E706AB7" wp14:editId="48F9CF0C">
            <wp:simplePos x="0" y="0"/>
            <wp:positionH relativeFrom="margin">
              <wp:align>center</wp:align>
            </wp:positionH>
            <wp:positionV relativeFrom="page">
              <wp:posOffset>6281610</wp:posOffset>
            </wp:positionV>
            <wp:extent cx="5747385" cy="3292475"/>
            <wp:effectExtent l="0" t="0" r="5715" b="3175"/>
            <wp:wrapTight wrapText="bothSides">
              <wp:wrapPolygon edited="0">
                <wp:start x="0" y="0"/>
                <wp:lineTo x="0" y="21496"/>
                <wp:lineTo x="21550" y="21496"/>
                <wp:lineTo x="21550" y="0"/>
                <wp:lineTo x="0" y="0"/>
              </wp:wrapPolygon>
            </wp:wrapTight>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extLst>
                        <a:ext uri="{28A0092B-C50C-407E-A947-70E740481C1C}">
                          <a14:useLocalDpi xmlns:a14="http://schemas.microsoft.com/office/drawing/2010/main" val="0"/>
                        </a:ext>
                      </a:extLst>
                    </a:blip>
                    <a:stretch>
                      <a:fillRect/>
                    </a:stretch>
                  </pic:blipFill>
                  <pic:spPr>
                    <a:xfrm>
                      <a:off x="0" y="0"/>
                      <a:ext cx="5747385" cy="3292475"/>
                    </a:xfrm>
                    <a:prstGeom prst="rect">
                      <a:avLst/>
                    </a:prstGeom>
                  </pic:spPr>
                </pic:pic>
              </a:graphicData>
            </a:graphic>
            <wp14:sizeRelH relativeFrom="margin">
              <wp14:pctWidth>0</wp14:pctWidth>
            </wp14:sizeRelH>
            <wp14:sizeRelV relativeFrom="margin">
              <wp14:pctHeight>0</wp14:pctHeight>
            </wp14:sizeRelV>
          </wp:anchor>
        </w:drawing>
      </w:r>
      <w:r w:rsidR="00D852F5" w:rsidRPr="00800207">
        <w:t>Workforce Performance Reporting</w:t>
      </w:r>
      <w:bookmarkEnd w:id="166"/>
    </w:p>
    <w:p w14:paraId="11FAF98D" w14:textId="77777777" w:rsidR="00385270" w:rsidRDefault="00385270" w:rsidP="00D852F5">
      <w:pPr>
        <w:rPr>
          <w:szCs w:val="22"/>
        </w:rPr>
      </w:pPr>
    </w:p>
    <w:p w14:paraId="6C678B3A" w14:textId="3D81DBBF" w:rsidR="00385270" w:rsidRDefault="00385270" w:rsidP="00D852F5">
      <w:pPr>
        <w:rPr>
          <w:szCs w:val="22"/>
        </w:rPr>
      </w:pPr>
    </w:p>
    <w:p w14:paraId="16E291E8" w14:textId="77777777" w:rsidR="00385270" w:rsidRPr="005E5CB8" w:rsidRDefault="00385270" w:rsidP="00385270">
      <w:pPr>
        <w:rPr>
          <w:rFonts w:asciiTheme="minorHAnsi" w:hAnsiTheme="minorHAnsi" w:cstheme="minorHAnsi"/>
          <w:b/>
          <w:szCs w:val="22"/>
        </w:rPr>
      </w:pPr>
      <w:r w:rsidRPr="005E5CB8">
        <w:rPr>
          <w:rFonts w:asciiTheme="minorHAnsi" w:hAnsiTheme="minorHAnsi" w:cstheme="minorHAnsi"/>
          <w:szCs w:val="22"/>
        </w:rPr>
        <w:lastRenderedPageBreak/>
        <w:t xml:space="preserve">In order to measure progress in implementing the Workforce and OD plan the health board will adopt the workforce performance framework adapted from a model developed by joint research undertaken by CIPD/CIMA/CMI </w:t>
      </w:r>
      <w:hyperlink r:id="rId96" w:history="1">
        <w:r w:rsidRPr="005E5CB8">
          <w:rPr>
            <w:rStyle w:val="Hyperlink"/>
            <w:rFonts w:asciiTheme="minorHAnsi" w:eastAsiaTheme="majorEastAsia" w:hAnsiTheme="minorHAnsi" w:cstheme="minorHAnsi"/>
            <w:szCs w:val="22"/>
          </w:rPr>
          <w:t>http://www.valuing-your-talent-framework.com/framework-detail.html</w:t>
        </w:r>
      </w:hyperlink>
      <w:r w:rsidRPr="005E5CB8">
        <w:rPr>
          <w:rFonts w:asciiTheme="minorHAnsi" w:hAnsiTheme="minorHAnsi" w:cstheme="minorHAnsi"/>
          <w:szCs w:val="22"/>
        </w:rPr>
        <w:t xml:space="preserve"> .  The framework demonstrates CTMs intention to ensure a robust holistic workforce and OD performance approach informed by a range of data including measures of staff experience.  </w:t>
      </w:r>
      <w:r w:rsidRPr="005E5CB8">
        <w:rPr>
          <w:rFonts w:asciiTheme="minorHAnsi" w:hAnsiTheme="minorHAnsi" w:cstheme="minorHAnsi"/>
          <w:b/>
          <w:szCs w:val="22"/>
        </w:rPr>
        <w:t>The model from the bottom up comprises:</w:t>
      </w:r>
    </w:p>
    <w:p w14:paraId="0D043180" w14:textId="77777777" w:rsidR="00385270" w:rsidRPr="005E5CB8" w:rsidRDefault="00385270" w:rsidP="00385270">
      <w:pPr>
        <w:pStyle w:val="NormaBullet"/>
      </w:pPr>
      <w:r w:rsidRPr="005E5CB8">
        <w:rPr>
          <w:b/>
        </w:rPr>
        <w:t>Inputs</w:t>
      </w:r>
      <w:r w:rsidRPr="005E5CB8">
        <w:t xml:space="preserve"> – basic information about the workforce resources of CTM.  This will be developed further via the continuing work to develop E-Systems.</w:t>
      </w:r>
    </w:p>
    <w:p w14:paraId="74EBA229" w14:textId="77777777" w:rsidR="00385270" w:rsidRPr="005E5CB8" w:rsidRDefault="00385270" w:rsidP="00385270">
      <w:pPr>
        <w:pStyle w:val="NormaBullet"/>
      </w:pPr>
      <w:r w:rsidRPr="005E5CB8">
        <w:rPr>
          <w:b/>
        </w:rPr>
        <w:t>Activities</w:t>
      </w:r>
      <w:r w:rsidRPr="005E5CB8">
        <w:t xml:space="preserve"> – converting the basic building blocks into higher value outputs through HR processes: performance reviews, recruitment, learning needs analysis etc.  The plan includes a range of actions to maximise these activities and additional measures of progress will be developed over time.</w:t>
      </w:r>
    </w:p>
    <w:p w14:paraId="0EB8F49C" w14:textId="77777777" w:rsidR="00385270" w:rsidRPr="005E5CB8" w:rsidRDefault="00385270" w:rsidP="00385270">
      <w:pPr>
        <w:pStyle w:val="NormaBullet"/>
      </w:pPr>
      <w:r w:rsidRPr="005E5CB8">
        <w:rPr>
          <w:b/>
        </w:rPr>
        <w:t>Outputs</w:t>
      </w:r>
      <w:r w:rsidRPr="005E5CB8">
        <w:t xml:space="preserve"> – add measurable value to the organisation and are the result of effective human capital management activities, e.g. leadership capability, diversity</w:t>
      </w:r>
    </w:p>
    <w:p w14:paraId="688CC5EF" w14:textId="77777777" w:rsidR="00385270" w:rsidRPr="005E5CB8" w:rsidRDefault="00385270" w:rsidP="00385270">
      <w:pPr>
        <w:pStyle w:val="NormaBullet"/>
      </w:pPr>
      <w:r w:rsidRPr="005E5CB8">
        <w:rPr>
          <w:b/>
        </w:rPr>
        <w:t>Outcomes</w:t>
      </w:r>
      <w:r w:rsidRPr="005E5CB8">
        <w:t xml:space="preserve"> – desired organisation culture, improved productivity, focus on improvement and quality</w:t>
      </w:r>
    </w:p>
    <w:p w14:paraId="33362DAE" w14:textId="3C3D743F" w:rsidR="00D852F5" w:rsidRPr="00385270" w:rsidRDefault="00D852F5" w:rsidP="00385270">
      <w:pPr>
        <w:autoSpaceDE w:val="0"/>
        <w:autoSpaceDN w:val="0"/>
        <w:adjustRightInd w:val="0"/>
        <w:rPr>
          <w:szCs w:val="22"/>
        </w:rPr>
      </w:pPr>
    </w:p>
    <w:p w14:paraId="40834779" w14:textId="77777777" w:rsidR="00D852F5" w:rsidRPr="00800207" w:rsidRDefault="00D852F5" w:rsidP="00D852F5">
      <w:pPr>
        <w:rPr>
          <w:szCs w:val="22"/>
        </w:rPr>
      </w:pPr>
      <w:r w:rsidRPr="00800207">
        <w:rPr>
          <w:szCs w:val="22"/>
        </w:rPr>
        <w:t>Key performance measures identified in the sections above are therefore:</w:t>
      </w:r>
    </w:p>
    <w:p w14:paraId="49AE8A7A" w14:textId="77777777" w:rsidR="00385270" w:rsidRPr="00385270" w:rsidRDefault="00385270" w:rsidP="00385270">
      <w:pPr>
        <w:pStyle w:val="NormaBullet"/>
      </w:pPr>
      <w:r w:rsidRPr="005E5CB8">
        <w:t>Inputs</w:t>
      </w:r>
      <w:r w:rsidRPr="00385270">
        <w:t>: WTE, WTE costs, Professional Regulation (Source: ESR, Oracle Finance</w:t>
      </w:r>
    </w:p>
    <w:p w14:paraId="48033B05" w14:textId="77777777" w:rsidR="00385270" w:rsidRPr="00385270" w:rsidRDefault="00385270" w:rsidP="00385270">
      <w:pPr>
        <w:pStyle w:val="NormaBullet"/>
      </w:pPr>
      <w:r w:rsidRPr="00385270">
        <w:t>Outputs: Time taken for “on-boarding”, levels and experience of Performance Appraisal (Source: Recruitment system, ESR, Consultant Appraisal system)</w:t>
      </w:r>
    </w:p>
    <w:p w14:paraId="3EFBFA58" w14:textId="77777777" w:rsidR="00385270" w:rsidRPr="00385270" w:rsidRDefault="00385270" w:rsidP="00385270">
      <w:pPr>
        <w:pStyle w:val="NormaBullet"/>
      </w:pPr>
      <w:r w:rsidRPr="00385270">
        <w:t>Outcomes: Staff Experience of leadership, Engagement Index, Sickness levels (reasons for sickness absence,  (Source, Staff Surveys, ESR)</w:t>
      </w:r>
    </w:p>
    <w:p w14:paraId="63BFDF67" w14:textId="77777777" w:rsidR="00385270" w:rsidRPr="00385270" w:rsidRDefault="00385270" w:rsidP="00385270">
      <w:pPr>
        <w:pStyle w:val="NormaBullet"/>
      </w:pPr>
      <w:r w:rsidRPr="00385270">
        <w:t>Outcomes: Linked to overall CTM performance measures but including high level measures of organisation culture.</w:t>
      </w:r>
    </w:p>
    <w:p w14:paraId="1F3553BE" w14:textId="77777777" w:rsidR="00D852F5" w:rsidRDefault="00D852F5">
      <w:pPr>
        <w:jc w:val="left"/>
        <w:rPr>
          <w:rFonts w:asciiTheme="minorHAnsi" w:hAnsiTheme="minorHAnsi" w:cs="Times New Roman"/>
          <w:color w:val="943634" w:themeColor="accent2" w:themeShade="BF"/>
          <w:szCs w:val="22"/>
        </w:rPr>
      </w:pPr>
      <w:r>
        <w:rPr>
          <w:rFonts w:asciiTheme="minorHAnsi" w:hAnsiTheme="minorHAnsi"/>
          <w:color w:val="943634" w:themeColor="accent2" w:themeShade="BF"/>
          <w:szCs w:val="22"/>
        </w:rPr>
        <w:br w:type="page"/>
      </w:r>
    </w:p>
    <w:p w14:paraId="1E14A7B6" w14:textId="0BB11BDD" w:rsidR="002551B2" w:rsidRPr="00D852F5" w:rsidRDefault="00D852F5" w:rsidP="002551B2">
      <w:pPr>
        <w:pStyle w:val="Heading1"/>
        <w:ind w:left="1077" w:hanging="1077"/>
      </w:pPr>
      <w:bookmarkStart w:id="167" w:name="_Toc25262189"/>
      <w:r w:rsidRPr="00D852F5">
        <w:lastRenderedPageBreak/>
        <w:t>FINANCE - 2020</w:t>
      </w:r>
      <w:r w:rsidR="002551B2" w:rsidRPr="00D852F5">
        <w:t>/2</w:t>
      </w:r>
      <w:r w:rsidRPr="00D852F5">
        <w:t>1</w:t>
      </w:r>
      <w:r w:rsidR="002551B2" w:rsidRPr="00D852F5">
        <w:t xml:space="preserve"> to 202</w:t>
      </w:r>
      <w:r w:rsidRPr="00D852F5">
        <w:t>2</w:t>
      </w:r>
      <w:r w:rsidR="002551B2" w:rsidRPr="00D852F5">
        <w:t>/2</w:t>
      </w:r>
      <w:r w:rsidRPr="00D852F5">
        <w:t>3</w:t>
      </w:r>
      <w:bookmarkEnd w:id="167"/>
    </w:p>
    <w:p w14:paraId="5DF2F215" w14:textId="77777777" w:rsidR="00D852F5" w:rsidRPr="00926E53" w:rsidRDefault="00D852F5" w:rsidP="00D852F5">
      <w:pPr>
        <w:rPr>
          <w:szCs w:val="22"/>
        </w:rPr>
      </w:pPr>
      <w:bookmarkStart w:id="168" w:name="_Toc441757301"/>
      <w:bookmarkStart w:id="169" w:name="_Toc447195698"/>
      <w:bookmarkStart w:id="170" w:name="_Toc471830070"/>
      <w:bookmarkStart w:id="171" w:name="_Toc473290394"/>
      <w:bookmarkStart w:id="172" w:name="_Toc478738559"/>
      <w:bookmarkStart w:id="173" w:name="_Toc532299707"/>
      <w:bookmarkStart w:id="174" w:name="_Toc532464113"/>
      <w:bookmarkStart w:id="175" w:name="_Toc536195586"/>
      <w:r w:rsidRPr="00926E53">
        <w:rPr>
          <w:szCs w:val="22"/>
        </w:rPr>
        <w:t>The financial plan for 20</w:t>
      </w:r>
      <w:r>
        <w:rPr>
          <w:szCs w:val="22"/>
        </w:rPr>
        <w:t>20/21</w:t>
      </w:r>
      <w:r w:rsidRPr="00926E53">
        <w:rPr>
          <w:szCs w:val="22"/>
        </w:rPr>
        <w:t xml:space="preserve"> to 20</w:t>
      </w:r>
      <w:r>
        <w:rPr>
          <w:szCs w:val="22"/>
        </w:rPr>
        <w:t>22</w:t>
      </w:r>
      <w:r w:rsidRPr="00926E53">
        <w:rPr>
          <w:szCs w:val="22"/>
        </w:rPr>
        <w:t>/2</w:t>
      </w:r>
      <w:r>
        <w:rPr>
          <w:szCs w:val="22"/>
        </w:rPr>
        <w:t>3</w:t>
      </w:r>
      <w:r w:rsidRPr="00926E53">
        <w:rPr>
          <w:szCs w:val="22"/>
        </w:rPr>
        <w:t xml:space="preserve"> builds on the current Cwm Taf plan and </w:t>
      </w:r>
      <w:r>
        <w:rPr>
          <w:szCs w:val="22"/>
        </w:rPr>
        <w:t xml:space="preserve">is currently </w:t>
      </w:r>
      <w:r w:rsidRPr="00926E53">
        <w:rPr>
          <w:szCs w:val="22"/>
        </w:rPr>
        <w:t xml:space="preserve">based on </w:t>
      </w:r>
      <w:r>
        <w:rPr>
          <w:szCs w:val="22"/>
        </w:rPr>
        <w:t>an assumed level of fun</w:t>
      </w:r>
      <w:r w:rsidRPr="00926E53">
        <w:rPr>
          <w:szCs w:val="22"/>
        </w:rPr>
        <w:t xml:space="preserve">ding </w:t>
      </w:r>
      <w:r>
        <w:rPr>
          <w:szCs w:val="22"/>
        </w:rPr>
        <w:t>for 2020/21 pending receipt of the 2020/21</w:t>
      </w:r>
      <w:r w:rsidRPr="00926E53">
        <w:rPr>
          <w:szCs w:val="22"/>
        </w:rPr>
        <w:t xml:space="preserve"> Allocation letter</w:t>
      </w:r>
      <w:r>
        <w:rPr>
          <w:szCs w:val="22"/>
        </w:rPr>
        <w:t xml:space="preserve"> in December</w:t>
      </w:r>
      <w:r w:rsidRPr="00926E53">
        <w:rPr>
          <w:szCs w:val="22"/>
        </w:rPr>
        <w:t xml:space="preserve">.  </w:t>
      </w:r>
    </w:p>
    <w:p w14:paraId="4C3E0A49" w14:textId="77777777" w:rsidR="00D852F5" w:rsidRPr="00B66177" w:rsidRDefault="00D852F5" w:rsidP="00D852F5">
      <w:pPr>
        <w:pStyle w:val="Heading2"/>
        <w:ind w:left="1077" w:hanging="1077"/>
      </w:pPr>
      <w:bookmarkStart w:id="176" w:name="_Toc536195575"/>
      <w:bookmarkStart w:id="177" w:name="_Toc536528057"/>
      <w:bookmarkStart w:id="178" w:name="_Toc25262190"/>
      <w:r>
        <w:t>Statutory Financial Duty</w:t>
      </w:r>
      <w:bookmarkEnd w:id="176"/>
      <w:bookmarkEnd w:id="177"/>
      <w:bookmarkEnd w:id="178"/>
    </w:p>
    <w:p w14:paraId="2B8160AB" w14:textId="77777777" w:rsidR="00113D31" w:rsidRDefault="00113D31" w:rsidP="00113D31">
      <w:pPr>
        <w:widowControl w:val="0"/>
      </w:pPr>
      <w:r>
        <w:t>Cwm Taf UHB h</w:t>
      </w:r>
      <w:r w:rsidRPr="008F570B">
        <w:t>as a statutory duty to achieve break even over a period of 3 financial years. This applies to revenue and capital expenditure. Performance against the 3-year rolling duty for revenue is summarised below:</w:t>
      </w:r>
    </w:p>
    <w:p w14:paraId="1D665564" w14:textId="77777777" w:rsidR="00113D31" w:rsidRDefault="00113D31" w:rsidP="00113D31">
      <w:pPr>
        <w:widowControl w:val="0"/>
      </w:pPr>
    </w:p>
    <w:tbl>
      <w:tblPr>
        <w:tblW w:w="8702" w:type="dxa"/>
        <w:jc w:val="center"/>
        <w:tblLook w:val="04A0" w:firstRow="1" w:lastRow="0" w:firstColumn="1" w:lastColumn="0" w:noHBand="0" w:noVBand="1"/>
      </w:tblPr>
      <w:tblGrid>
        <w:gridCol w:w="1843"/>
        <w:gridCol w:w="1276"/>
        <w:gridCol w:w="1417"/>
        <w:gridCol w:w="1418"/>
        <w:gridCol w:w="1486"/>
        <w:gridCol w:w="1262"/>
      </w:tblGrid>
      <w:tr w:rsidR="00113D31" w:rsidRPr="008F570B" w14:paraId="575C4446" w14:textId="77777777" w:rsidTr="0060790C">
        <w:trPr>
          <w:trHeight w:val="300"/>
          <w:jc w:val="center"/>
        </w:trPr>
        <w:tc>
          <w:tcPr>
            <w:tcW w:w="1843" w:type="dxa"/>
            <w:tcBorders>
              <w:top w:val="single" w:sz="4" w:space="0" w:color="auto"/>
              <w:left w:val="single" w:sz="4" w:space="0" w:color="auto"/>
              <w:bottom w:val="nil"/>
              <w:right w:val="single" w:sz="4" w:space="0" w:color="auto"/>
            </w:tcBorders>
            <w:shd w:val="clear" w:color="auto" w:fill="DBE5F1" w:themeFill="accent1" w:themeFillTint="33"/>
            <w:noWrap/>
            <w:vAlign w:val="bottom"/>
            <w:hideMark/>
          </w:tcPr>
          <w:p w14:paraId="79E6ABED" w14:textId="77777777" w:rsidR="00113D31" w:rsidRPr="008F570B" w:rsidRDefault="00113D31" w:rsidP="0060790C">
            <w:r w:rsidRPr="008F570B">
              <w:t> </w:t>
            </w:r>
          </w:p>
        </w:tc>
        <w:tc>
          <w:tcPr>
            <w:tcW w:w="1276" w:type="dxa"/>
            <w:tcBorders>
              <w:top w:val="single" w:sz="4" w:space="0" w:color="auto"/>
              <w:left w:val="nil"/>
              <w:bottom w:val="nil"/>
              <w:right w:val="single" w:sz="4" w:space="0" w:color="auto"/>
            </w:tcBorders>
            <w:shd w:val="clear" w:color="auto" w:fill="DBE5F1" w:themeFill="accent1" w:themeFillTint="33"/>
            <w:noWrap/>
            <w:vAlign w:val="bottom"/>
            <w:hideMark/>
          </w:tcPr>
          <w:p w14:paraId="215E91B2" w14:textId="77777777" w:rsidR="00113D31" w:rsidRPr="008F570B" w:rsidRDefault="00113D31" w:rsidP="0060790C">
            <w:pPr>
              <w:jc w:val="center"/>
            </w:pPr>
            <w:r w:rsidRPr="008F570B">
              <w:t>Actual</w:t>
            </w:r>
          </w:p>
        </w:tc>
        <w:tc>
          <w:tcPr>
            <w:tcW w:w="1417" w:type="dxa"/>
            <w:tcBorders>
              <w:top w:val="single" w:sz="4" w:space="0" w:color="auto"/>
              <w:left w:val="nil"/>
              <w:bottom w:val="nil"/>
              <w:right w:val="single" w:sz="4" w:space="0" w:color="auto"/>
            </w:tcBorders>
            <w:shd w:val="clear" w:color="auto" w:fill="DBE5F1" w:themeFill="accent1" w:themeFillTint="33"/>
            <w:noWrap/>
            <w:vAlign w:val="bottom"/>
            <w:hideMark/>
          </w:tcPr>
          <w:p w14:paraId="44081109" w14:textId="77777777" w:rsidR="00113D31" w:rsidRPr="008F570B" w:rsidRDefault="00113D31" w:rsidP="0060790C">
            <w:pPr>
              <w:jc w:val="center"/>
            </w:pPr>
            <w:r w:rsidRPr="008F570B">
              <w:t>Actual</w:t>
            </w:r>
          </w:p>
        </w:tc>
        <w:tc>
          <w:tcPr>
            <w:tcW w:w="1418" w:type="dxa"/>
            <w:tcBorders>
              <w:top w:val="single" w:sz="4" w:space="0" w:color="auto"/>
              <w:left w:val="nil"/>
              <w:bottom w:val="nil"/>
              <w:right w:val="single" w:sz="4" w:space="0" w:color="auto"/>
            </w:tcBorders>
            <w:shd w:val="clear" w:color="auto" w:fill="DBE5F1" w:themeFill="accent1" w:themeFillTint="33"/>
            <w:noWrap/>
            <w:vAlign w:val="bottom"/>
            <w:hideMark/>
          </w:tcPr>
          <w:p w14:paraId="04826907" w14:textId="77777777" w:rsidR="00113D31" w:rsidRPr="008F570B" w:rsidRDefault="00113D31" w:rsidP="0060790C">
            <w:pPr>
              <w:jc w:val="center"/>
            </w:pPr>
            <w:r>
              <w:t xml:space="preserve">Actual </w:t>
            </w:r>
          </w:p>
        </w:tc>
        <w:tc>
          <w:tcPr>
            <w:tcW w:w="1486" w:type="dxa"/>
            <w:tcBorders>
              <w:top w:val="single" w:sz="4" w:space="0" w:color="auto"/>
              <w:left w:val="nil"/>
              <w:bottom w:val="nil"/>
              <w:right w:val="single" w:sz="4" w:space="0" w:color="auto"/>
            </w:tcBorders>
            <w:shd w:val="clear" w:color="auto" w:fill="DBE5F1" w:themeFill="accent1" w:themeFillTint="33"/>
            <w:vAlign w:val="bottom"/>
          </w:tcPr>
          <w:p w14:paraId="1A03F475" w14:textId="77777777" w:rsidR="00113D31" w:rsidRPr="008F570B" w:rsidRDefault="00113D31" w:rsidP="0060790C">
            <w:pPr>
              <w:jc w:val="center"/>
            </w:pPr>
            <w:r>
              <w:t xml:space="preserve">Actual  </w:t>
            </w:r>
          </w:p>
        </w:tc>
        <w:tc>
          <w:tcPr>
            <w:tcW w:w="1262" w:type="dxa"/>
            <w:tcBorders>
              <w:top w:val="single" w:sz="4" w:space="0" w:color="auto"/>
              <w:left w:val="nil"/>
              <w:bottom w:val="nil"/>
              <w:right w:val="single" w:sz="4" w:space="0" w:color="auto"/>
            </w:tcBorders>
            <w:shd w:val="clear" w:color="auto" w:fill="DBE5F1" w:themeFill="accent1" w:themeFillTint="33"/>
            <w:vAlign w:val="bottom"/>
          </w:tcPr>
          <w:p w14:paraId="24C5E7D9" w14:textId="77777777" w:rsidR="00113D31" w:rsidRPr="008F570B" w:rsidRDefault="00113D31" w:rsidP="0060790C">
            <w:pPr>
              <w:jc w:val="center"/>
            </w:pPr>
            <w:r>
              <w:t xml:space="preserve">Forecast </w:t>
            </w:r>
          </w:p>
        </w:tc>
      </w:tr>
      <w:tr w:rsidR="00113D31" w:rsidRPr="008F570B" w14:paraId="331C13F2" w14:textId="77777777" w:rsidTr="0060790C">
        <w:trPr>
          <w:trHeight w:val="300"/>
          <w:jc w:val="center"/>
        </w:trPr>
        <w:tc>
          <w:tcPr>
            <w:tcW w:w="1843" w:type="dxa"/>
            <w:tcBorders>
              <w:top w:val="nil"/>
              <w:left w:val="single" w:sz="4" w:space="0" w:color="auto"/>
              <w:bottom w:val="single" w:sz="4" w:space="0" w:color="auto"/>
              <w:right w:val="single" w:sz="4" w:space="0" w:color="auto"/>
            </w:tcBorders>
            <w:shd w:val="clear" w:color="auto" w:fill="DBE5F1" w:themeFill="accent1" w:themeFillTint="33"/>
            <w:noWrap/>
            <w:vAlign w:val="bottom"/>
            <w:hideMark/>
          </w:tcPr>
          <w:p w14:paraId="09B42679" w14:textId="77777777" w:rsidR="00113D31" w:rsidRPr="008F570B" w:rsidRDefault="00113D31" w:rsidP="0060790C">
            <w:r w:rsidRPr="008F570B">
              <w:t> Revenue:</w:t>
            </w:r>
          </w:p>
        </w:tc>
        <w:tc>
          <w:tcPr>
            <w:tcW w:w="1276" w:type="dxa"/>
            <w:tcBorders>
              <w:top w:val="nil"/>
              <w:left w:val="nil"/>
              <w:bottom w:val="single" w:sz="4" w:space="0" w:color="auto"/>
              <w:right w:val="single" w:sz="4" w:space="0" w:color="auto"/>
            </w:tcBorders>
            <w:shd w:val="clear" w:color="auto" w:fill="DBE5F1" w:themeFill="accent1" w:themeFillTint="33"/>
            <w:noWrap/>
            <w:vAlign w:val="bottom"/>
            <w:hideMark/>
          </w:tcPr>
          <w:p w14:paraId="5F3498CB" w14:textId="77777777" w:rsidR="00113D31" w:rsidRPr="008F570B" w:rsidRDefault="00113D31" w:rsidP="0060790C">
            <w:pPr>
              <w:jc w:val="center"/>
            </w:pPr>
            <w:r w:rsidRPr="008F570B">
              <w:t>2015/16</w:t>
            </w:r>
          </w:p>
        </w:tc>
        <w:tc>
          <w:tcPr>
            <w:tcW w:w="1417" w:type="dxa"/>
            <w:tcBorders>
              <w:top w:val="nil"/>
              <w:left w:val="nil"/>
              <w:bottom w:val="single" w:sz="4" w:space="0" w:color="auto"/>
              <w:right w:val="single" w:sz="4" w:space="0" w:color="auto"/>
            </w:tcBorders>
            <w:shd w:val="clear" w:color="auto" w:fill="DBE5F1" w:themeFill="accent1" w:themeFillTint="33"/>
            <w:noWrap/>
            <w:vAlign w:val="bottom"/>
            <w:hideMark/>
          </w:tcPr>
          <w:p w14:paraId="7FD67D5B" w14:textId="77777777" w:rsidR="00113D31" w:rsidRPr="008F570B" w:rsidRDefault="00113D31" w:rsidP="0060790C">
            <w:pPr>
              <w:jc w:val="center"/>
            </w:pPr>
            <w:r w:rsidRPr="008F570B">
              <w:t xml:space="preserve">2016/17 </w:t>
            </w:r>
          </w:p>
        </w:tc>
        <w:tc>
          <w:tcPr>
            <w:tcW w:w="1418" w:type="dxa"/>
            <w:tcBorders>
              <w:top w:val="nil"/>
              <w:left w:val="nil"/>
              <w:bottom w:val="single" w:sz="4" w:space="0" w:color="auto"/>
              <w:right w:val="single" w:sz="4" w:space="0" w:color="auto"/>
            </w:tcBorders>
            <w:shd w:val="clear" w:color="auto" w:fill="DBE5F1" w:themeFill="accent1" w:themeFillTint="33"/>
            <w:noWrap/>
            <w:vAlign w:val="bottom"/>
            <w:hideMark/>
          </w:tcPr>
          <w:p w14:paraId="6294158D" w14:textId="77777777" w:rsidR="00113D31" w:rsidRPr="008F570B" w:rsidRDefault="00113D31" w:rsidP="0060790C">
            <w:pPr>
              <w:jc w:val="center"/>
            </w:pPr>
            <w:r w:rsidRPr="008F570B">
              <w:t>2017/18</w:t>
            </w:r>
          </w:p>
        </w:tc>
        <w:tc>
          <w:tcPr>
            <w:tcW w:w="1486" w:type="dxa"/>
            <w:tcBorders>
              <w:top w:val="nil"/>
              <w:left w:val="nil"/>
              <w:bottom w:val="single" w:sz="4" w:space="0" w:color="auto"/>
              <w:right w:val="single" w:sz="4" w:space="0" w:color="auto"/>
            </w:tcBorders>
            <w:shd w:val="clear" w:color="auto" w:fill="DBE5F1" w:themeFill="accent1" w:themeFillTint="33"/>
            <w:vAlign w:val="bottom"/>
          </w:tcPr>
          <w:p w14:paraId="660BA80C" w14:textId="77777777" w:rsidR="00113D31" w:rsidRPr="008F570B" w:rsidRDefault="00113D31" w:rsidP="0060790C">
            <w:pPr>
              <w:jc w:val="center"/>
            </w:pPr>
            <w:r w:rsidRPr="008F570B">
              <w:t>201</w:t>
            </w:r>
            <w:r>
              <w:t>8</w:t>
            </w:r>
            <w:r w:rsidRPr="008F570B">
              <w:t>/1</w:t>
            </w:r>
            <w:r>
              <w:t>9</w:t>
            </w:r>
          </w:p>
        </w:tc>
        <w:tc>
          <w:tcPr>
            <w:tcW w:w="1262" w:type="dxa"/>
            <w:tcBorders>
              <w:top w:val="nil"/>
              <w:left w:val="nil"/>
              <w:bottom w:val="single" w:sz="4" w:space="0" w:color="auto"/>
              <w:right w:val="single" w:sz="4" w:space="0" w:color="auto"/>
            </w:tcBorders>
            <w:shd w:val="clear" w:color="auto" w:fill="DBE5F1" w:themeFill="accent1" w:themeFillTint="33"/>
            <w:vAlign w:val="bottom"/>
          </w:tcPr>
          <w:p w14:paraId="683ACECA" w14:textId="77777777" w:rsidR="00113D31" w:rsidRPr="008F570B" w:rsidRDefault="00113D31" w:rsidP="0060790C">
            <w:pPr>
              <w:jc w:val="center"/>
            </w:pPr>
            <w:r w:rsidRPr="008F570B">
              <w:t>20</w:t>
            </w:r>
            <w:r>
              <w:t>19/20</w:t>
            </w:r>
          </w:p>
        </w:tc>
      </w:tr>
      <w:tr w:rsidR="00113D31" w:rsidRPr="008F570B" w14:paraId="2082D48E" w14:textId="77777777" w:rsidTr="0060790C">
        <w:trPr>
          <w:trHeight w:val="318"/>
          <w:jc w:val="center"/>
        </w:trPr>
        <w:tc>
          <w:tcPr>
            <w:tcW w:w="1843" w:type="dxa"/>
            <w:tcBorders>
              <w:top w:val="single" w:sz="4" w:space="0" w:color="auto"/>
              <w:left w:val="single" w:sz="4" w:space="0" w:color="auto"/>
              <w:bottom w:val="single" w:sz="4" w:space="0" w:color="auto"/>
              <w:right w:val="single" w:sz="4" w:space="0" w:color="auto"/>
            </w:tcBorders>
            <w:noWrap/>
            <w:vAlign w:val="bottom"/>
            <w:hideMark/>
          </w:tcPr>
          <w:p w14:paraId="5735E85B" w14:textId="77777777" w:rsidR="00113D31" w:rsidRPr="008F570B" w:rsidRDefault="00113D31" w:rsidP="0060790C">
            <w:pPr>
              <w:jc w:val="left"/>
              <w:rPr>
                <w:rFonts w:ascii="Times New Roman" w:hAnsi="Times New Roman" w:cs="Times New Roman"/>
              </w:rPr>
            </w:pPr>
          </w:p>
        </w:tc>
        <w:tc>
          <w:tcPr>
            <w:tcW w:w="1276" w:type="dxa"/>
            <w:tcBorders>
              <w:top w:val="single" w:sz="4" w:space="0" w:color="auto"/>
              <w:left w:val="nil"/>
              <w:bottom w:val="single" w:sz="4" w:space="0" w:color="auto"/>
              <w:right w:val="single" w:sz="4" w:space="0" w:color="auto"/>
            </w:tcBorders>
            <w:noWrap/>
            <w:hideMark/>
          </w:tcPr>
          <w:p w14:paraId="4A1FC2CD" w14:textId="77777777" w:rsidR="00113D31" w:rsidRPr="008F570B" w:rsidRDefault="00113D31" w:rsidP="0060790C">
            <w:pPr>
              <w:jc w:val="right"/>
            </w:pPr>
            <w:r w:rsidRPr="008F570B">
              <w:t>£k</w:t>
            </w:r>
          </w:p>
        </w:tc>
        <w:tc>
          <w:tcPr>
            <w:tcW w:w="1417" w:type="dxa"/>
            <w:tcBorders>
              <w:top w:val="single" w:sz="4" w:space="0" w:color="auto"/>
              <w:left w:val="nil"/>
              <w:bottom w:val="single" w:sz="4" w:space="0" w:color="auto"/>
              <w:right w:val="single" w:sz="4" w:space="0" w:color="auto"/>
            </w:tcBorders>
            <w:noWrap/>
            <w:hideMark/>
          </w:tcPr>
          <w:p w14:paraId="3F8100D9" w14:textId="77777777" w:rsidR="00113D31" w:rsidRPr="008F570B" w:rsidRDefault="00113D31" w:rsidP="0060790C">
            <w:pPr>
              <w:jc w:val="right"/>
            </w:pPr>
            <w:r w:rsidRPr="008F570B">
              <w:t>£k</w:t>
            </w:r>
          </w:p>
        </w:tc>
        <w:tc>
          <w:tcPr>
            <w:tcW w:w="1418" w:type="dxa"/>
            <w:tcBorders>
              <w:top w:val="single" w:sz="4" w:space="0" w:color="auto"/>
              <w:left w:val="nil"/>
              <w:bottom w:val="single" w:sz="4" w:space="0" w:color="auto"/>
              <w:right w:val="single" w:sz="4" w:space="0" w:color="auto"/>
            </w:tcBorders>
            <w:noWrap/>
            <w:hideMark/>
          </w:tcPr>
          <w:p w14:paraId="530A5E85" w14:textId="77777777" w:rsidR="00113D31" w:rsidRPr="008F570B" w:rsidRDefault="00113D31" w:rsidP="0060790C">
            <w:pPr>
              <w:jc w:val="right"/>
            </w:pPr>
            <w:r w:rsidRPr="008F570B">
              <w:t>£k</w:t>
            </w:r>
          </w:p>
        </w:tc>
        <w:tc>
          <w:tcPr>
            <w:tcW w:w="1486" w:type="dxa"/>
            <w:tcBorders>
              <w:top w:val="single" w:sz="4" w:space="0" w:color="auto"/>
              <w:left w:val="nil"/>
              <w:bottom w:val="single" w:sz="4" w:space="0" w:color="auto"/>
              <w:right w:val="single" w:sz="4" w:space="0" w:color="auto"/>
            </w:tcBorders>
          </w:tcPr>
          <w:p w14:paraId="4FD8FE6A" w14:textId="77777777" w:rsidR="00113D31" w:rsidRPr="008F570B" w:rsidRDefault="00113D31" w:rsidP="0060790C">
            <w:pPr>
              <w:jc w:val="right"/>
            </w:pPr>
            <w:r w:rsidRPr="008F570B">
              <w:t>£k</w:t>
            </w:r>
          </w:p>
        </w:tc>
        <w:tc>
          <w:tcPr>
            <w:tcW w:w="1262" w:type="dxa"/>
            <w:tcBorders>
              <w:top w:val="single" w:sz="4" w:space="0" w:color="auto"/>
              <w:left w:val="nil"/>
              <w:bottom w:val="single" w:sz="4" w:space="0" w:color="auto"/>
              <w:right w:val="single" w:sz="4" w:space="0" w:color="auto"/>
            </w:tcBorders>
          </w:tcPr>
          <w:p w14:paraId="52A50A23" w14:textId="77777777" w:rsidR="00113D31" w:rsidRPr="008F570B" w:rsidRDefault="00113D31" w:rsidP="0060790C">
            <w:pPr>
              <w:jc w:val="right"/>
            </w:pPr>
          </w:p>
        </w:tc>
      </w:tr>
      <w:tr w:rsidR="00113D31" w:rsidRPr="008F570B" w14:paraId="7C07854D" w14:textId="77777777" w:rsidTr="0060790C">
        <w:trPr>
          <w:trHeight w:val="106"/>
          <w:jc w:val="center"/>
        </w:trPr>
        <w:tc>
          <w:tcPr>
            <w:tcW w:w="1843" w:type="dxa"/>
            <w:tcBorders>
              <w:top w:val="single" w:sz="4" w:space="0" w:color="auto"/>
              <w:left w:val="single" w:sz="4" w:space="0" w:color="auto"/>
              <w:bottom w:val="single" w:sz="4" w:space="0" w:color="auto"/>
              <w:right w:val="single" w:sz="4" w:space="0" w:color="auto"/>
            </w:tcBorders>
            <w:noWrap/>
            <w:vAlign w:val="bottom"/>
            <w:hideMark/>
          </w:tcPr>
          <w:p w14:paraId="56211E61" w14:textId="77777777" w:rsidR="00113D31" w:rsidRPr="008F570B" w:rsidRDefault="00113D31" w:rsidP="0060790C">
            <w:r w:rsidRPr="008F570B">
              <w:t>Surplus /</w:t>
            </w:r>
            <w:r>
              <w:t>(</w:t>
            </w:r>
            <w:r w:rsidRPr="008F570B">
              <w:t>deficit)</w:t>
            </w:r>
          </w:p>
        </w:tc>
        <w:tc>
          <w:tcPr>
            <w:tcW w:w="1276" w:type="dxa"/>
            <w:tcBorders>
              <w:top w:val="single" w:sz="4" w:space="0" w:color="auto"/>
              <w:left w:val="nil"/>
              <w:bottom w:val="single" w:sz="4" w:space="0" w:color="auto"/>
              <w:right w:val="single" w:sz="4" w:space="0" w:color="auto"/>
            </w:tcBorders>
            <w:noWrap/>
            <w:vAlign w:val="bottom"/>
            <w:hideMark/>
          </w:tcPr>
          <w:p w14:paraId="4F97646D" w14:textId="77777777" w:rsidR="00113D31" w:rsidRPr="008F570B" w:rsidRDefault="00113D31" w:rsidP="0060790C">
            <w:pPr>
              <w:jc w:val="right"/>
            </w:pPr>
            <w:r w:rsidRPr="008F570B">
              <w:t>22</w:t>
            </w:r>
          </w:p>
        </w:tc>
        <w:tc>
          <w:tcPr>
            <w:tcW w:w="1417" w:type="dxa"/>
            <w:tcBorders>
              <w:top w:val="single" w:sz="4" w:space="0" w:color="auto"/>
              <w:left w:val="nil"/>
              <w:bottom w:val="single" w:sz="4" w:space="0" w:color="auto"/>
              <w:right w:val="single" w:sz="4" w:space="0" w:color="auto"/>
            </w:tcBorders>
            <w:noWrap/>
            <w:vAlign w:val="bottom"/>
            <w:hideMark/>
          </w:tcPr>
          <w:p w14:paraId="7DF486BB" w14:textId="77777777" w:rsidR="00113D31" w:rsidRPr="008F570B" w:rsidRDefault="00113D31" w:rsidP="0060790C">
            <w:pPr>
              <w:jc w:val="right"/>
            </w:pPr>
            <w:r w:rsidRPr="008F570B">
              <w:t>18</w:t>
            </w:r>
          </w:p>
        </w:tc>
        <w:tc>
          <w:tcPr>
            <w:tcW w:w="1418" w:type="dxa"/>
            <w:tcBorders>
              <w:top w:val="single" w:sz="4" w:space="0" w:color="auto"/>
              <w:left w:val="nil"/>
              <w:bottom w:val="single" w:sz="4" w:space="0" w:color="auto"/>
              <w:right w:val="single" w:sz="4" w:space="0" w:color="auto"/>
            </w:tcBorders>
            <w:noWrap/>
            <w:vAlign w:val="bottom"/>
            <w:hideMark/>
          </w:tcPr>
          <w:p w14:paraId="28E1ABAC" w14:textId="77777777" w:rsidR="00113D31" w:rsidRPr="007D3AD2" w:rsidRDefault="00113D31" w:rsidP="0060790C">
            <w:pPr>
              <w:jc w:val="right"/>
            </w:pPr>
            <w:r w:rsidRPr="007D3AD2">
              <w:t xml:space="preserve">23 </w:t>
            </w:r>
          </w:p>
        </w:tc>
        <w:tc>
          <w:tcPr>
            <w:tcW w:w="1486" w:type="dxa"/>
            <w:tcBorders>
              <w:top w:val="single" w:sz="4" w:space="0" w:color="auto"/>
              <w:left w:val="nil"/>
              <w:bottom w:val="single" w:sz="4" w:space="0" w:color="auto"/>
              <w:right w:val="single" w:sz="4" w:space="0" w:color="auto"/>
            </w:tcBorders>
          </w:tcPr>
          <w:p w14:paraId="7483A326" w14:textId="77777777" w:rsidR="00113D31" w:rsidRPr="004E4034" w:rsidRDefault="00113D31" w:rsidP="0060790C">
            <w:pPr>
              <w:jc w:val="right"/>
            </w:pPr>
            <w:r w:rsidRPr="004E4034">
              <w:t>25</w:t>
            </w:r>
          </w:p>
        </w:tc>
        <w:tc>
          <w:tcPr>
            <w:tcW w:w="1262" w:type="dxa"/>
            <w:tcBorders>
              <w:top w:val="single" w:sz="4" w:space="0" w:color="auto"/>
              <w:left w:val="nil"/>
              <w:bottom w:val="single" w:sz="4" w:space="0" w:color="auto"/>
              <w:right w:val="single" w:sz="4" w:space="0" w:color="auto"/>
            </w:tcBorders>
          </w:tcPr>
          <w:p w14:paraId="7916D573" w14:textId="77777777" w:rsidR="00113D31" w:rsidRPr="004E4034" w:rsidRDefault="00113D31" w:rsidP="0060790C">
            <w:pPr>
              <w:jc w:val="right"/>
            </w:pPr>
            <w:r w:rsidRPr="004E4034">
              <w:t>0</w:t>
            </w:r>
          </w:p>
        </w:tc>
      </w:tr>
      <w:tr w:rsidR="00113D31" w:rsidRPr="008F570B" w14:paraId="2CA3125C" w14:textId="77777777" w:rsidTr="0060790C">
        <w:trPr>
          <w:trHeight w:val="106"/>
          <w:jc w:val="center"/>
        </w:trPr>
        <w:tc>
          <w:tcPr>
            <w:tcW w:w="1843" w:type="dxa"/>
            <w:tcBorders>
              <w:top w:val="single" w:sz="4" w:space="0" w:color="auto"/>
              <w:left w:val="single" w:sz="4" w:space="0" w:color="auto"/>
              <w:bottom w:val="single" w:sz="4" w:space="0" w:color="auto"/>
              <w:right w:val="single" w:sz="4" w:space="0" w:color="auto"/>
            </w:tcBorders>
            <w:noWrap/>
            <w:vAlign w:val="bottom"/>
          </w:tcPr>
          <w:p w14:paraId="4791C3CC" w14:textId="77777777" w:rsidR="00113D31" w:rsidRPr="008F570B" w:rsidRDefault="00113D31" w:rsidP="0060790C">
            <w:r>
              <w:t>Rolling 3 years</w:t>
            </w:r>
          </w:p>
        </w:tc>
        <w:tc>
          <w:tcPr>
            <w:tcW w:w="1276" w:type="dxa"/>
            <w:tcBorders>
              <w:top w:val="single" w:sz="4" w:space="0" w:color="auto"/>
              <w:left w:val="nil"/>
              <w:bottom w:val="single" w:sz="4" w:space="0" w:color="auto"/>
              <w:right w:val="single" w:sz="4" w:space="0" w:color="auto"/>
            </w:tcBorders>
            <w:noWrap/>
            <w:vAlign w:val="bottom"/>
          </w:tcPr>
          <w:p w14:paraId="3E114772" w14:textId="77777777" w:rsidR="00113D31" w:rsidRPr="008F570B" w:rsidRDefault="00113D31" w:rsidP="0060790C">
            <w:pPr>
              <w:jc w:val="right"/>
            </w:pPr>
          </w:p>
        </w:tc>
        <w:tc>
          <w:tcPr>
            <w:tcW w:w="1417" w:type="dxa"/>
            <w:tcBorders>
              <w:top w:val="single" w:sz="4" w:space="0" w:color="auto"/>
              <w:left w:val="nil"/>
              <w:bottom w:val="single" w:sz="4" w:space="0" w:color="auto"/>
              <w:right w:val="single" w:sz="4" w:space="0" w:color="auto"/>
            </w:tcBorders>
            <w:noWrap/>
            <w:vAlign w:val="bottom"/>
          </w:tcPr>
          <w:p w14:paraId="37EEAE31" w14:textId="77777777" w:rsidR="00113D31" w:rsidRPr="008F570B" w:rsidRDefault="00113D31" w:rsidP="0060790C">
            <w:pPr>
              <w:jc w:val="right"/>
            </w:pPr>
            <w:r>
              <w:t>70</w:t>
            </w:r>
          </w:p>
        </w:tc>
        <w:tc>
          <w:tcPr>
            <w:tcW w:w="1418" w:type="dxa"/>
            <w:tcBorders>
              <w:top w:val="single" w:sz="4" w:space="0" w:color="auto"/>
              <w:left w:val="nil"/>
              <w:bottom w:val="single" w:sz="4" w:space="0" w:color="auto"/>
              <w:right w:val="single" w:sz="4" w:space="0" w:color="auto"/>
            </w:tcBorders>
            <w:noWrap/>
            <w:vAlign w:val="bottom"/>
          </w:tcPr>
          <w:p w14:paraId="5A9D561B" w14:textId="77777777" w:rsidR="00113D31" w:rsidRPr="007D3AD2" w:rsidRDefault="00113D31" w:rsidP="0060790C">
            <w:pPr>
              <w:jc w:val="right"/>
            </w:pPr>
            <w:r>
              <w:t>63</w:t>
            </w:r>
          </w:p>
        </w:tc>
        <w:tc>
          <w:tcPr>
            <w:tcW w:w="1486" w:type="dxa"/>
            <w:tcBorders>
              <w:top w:val="single" w:sz="4" w:space="0" w:color="auto"/>
              <w:left w:val="nil"/>
              <w:bottom w:val="single" w:sz="4" w:space="0" w:color="auto"/>
              <w:right w:val="single" w:sz="4" w:space="0" w:color="auto"/>
            </w:tcBorders>
          </w:tcPr>
          <w:p w14:paraId="60FD2E83" w14:textId="77777777" w:rsidR="00113D31" w:rsidRPr="004E4034" w:rsidRDefault="00113D31" w:rsidP="0060790C">
            <w:pPr>
              <w:jc w:val="right"/>
            </w:pPr>
            <w:r w:rsidRPr="004E4034">
              <w:t>66</w:t>
            </w:r>
          </w:p>
        </w:tc>
        <w:tc>
          <w:tcPr>
            <w:tcW w:w="1262" w:type="dxa"/>
            <w:tcBorders>
              <w:top w:val="single" w:sz="4" w:space="0" w:color="auto"/>
              <w:left w:val="nil"/>
              <w:bottom w:val="single" w:sz="4" w:space="0" w:color="auto"/>
              <w:right w:val="single" w:sz="4" w:space="0" w:color="auto"/>
            </w:tcBorders>
          </w:tcPr>
          <w:p w14:paraId="6BEE3639" w14:textId="77777777" w:rsidR="00113D31" w:rsidRPr="004E4034" w:rsidRDefault="00113D31" w:rsidP="0060790C">
            <w:pPr>
              <w:jc w:val="right"/>
            </w:pPr>
            <w:r w:rsidRPr="004E4034">
              <w:t>45</w:t>
            </w:r>
          </w:p>
        </w:tc>
      </w:tr>
    </w:tbl>
    <w:p w14:paraId="07040B66" w14:textId="77777777" w:rsidR="00113D31" w:rsidRPr="00B66177" w:rsidRDefault="00113D31" w:rsidP="00113D31">
      <w:pPr>
        <w:pStyle w:val="Heading2"/>
        <w:ind w:left="1077" w:hanging="1077"/>
      </w:pPr>
      <w:bookmarkStart w:id="179" w:name="_Toc536195576"/>
      <w:bookmarkStart w:id="180" w:name="_Toc536528058"/>
      <w:bookmarkStart w:id="181" w:name="_Toc25262191"/>
      <w:r w:rsidRPr="00B66177">
        <w:t>Update on Financial Performance in 201</w:t>
      </w:r>
      <w:r>
        <w:t>9/20</w:t>
      </w:r>
      <w:bookmarkEnd w:id="179"/>
      <w:bookmarkEnd w:id="180"/>
      <w:bookmarkEnd w:id="181"/>
    </w:p>
    <w:p w14:paraId="4135EF78" w14:textId="77777777" w:rsidR="00113D31" w:rsidRDefault="00113D31" w:rsidP="00113D31">
      <w:pPr>
        <w:rPr>
          <w:bCs/>
        </w:rPr>
      </w:pPr>
      <w:r>
        <w:t xml:space="preserve">Cwm Taf UHB has recently submitted its M7 Monitoring Returns to Welsh Government. </w:t>
      </w:r>
      <w:r w:rsidRPr="00853E9F">
        <w:t xml:space="preserve">This showed a </w:t>
      </w:r>
      <w:r>
        <w:t xml:space="preserve">M7 YTD deficit of £1.1m </w:t>
      </w:r>
      <w:r w:rsidRPr="00853E9F">
        <w:t>and a forecast breakeven position for 201</w:t>
      </w:r>
      <w:r>
        <w:t>9/20</w:t>
      </w:r>
      <w:r w:rsidRPr="00853E9F">
        <w:t>.</w:t>
      </w:r>
      <w:r w:rsidRPr="00853E9F">
        <w:rPr>
          <w:bCs/>
        </w:rPr>
        <w:t xml:space="preserve"> </w:t>
      </w:r>
    </w:p>
    <w:p w14:paraId="4D3096E6" w14:textId="77777777" w:rsidR="00113D31" w:rsidRDefault="00113D31" w:rsidP="00113D31"/>
    <w:p w14:paraId="5C19DA42" w14:textId="77777777" w:rsidR="00113D31" w:rsidRDefault="00113D31" w:rsidP="00113D31">
      <w:r w:rsidRPr="00151B93">
        <w:t>We are reporting a £13.6m recurring deficit going into 2020/21</w:t>
      </w:r>
      <w:r>
        <w:t xml:space="preserve"> and this is the starting point for our medium term financial plan for the three year period 2021/22 to 2022/23.</w:t>
      </w:r>
    </w:p>
    <w:p w14:paraId="66D6F49C" w14:textId="77777777" w:rsidR="00113D31" w:rsidRDefault="00113D31" w:rsidP="00113D31"/>
    <w:p w14:paraId="5F72EE52" w14:textId="77777777" w:rsidR="00113D31" w:rsidRDefault="00113D31" w:rsidP="00113D31">
      <w:r w:rsidRPr="00151B93">
        <w:t xml:space="preserve">This is £9.0m lower than the latest bottom up forecast from directorates. </w:t>
      </w:r>
      <w:r>
        <w:t>This reflects targets which have been set at directorate level to reduce the £26m forecast recurrent overspend on delegated budgets as at Month 6 by £8.0m to £18m, together with a target reduction of £1m in the increase in corporate budgets resulting from the Bridgend transfer(from £7m to £6m).  Ur</w:t>
      </w:r>
      <w:r w:rsidRPr="00151B93">
        <w:t xml:space="preserve">gent action is needed across all directorates to reduce overspending, increase savings delivery and </w:t>
      </w:r>
      <w:r>
        <w:t xml:space="preserve">to </w:t>
      </w:r>
      <w:r w:rsidRPr="00151B93">
        <w:t xml:space="preserve">reduce their forecast recurring deficits going into 20/21 to achieve the assumed £13.6m level of recurring deficit. Given the seriousness of the financial position, monthly escalation meetings with the CEO and other Executives have commenced in November. </w:t>
      </w:r>
    </w:p>
    <w:p w14:paraId="572D9DF9" w14:textId="77777777" w:rsidR="00113D31" w:rsidRPr="00151B93" w:rsidRDefault="00113D31" w:rsidP="00113D31"/>
    <w:p w14:paraId="0C123FAA" w14:textId="77777777" w:rsidR="00113D31" w:rsidRDefault="00113D31" w:rsidP="00113D31">
      <w:r w:rsidRPr="00151B93">
        <w:t>The £13.6m reported deficit is consistent with the ‘control totals’ that have been set for individual directorates and is aligned with the financial escalation meetings</w:t>
      </w:r>
      <w:r>
        <w:t xml:space="preserve">. </w:t>
      </w:r>
      <w:r w:rsidRPr="00151B93">
        <w:t xml:space="preserve">These control totals require a reduction in the current monthly expenditure run rates which will require monthly improvement trajectories from directorates for the rest of the year. </w:t>
      </w:r>
      <w:r>
        <w:t xml:space="preserve">The </w:t>
      </w:r>
      <w:r w:rsidRPr="00151B93">
        <w:t xml:space="preserve">escalation process is also focussing on the savings pipeline for 2020/21.  </w:t>
      </w:r>
    </w:p>
    <w:p w14:paraId="332106F2" w14:textId="77777777" w:rsidR="00113D31" w:rsidRDefault="00113D31" w:rsidP="00113D31"/>
    <w:p w14:paraId="15142F82" w14:textId="77777777" w:rsidR="00113D31" w:rsidRPr="00151B93" w:rsidRDefault="00113D31" w:rsidP="00113D31">
      <w:r>
        <w:t xml:space="preserve">Any shortfall in delivering the £9m improvement in the forecast recurrent deficit in 19/20 would result in an increased savings requirement above the planned level </w:t>
      </w:r>
      <w:r w:rsidRPr="00975F9B">
        <w:t>of £26m (2.9%) for</w:t>
      </w:r>
      <w:r>
        <w:t xml:space="preserve"> 20/21.  </w:t>
      </w:r>
    </w:p>
    <w:p w14:paraId="426F4D8B" w14:textId="77777777" w:rsidR="00113D31" w:rsidRPr="00B66177" w:rsidRDefault="00113D31" w:rsidP="00113D31">
      <w:pPr>
        <w:pStyle w:val="Heading2"/>
        <w:ind w:left="1077" w:hanging="1077"/>
      </w:pPr>
      <w:bookmarkStart w:id="182" w:name="_Toc536195577"/>
      <w:bookmarkStart w:id="183" w:name="_Toc536528059"/>
      <w:bookmarkStart w:id="184" w:name="_Toc25262192"/>
      <w:r>
        <w:t>Overview of the Financial P</w:t>
      </w:r>
      <w:r w:rsidRPr="00B66177">
        <w:t>lan for 20</w:t>
      </w:r>
      <w:r>
        <w:t>20</w:t>
      </w:r>
      <w:r w:rsidRPr="00B66177">
        <w:t>/2</w:t>
      </w:r>
      <w:r>
        <w:t>1</w:t>
      </w:r>
      <w:r w:rsidRPr="00B66177">
        <w:t xml:space="preserve"> to 202</w:t>
      </w:r>
      <w:r>
        <w:t>2</w:t>
      </w:r>
      <w:r w:rsidRPr="00B66177">
        <w:t>/2</w:t>
      </w:r>
      <w:r>
        <w:t>3</w:t>
      </w:r>
      <w:bookmarkEnd w:id="182"/>
      <w:bookmarkEnd w:id="183"/>
      <w:bookmarkEnd w:id="184"/>
      <w:r w:rsidRPr="00B66177">
        <w:t xml:space="preserve"> </w:t>
      </w:r>
    </w:p>
    <w:p w14:paraId="42FE93A1" w14:textId="77777777" w:rsidR="00113D31" w:rsidRDefault="00113D31" w:rsidP="00113D31">
      <w:r w:rsidRPr="0060065F">
        <w:t xml:space="preserve">The key </w:t>
      </w:r>
      <w:r>
        <w:t>a</w:t>
      </w:r>
      <w:r w:rsidRPr="0060065F">
        <w:t>ssumptions driving</w:t>
      </w:r>
      <w:r>
        <w:t xml:space="preserve"> the CTM </w:t>
      </w:r>
      <w:r w:rsidRPr="0060065F">
        <w:t>financial plan for the next t</w:t>
      </w:r>
      <w:r>
        <w:t xml:space="preserve">hree years are summarised below: </w:t>
      </w:r>
    </w:p>
    <w:p w14:paraId="3B7261ED" w14:textId="77777777" w:rsidR="00113D31" w:rsidRPr="0060065F" w:rsidRDefault="00113D31" w:rsidP="00113D31"/>
    <w:p w14:paraId="2E23A427" w14:textId="77777777" w:rsidR="00113D31" w:rsidRDefault="00113D31" w:rsidP="003B1653">
      <w:pPr>
        <w:pStyle w:val="NormaBullet"/>
        <w:numPr>
          <w:ilvl w:val="0"/>
          <w:numId w:val="8"/>
        </w:numPr>
      </w:pPr>
      <w:r w:rsidRPr="009D263A">
        <w:t>A forecast underlying deficit at the end of 2019/20 of £13.6m.</w:t>
      </w:r>
    </w:p>
    <w:p w14:paraId="285D4AF4" w14:textId="77777777" w:rsidR="00113D31" w:rsidRPr="009D263A" w:rsidRDefault="00113D31" w:rsidP="00113D31">
      <w:pPr>
        <w:pStyle w:val="NormaBullet"/>
        <w:numPr>
          <w:ilvl w:val="0"/>
          <w:numId w:val="0"/>
        </w:numPr>
        <w:ind w:left="360"/>
      </w:pPr>
    </w:p>
    <w:p w14:paraId="1E1143DE" w14:textId="77777777" w:rsidR="00113D31" w:rsidRDefault="00113D31" w:rsidP="003B1653">
      <w:pPr>
        <w:pStyle w:val="NormaBullet"/>
        <w:numPr>
          <w:ilvl w:val="0"/>
          <w:numId w:val="8"/>
        </w:numPr>
      </w:pPr>
      <w:r w:rsidRPr="009D263A">
        <w:t>Additional recurring allocations from Welsh Government of £23.5m in each of the three years from 2020/21 2020/21</w:t>
      </w:r>
      <w:r>
        <w:t>, based on a 2% general allocation uplift plus the cost of the further Agenda for Change &amp; medical staff pay uplifts. In addition, n</w:t>
      </w:r>
      <w:r w:rsidRPr="009D263A">
        <w:t>on</w:t>
      </w:r>
      <w:r>
        <w:t>-</w:t>
      </w:r>
      <w:r w:rsidRPr="009D263A">
        <w:t xml:space="preserve">recurring transition funding following the Bridgend boundary change </w:t>
      </w:r>
      <w:r>
        <w:t xml:space="preserve">has been assumed </w:t>
      </w:r>
      <w:r w:rsidRPr="009D263A">
        <w:t>of £5m in 2020/21 and £3m in 2021/22.</w:t>
      </w:r>
      <w:r>
        <w:t xml:space="preserve"> This assumption needs discussion and agreement with the Welsh Government.</w:t>
      </w:r>
      <w:r w:rsidRPr="009D263A">
        <w:t xml:space="preserve"> (</w:t>
      </w:r>
      <w:r w:rsidRPr="00490EE1">
        <w:rPr>
          <w:b/>
        </w:rPr>
        <w:t>See Section 7.4</w:t>
      </w:r>
      <w:r w:rsidRPr="009D263A">
        <w:t xml:space="preserve">). </w:t>
      </w:r>
    </w:p>
    <w:p w14:paraId="17654B3B" w14:textId="77777777" w:rsidR="00113D31" w:rsidRDefault="00113D31" w:rsidP="00113D31">
      <w:pPr>
        <w:pStyle w:val="ListParagraph"/>
      </w:pPr>
    </w:p>
    <w:p w14:paraId="2403D706" w14:textId="77777777" w:rsidR="00113D31" w:rsidRDefault="00113D31" w:rsidP="003B1653">
      <w:pPr>
        <w:pStyle w:val="NormaBullet"/>
        <w:numPr>
          <w:ilvl w:val="0"/>
          <w:numId w:val="8"/>
        </w:numPr>
      </w:pPr>
      <w:r w:rsidRPr="00975F9B">
        <w:t>Provision for recurring inflation, cost and service pressures of £40m in 2020/21, £40m in 2021/22 and £39.6m in 2022/23. These figures include provision for an annual pay awards plus incremental drift and non-pay increases from 2019/20 in line with projected inflation (</w:t>
      </w:r>
      <w:r w:rsidRPr="00975F9B">
        <w:rPr>
          <w:b/>
        </w:rPr>
        <w:t>See Section 7.</w:t>
      </w:r>
      <w:r>
        <w:rPr>
          <w:b/>
        </w:rPr>
        <w:t>5</w:t>
      </w:r>
      <w:r w:rsidRPr="00975F9B">
        <w:t>).</w:t>
      </w:r>
    </w:p>
    <w:p w14:paraId="425CCAAF" w14:textId="77777777" w:rsidR="00113D31" w:rsidRDefault="00113D31" w:rsidP="00113D31">
      <w:pPr>
        <w:pStyle w:val="ListParagraph"/>
      </w:pPr>
    </w:p>
    <w:p w14:paraId="7CD87CAE" w14:textId="77777777" w:rsidR="00113D31" w:rsidRPr="00975F9B" w:rsidRDefault="00113D31" w:rsidP="00113D31">
      <w:pPr>
        <w:pStyle w:val="NormaBullet"/>
        <w:numPr>
          <w:ilvl w:val="0"/>
          <w:numId w:val="0"/>
        </w:numPr>
        <w:ind w:left="360"/>
      </w:pPr>
    </w:p>
    <w:p w14:paraId="183408A3" w14:textId="77777777" w:rsidR="00113D31" w:rsidRDefault="00113D31" w:rsidP="003B1653">
      <w:pPr>
        <w:pStyle w:val="NormaBullet"/>
        <w:numPr>
          <w:ilvl w:val="0"/>
          <w:numId w:val="8"/>
        </w:numPr>
      </w:pPr>
      <w:r w:rsidRPr="009D263A">
        <w:rPr>
          <w:bCs/>
        </w:rPr>
        <w:t xml:space="preserve">The </w:t>
      </w:r>
      <w:r>
        <w:rPr>
          <w:bCs/>
        </w:rPr>
        <w:t>2020/21 p</w:t>
      </w:r>
      <w:r w:rsidRPr="009D263A">
        <w:rPr>
          <w:bCs/>
        </w:rPr>
        <w:t xml:space="preserve">lan includes £1.5m for investment in new All Wales initiatives plus </w:t>
      </w:r>
      <w:r>
        <w:rPr>
          <w:bCs/>
        </w:rPr>
        <w:t>£2.7m for Major Trauma and £1m</w:t>
      </w:r>
      <w:r w:rsidRPr="00975F9B">
        <w:rPr>
          <w:bCs/>
        </w:rPr>
        <w:t xml:space="preserve"> </w:t>
      </w:r>
      <w:r w:rsidRPr="009D263A">
        <w:rPr>
          <w:bCs/>
        </w:rPr>
        <w:t>local discretionary investment in new service and delivery models</w:t>
      </w:r>
      <w:r>
        <w:rPr>
          <w:bCs/>
        </w:rPr>
        <w:t>. The 2021/22 plan includes £1.5m for All Wales initiatives and £1m for local investment. The 2022/23 pl</w:t>
      </w:r>
      <w:r w:rsidRPr="009D263A">
        <w:rPr>
          <w:bCs/>
        </w:rPr>
        <w:t xml:space="preserve">an also includes </w:t>
      </w:r>
      <w:r>
        <w:rPr>
          <w:bCs/>
        </w:rPr>
        <w:t xml:space="preserve">a further </w:t>
      </w:r>
      <w:r w:rsidRPr="009D263A">
        <w:rPr>
          <w:bCs/>
        </w:rPr>
        <w:t xml:space="preserve">£1.0m </w:t>
      </w:r>
      <w:r>
        <w:rPr>
          <w:bCs/>
        </w:rPr>
        <w:t xml:space="preserve">for All Wales initiatives and £2m for local discretionary investment </w:t>
      </w:r>
      <w:r w:rsidRPr="00975F9B">
        <w:t>(</w:t>
      </w:r>
      <w:r w:rsidRPr="00975F9B">
        <w:rPr>
          <w:b/>
        </w:rPr>
        <w:t>See Section 7.</w:t>
      </w:r>
      <w:r>
        <w:rPr>
          <w:b/>
        </w:rPr>
        <w:t>6</w:t>
      </w:r>
      <w:r w:rsidRPr="00975F9B">
        <w:t>).</w:t>
      </w:r>
    </w:p>
    <w:p w14:paraId="1F3C1E92" w14:textId="77777777" w:rsidR="00113D31" w:rsidRPr="009D263A" w:rsidRDefault="00113D31" w:rsidP="00113D31">
      <w:pPr>
        <w:pStyle w:val="NormaBullet"/>
        <w:numPr>
          <w:ilvl w:val="0"/>
          <w:numId w:val="0"/>
        </w:numPr>
        <w:ind w:left="360"/>
      </w:pPr>
    </w:p>
    <w:p w14:paraId="606D9A35" w14:textId="77777777" w:rsidR="00113D31" w:rsidRDefault="00113D31" w:rsidP="003B1653">
      <w:pPr>
        <w:pStyle w:val="NormaBullet"/>
        <w:numPr>
          <w:ilvl w:val="0"/>
          <w:numId w:val="8"/>
        </w:numPr>
      </w:pPr>
      <w:r w:rsidRPr="00490EE1">
        <w:t>The plan includes provision for a number of non-recurring costs and benefits with a net benefit of £3.0m in 2020/21 followed by net costs of £0.7m in 2021/22 and £0.4m in 2022/23 (</w:t>
      </w:r>
      <w:r w:rsidRPr="00490EE1">
        <w:rPr>
          <w:b/>
        </w:rPr>
        <w:t>See Section 7.7</w:t>
      </w:r>
      <w:r w:rsidRPr="00490EE1">
        <w:t xml:space="preserve">). </w:t>
      </w:r>
    </w:p>
    <w:p w14:paraId="67C1D4EB" w14:textId="77777777" w:rsidR="00113D31" w:rsidRDefault="00113D31" w:rsidP="00113D31">
      <w:pPr>
        <w:pStyle w:val="ListParagraph"/>
      </w:pPr>
    </w:p>
    <w:p w14:paraId="12122A45" w14:textId="77777777" w:rsidR="00113D31" w:rsidRPr="00146A0C" w:rsidRDefault="00113D31" w:rsidP="003B1653">
      <w:pPr>
        <w:pStyle w:val="NormaBullet"/>
        <w:numPr>
          <w:ilvl w:val="0"/>
          <w:numId w:val="8"/>
        </w:numPr>
      </w:pPr>
      <w:r w:rsidRPr="00146A0C">
        <w:t>Recurring savings of £26.0m are planned in order to deliver a balanced budget in 2020/21. This is circa 2.9% of an estimated controllable budget for CTM of circa £900m. The total recurring savings requirement over the three years is £74m (8.2%) (</w:t>
      </w:r>
      <w:r w:rsidRPr="00146A0C">
        <w:rPr>
          <w:b/>
        </w:rPr>
        <w:t>See Section 7.8</w:t>
      </w:r>
      <w:r w:rsidRPr="00146A0C">
        <w:t xml:space="preserve">). In addition, a cost release of £6.2m is required in order for the recurrent costs of the planned transformation of out of hospital services to be financially sustainable from 2021/22 after transformation funding stops in March 2021. </w:t>
      </w:r>
    </w:p>
    <w:p w14:paraId="5DEC45F2" w14:textId="77777777" w:rsidR="00113D31" w:rsidRPr="009D263A" w:rsidRDefault="00113D31" w:rsidP="00113D31">
      <w:pPr>
        <w:pStyle w:val="NormaBullet"/>
        <w:numPr>
          <w:ilvl w:val="0"/>
          <w:numId w:val="0"/>
        </w:numPr>
        <w:ind w:left="360"/>
      </w:pPr>
    </w:p>
    <w:p w14:paraId="4C444D8C" w14:textId="77777777" w:rsidR="00113D31" w:rsidRDefault="00113D31" w:rsidP="003B1653">
      <w:pPr>
        <w:pStyle w:val="NormaBullet"/>
        <w:numPr>
          <w:ilvl w:val="0"/>
          <w:numId w:val="8"/>
        </w:numPr>
      </w:pPr>
      <w:r w:rsidRPr="0077298C">
        <w:t xml:space="preserve">Availability of Welsh Government strategic capital funding to support the capital costs of the key changes included in the plan is assumed. Our three year capital plan includes a number of schemes which are critical to deliver key service changes within our Plan, </w:t>
      </w:r>
      <w:r>
        <w:t>some</w:t>
      </w:r>
      <w:r w:rsidRPr="0077298C">
        <w:t xml:space="preserve"> of which are key enablers for saving included in the </w:t>
      </w:r>
      <w:r>
        <w:t>p</w:t>
      </w:r>
      <w:r w:rsidRPr="0077298C">
        <w:t xml:space="preserve">lan. </w:t>
      </w:r>
    </w:p>
    <w:p w14:paraId="735FDEA1" w14:textId="77777777" w:rsidR="00113D31" w:rsidRDefault="00113D31" w:rsidP="00113D31">
      <w:pPr>
        <w:pStyle w:val="ListParagraph"/>
      </w:pPr>
    </w:p>
    <w:p w14:paraId="3FECC079" w14:textId="77777777" w:rsidR="00113D31" w:rsidRPr="0077298C" w:rsidRDefault="00113D31" w:rsidP="003B1653">
      <w:pPr>
        <w:pStyle w:val="NormaBullet"/>
        <w:numPr>
          <w:ilvl w:val="0"/>
          <w:numId w:val="8"/>
        </w:numPr>
      </w:pPr>
      <w:r w:rsidRPr="0077298C">
        <w:t>It is assumed that the depreciation costs of all future capital schemes are fully funded by the Welsh Government, in line with current policy.  These additional costs and consequent non-cash backed allocation changes are not included in the financial schedules pending clarity on approvals.</w:t>
      </w:r>
    </w:p>
    <w:p w14:paraId="78A0B0B4" w14:textId="77777777" w:rsidR="00113D31" w:rsidRDefault="00113D31" w:rsidP="00113D31">
      <w:pPr>
        <w:pStyle w:val="ListParagraph"/>
      </w:pPr>
    </w:p>
    <w:p w14:paraId="47A7E5EC" w14:textId="77777777" w:rsidR="00113D31" w:rsidRDefault="00113D31" w:rsidP="00113D31">
      <w:r>
        <w:t xml:space="preserve">The 3 year financial plan is shown in the table below, with costs and deficits shown as positive numbers and income and surpluses as negative numbers. </w:t>
      </w:r>
    </w:p>
    <w:p w14:paraId="0F2C6461" w14:textId="77777777" w:rsidR="00113D31" w:rsidRDefault="00113D31" w:rsidP="00113D31"/>
    <w:p w14:paraId="3513A851" w14:textId="77777777" w:rsidR="00113D31" w:rsidRPr="00E334A5" w:rsidRDefault="00113D31" w:rsidP="00113D31">
      <w:pPr>
        <w:rPr>
          <w:color w:val="943634" w:themeColor="accent2" w:themeShade="BF"/>
        </w:rPr>
      </w:pPr>
      <w:r w:rsidRPr="00E334A5">
        <w:rPr>
          <w:color w:val="943634" w:themeColor="accent2" w:themeShade="BF"/>
        </w:rPr>
        <w:t xml:space="preserve">The plan is currently showing a £1.7m deficit in Year 1 and further work is needed to close this gap.  </w:t>
      </w:r>
    </w:p>
    <w:p w14:paraId="4E2D056A" w14:textId="77777777" w:rsidR="00113D31" w:rsidRPr="00A57623" w:rsidRDefault="00113D31" w:rsidP="00113D31"/>
    <w:p w14:paraId="3035931E" w14:textId="77777777" w:rsidR="00113D31" w:rsidRDefault="00113D31" w:rsidP="00113D31">
      <w:pPr>
        <w:rPr>
          <w:rFonts w:ascii="Verdana" w:hAnsi="Verdana"/>
        </w:rPr>
      </w:pPr>
    </w:p>
    <w:p w14:paraId="1259B70D" w14:textId="77777777" w:rsidR="00113D31" w:rsidRDefault="00113D31" w:rsidP="00113D31">
      <w:r w:rsidRPr="00A57623">
        <w:rPr>
          <w:noProof/>
        </w:rPr>
        <w:lastRenderedPageBreak/>
        <w:drawing>
          <wp:inline distT="0" distB="0" distL="0" distR="0" wp14:anchorId="6A5A146D" wp14:editId="1CCE9681">
            <wp:extent cx="6335696" cy="7349320"/>
            <wp:effectExtent l="0" t="0" r="8255" b="4445"/>
            <wp:docPr id="451" name="Picture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6341465" cy="7356011"/>
                    </a:xfrm>
                    <a:prstGeom prst="rect">
                      <a:avLst/>
                    </a:prstGeom>
                    <a:noFill/>
                    <a:ln>
                      <a:noFill/>
                    </a:ln>
                  </pic:spPr>
                </pic:pic>
              </a:graphicData>
            </a:graphic>
          </wp:inline>
        </w:drawing>
      </w:r>
    </w:p>
    <w:p w14:paraId="16D01656" w14:textId="77777777" w:rsidR="00113D31" w:rsidRDefault="00113D31" w:rsidP="00113D31"/>
    <w:p w14:paraId="47F5A5F4" w14:textId="77777777" w:rsidR="00113D31" w:rsidRDefault="00113D31" w:rsidP="00113D31">
      <w:pPr>
        <w:tabs>
          <w:tab w:val="left" w:pos="6630"/>
        </w:tabs>
      </w:pPr>
      <w:r>
        <w:t>The key elements of the Plan are explained in the following sections:</w:t>
      </w:r>
      <w:r>
        <w:tab/>
      </w:r>
    </w:p>
    <w:p w14:paraId="35EC4AC6" w14:textId="77777777" w:rsidR="00113D31" w:rsidRDefault="00113D31" w:rsidP="00113D31">
      <w:pPr>
        <w:spacing w:after="160" w:line="259" w:lineRule="auto"/>
        <w:jc w:val="left"/>
        <w:rPr>
          <w:rFonts w:cs="Arial"/>
          <w:b/>
          <w:bCs/>
          <w:iCs/>
          <w:caps/>
          <w:szCs w:val="28"/>
        </w:rPr>
      </w:pPr>
      <w:bookmarkStart w:id="185" w:name="_Toc536195578"/>
      <w:bookmarkStart w:id="186" w:name="_Toc536528060"/>
      <w:r>
        <w:br w:type="page"/>
      </w:r>
    </w:p>
    <w:p w14:paraId="44FD4C32" w14:textId="77777777" w:rsidR="00113D31" w:rsidRPr="00B66177" w:rsidRDefault="00113D31" w:rsidP="00113D31">
      <w:pPr>
        <w:pStyle w:val="Heading2"/>
        <w:ind w:left="1077" w:hanging="1077"/>
      </w:pPr>
      <w:bookmarkStart w:id="187" w:name="_Toc536195579"/>
      <w:bookmarkStart w:id="188" w:name="_Toc536528061"/>
      <w:bookmarkStart w:id="189" w:name="_Toc25262193"/>
      <w:bookmarkEnd w:id="185"/>
      <w:bookmarkEnd w:id="186"/>
      <w:r>
        <w:lastRenderedPageBreak/>
        <w:t>Income C</w:t>
      </w:r>
      <w:r w:rsidRPr="00B66177">
        <w:t xml:space="preserve">hanges </w:t>
      </w:r>
      <w:r>
        <w:t>–</w:t>
      </w:r>
      <w:r w:rsidRPr="00B66177">
        <w:t xml:space="preserve"> </w:t>
      </w:r>
      <w:r>
        <w:t>2020/21 TO 2022/2</w:t>
      </w:r>
      <w:bookmarkEnd w:id="187"/>
      <w:bookmarkEnd w:id="188"/>
      <w:r>
        <w:t>3</w:t>
      </w:r>
      <w:bookmarkEnd w:id="189"/>
    </w:p>
    <w:p w14:paraId="4460F1D5" w14:textId="77777777" w:rsidR="00113D31" w:rsidRDefault="00113D31" w:rsidP="00113D31">
      <w:r>
        <w:t>A summary of the assumed new allocations from the Welsh Government for 2020/21 to 2022/23 is shown in the table below:</w:t>
      </w:r>
    </w:p>
    <w:p w14:paraId="562A3FC9" w14:textId="77777777" w:rsidR="00113D31" w:rsidRDefault="00113D31" w:rsidP="00113D31"/>
    <w:tbl>
      <w:tblPr>
        <w:tblW w:w="83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75"/>
        <w:gridCol w:w="1585"/>
        <w:gridCol w:w="1589"/>
        <w:gridCol w:w="1469"/>
      </w:tblGrid>
      <w:tr w:rsidR="00113D31" w14:paraId="09E9E9B9" w14:textId="77777777" w:rsidTr="0060790C">
        <w:trPr>
          <w:trHeight w:val="255"/>
          <w:tblHeader/>
          <w:jc w:val="center"/>
        </w:trPr>
        <w:tc>
          <w:tcPr>
            <w:tcW w:w="3675" w:type="dxa"/>
            <w:tcBorders>
              <w:top w:val="single" w:sz="4" w:space="0" w:color="auto"/>
              <w:left w:val="single" w:sz="4" w:space="0" w:color="auto"/>
              <w:bottom w:val="nil"/>
              <w:right w:val="single" w:sz="4" w:space="0" w:color="auto"/>
            </w:tcBorders>
            <w:shd w:val="clear" w:color="auto" w:fill="DBE5F1" w:themeFill="accent1" w:themeFillTint="33"/>
            <w:hideMark/>
          </w:tcPr>
          <w:p w14:paraId="2DDDDFD5" w14:textId="77777777" w:rsidR="00113D31" w:rsidRPr="007A1FD8" w:rsidRDefault="00113D31" w:rsidP="0060790C">
            <w:pPr>
              <w:jc w:val="left"/>
              <w:rPr>
                <w:rFonts w:asciiTheme="minorHAnsi" w:hAnsiTheme="minorHAnsi" w:cs="Times New Roman"/>
                <w:sz w:val="20"/>
                <w:szCs w:val="20"/>
              </w:rPr>
            </w:pPr>
            <w:r w:rsidRPr="007A1FD8">
              <w:rPr>
                <w:rFonts w:asciiTheme="minorHAnsi" w:hAnsiTheme="minorHAnsi"/>
                <w:sz w:val="20"/>
                <w:szCs w:val="20"/>
              </w:rPr>
              <w:br w:type="page"/>
            </w:r>
            <w:r w:rsidRPr="007A1FD8">
              <w:rPr>
                <w:rFonts w:asciiTheme="minorHAnsi" w:hAnsiTheme="minorHAnsi" w:cs="Times New Roman"/>
                <w:b/>
                <w:bCs/>
                <w:color w:val="000000"/>
                <w:sz w:val="20"/>
                <w:szCs w:val="20"/>
              </w:rPr>
              <w:br w:type="page"/>
            </w:r>
          </w:p>
        </w:tc>
        <w:tc>
          <w:tcPr>
            <w:tcW w:w="1585" w:type="dxa"/>
            <w:tcBorders>
              <w:top w:val="single" w:sz="4" w:space="0" w:color="auto"/>
              <w:left w:val="single" w:sz="4" w:space="0" w:color="auto"/>
              <w:bottom w:val="nil"/>
              <w:right w:val="single" w:sz="4" w:space="0" w:color="auto"/>
            </w:tcBorders>
            <w:shd w:val="clear" w:color="auto" w:fill="DBE5F1" w:themeFill="accent1" w:themeFillTint="33"/>
            <w:hideMark/>
          </w:tcPr>
          <w:p w14:paraId="33E0B1BE" w14:textId="77777777" w:rsidR="00113D31" w:rsidRPr="007A1FD8" w:rsidRDefault="00113D31" w:rsidP="0060790C">
            <w:pPr>
              <w:autoSpaceDE w:val="0"/>
              <w:autoSpaceDN w:val="0"/>
              <w:adjustRightInd w:val="0"/>
              <w:spacing w:line="241" w:lineRule="atLeast"/>
              <w:jc w:val="center"/>
              <w:rPr>
                <w:rFonts w:asciiTheme="minorHAnsi" w:hAnsiTheme="minorHAnsi" w:cs="Times New Roman"/>
                <w:b/>
                <w:bCs/>
                <w:color w:val="000000"/>
                <w:sz w:val="20"/>
                <w:szCs w:val="20"/>
              </w:rPr>
            </w:pPr>
            <w:r>
              <w:rPr>
                <w:rFonts w:asciiTheme="minorHAnsi" w:hAnsiTheme="minorHAnsi" w:cs="Times New Roman"/>
                <w:b/>
                <w:bCs/>
                <w:color w:val="000000"/>
                <w:sz w:val="20"/>
                <w:szCs w:val="20"/>
              </w:rPr>
              <w:t>20</w:t>
            </w:r>
            <w:r w:rsidRPr="007A1FD8">
              <w:rPr>
                <w:rFonts w:asciiTheme="minorHAnsi" w:hAnsiTheme="minorHAnsi" w:cs="Times New Roman"/>
                <w:b/>
                <w:bCs/>
                <w:color w:val="000000"/>
                <w:sz w:val="20"/>
                <w:szCs w:val="20"/>
              </w:rPr>
              <w:t>/2</w:t>
            </w:r>
            <w:r>
              <w:rPr>
                <w:rFonts w:asciiTheme="minorHAnsi" w:hAnsiTheme="minorHAnsi" w:cs="Times New Roman"/>
                <w:b/>
                <w:bCs/>
                <w:color w:val="000000"/>
                <w:sz w:val="20"/>
                <w:szCs w:val="20"/>
              </w:rPr>
              <w:t>1</w:t>
            </w:r>
          </w:p>
        </w:tc>
        <w:tc>
          <w:tcPr>
            <w:tcW w:w="1589" w:type="dxa"/>
            <w:tcBorders>
              <w:top w:val="single" w:sz="4" w:space="0" w:color="auto"/>
              <w:left w:val="single" w:sz="4" w:space="0" w:color="auto"/>
              <w:bottom w:val="nil"/>
              <w:right w:val="single" w:sz="4" w:space="0" w:color="auto"/>
            </w:tcBorders>
            <w:shd w:val="clear" w:color="auto" w:fill="DBE5F1" w:themeFill="accent1" w:themeFillTint="33"/>
            <w:hideMark/>
          </w:tcPr>
          <w:p w14:paraId="4E0F84D0" w14:textId="77777777" w:rsidR="00113D31" w:rsidRPr="007A1FD8" w:rsidRDefault="00113D31" w:rsidP="0060790C">
            <w:pPr>
              <w:autoSpaceDE w:val="0"/>
              <w:autoSpaceDN w:val="0"/>
              <w:adjustRightInd w:val="0"/>
              <w:spacing w:line="241" w:lineRule="atLeast"/>
              <w:jc w:val="center"/>
              <w:rPr>
                <w:rFonts w:asciiTheme="minorHAnsi" w:hAnsiTheme="minorHAnsi" w:cs="Times New Roman"/>
                <w:b/>
                <w:bCs/>
                <w:color w:val="000000"/>
                <w:sz w:val="20"/>
                <w:szCs w:val="20"/>
              </w:rPr>
            </w:pPr>
            <w:r w:rsidRPr="007A1FD8">
              <w:rPr>
                <w:rFonts w:asciiTheme="minorHAnsi" w:hAnsiTheme="minorHAnsi" w:cs="Times New Roman"/>
                <w:b/>
                <w:bCs/>
                <w:color w:val="000000"/>
                <w:sz w:val="20"/>
                <w:szCs w:val="20"/>
              </w:rPr>
              <w:t>2</w:t>
            </w:r>
            <w:r>
              <w:rPr>
                <w:rFonts w:asciiTheme="minorHAnsi" w:hAnsiTheme="minorHAnsi" w:cs="Times New Roman"/>
                <w:b/>
                <w:bCs/>
                <w:color w:val="000000"/>
                <w:sz w:val="20"/>
                <w:szCs w:val="20"/>
              </w:rPr>
              <w:t>1</w:t>
            </w:r>
            <w:r w:rsidRPr="007A1FD8">
              <w:rPr>
                <w:rFonts w:asciiTheme="minorHAnsi" w:hAnsiTheme="minorHAnsi" w:cs="Times New Roman"/>
                <w:b/>
                <w:bCs/>
                <w:color w:val="000000"/>
                <w:sz w:val="20"/>
                <w:szCs w:val="20"/>
              </w:rPr>
              <w:t>/2</w:t>
            </w:r>
            <w:r>
              <w:rPr>
                <w:rFonts w:asciiTheme="minorHAnsi" w:hAnsiTheme="minorHAnsi" w:cs="Times New Roman"/>
                <w:b/>
                <w:bCs/>
                <w:color w:val="000000"/>
                <w:sz w:val="20"/>
                <w:szCs w:val="20"/>
              </w:rPr>
              <w:t>2</w:t>
            </w:r>
          </w:p>
        </w:tc>
        <w:tc>
          <w:tcPr>
            <w:tcW w:w="1469" w:type="dxa"/>
            <w:tcBorders>
              <w:top w:val="single" w:sz="4" w:space="0" w:color="auto"/>
              <w:left w:val="single" w:sz="4" w:space="0" w:color="auto"/>
              <w:bottom w:val="nil"/>
              <w:right w:val="single" w:sz="4" w:space="0" w:color="auto"/>
            </w:tcBorders>
            <w:shd w:val="clear" w:color="auto" w:fill="DBE5F1" w:themeFill="accent1" w:themeFillTint="33"/>
            <w:hideMark/>
          </w:tcPr>
          <w:p w14:paraId="446701A5" w14:textId="77777777" w:rsidR="00113D31" w:rsidRPr="007A1FD8" w:rsidRDefault="00113D31" w:rsidP="0060790C">
            <w:pPr>
              <w:autoSpaceDE w:val="0"/>
              <w:autoSpaceDN w:val="0"/>
              <w:adjustRightInd w:val="0"/>
              <w:spacing w:line="241" w:lineRule="atLeast"/>
              <w:jc w:val="center"/>
              <w:rPr>
                <w:rFonts w:asciiTheme="minorHAnsi" w:hAnsiTheme="minorHAnsi" w:cs="Times New Roman"/>
                <w:b/>
                <w:bCs/>
                <w:color w:val="000000"/>
                <w:sz w:val="20"/>
                <w:szCs w:val="20"/>
              </w:rPr>
            </w:pPr>
            <w:r w:rsidRPr="007A1FD8">
              <w:rPr>
                <w:rFonts w:asciiTheme="minorHAnsi" w:hAnsiTheme="minorHAnsi" w:cs="Times New Roman"/>
                <w:b/>
                <w:bCs/>
                <w:color w:val="000000"/>
                <w:sz w:val="20"/>
                <w:szCs w:val="20"/>
              </w:rPr>
              <w:t>2</w:t>
            </w:r>
            <w:r>
              <w:rPr>
                <w:rFonts w:asciiTheme="minorHAnsi" w:hAnsiTheme="minorHAnsi" w:cs="Times New Roman"/>
                <w:b/>
                <w:bCs/>
                <w:color w:val="000000"/>
                <w:sz w:val="20"/>
                <w:szCs w:val="20"/>
              </w:rPr>
              <w:t>2</w:t>
            </w:r>
            <w:r w:rsidRPr="007A1FD8">
              <w:rPr>
                <w:rFonts w:asciiTheme="minorHAnsi" w:hAnsiTheme="minorHAnsi" w:cs="Times New Roman"/>
                <w:b/>
                <w:bCs/>
                <w:color w:val="000000"/>
                <w:sz w:val="20"/>
                <w:szCs w:val="20"/>
              </w:rPr>
              <w:t>/2</w:t>
            </w:r>
            <w:r>
              <w:rPr>
                <w:rFonts w:asciiTheme="minorHAnsi" w:hAnsiTheme="minorHAnsi" w:cs="Times New Roman"/>
                <w:b/>
                <w:bCs/>
                <w:color w:val="000000"/>
                <w:sz w:val="20"/>
                <w:szCs w:val="20"/>
              </w:rPr>
              <w:t>3</w:t>
            </w:r>
          </w:p>
          <w:p w14:paraId="3EB6E7DD" w14:textId="77777777" w:rsidR="00113D31" w:rsidRPr="007A1FD8" w:rsidRDefault="00113D31" w:rsidP="0060790C">
            <w:pPr>
              <w:autoSpaceDE w:val="0"/>
              <w:autoSpaceDN w:val="0"/>
              <w:adjustRightInd w:val="0"/>
              <w:spacing w:line="241" w:lineRule="atLeast"/>
              <w:jc w:val="center"/>
              <w:rPr>
                <w:rFonts w:asciiTheme="minorHAnsi" w:hAnsiTheme="minorHAnsi" w:cs="Times New Roman"/>
                <w:b/>
                <w:bCs/>
                <w:color w:val="000000"/>
                <w:sz w:val="20"/>
                <w:szCs w:val="20"/>
              </w:rPr>
            </w:pPr>
          </w:p>
        </w:tc>
      </w:tr>
      <w:tr w:rsidR="00113D31" w14:paraId="1EDC234A" w14:textId="77777777" w:rsidTr="0060790C">
        <w:trPr>
          <w:trHeight w:val="255"/>
          <w:tblHeader/>
          <w:jc w:val="center"/>
        </w:trPr>
        <w:tc>
          <w:tcPr>
            <w:tcW w:w="3675" w:type="dxa"/>
            <w:tcBorders>
              <w:top w:val="nil"/>
              <w:left w:val="single" w:sz="4" w:space="0" w:color="auto"/>
              <w:bottom w:val="single" w:sz="4" w:space="0" w:color="auto"/>
              <w:right w:val="single" w:sz="4" w:space="0" w:color="auto"/>
            </w:tcBorders>
            <w:shd w:val="clear" w:color="auto" w:fill="DBE5F1" w:themeFill="accent1" w:themeFillTint="33"/>
            <w:hideMark/>
          </w:tcPr>
          <w:p w14:paraId="6DB808EA" w14:textId="77777777" w:rsidR="00113D31" w:rsidRPr="007A1FD8" w:rsidRDefault="00113D31" w:rsidP="0060790C">
            <w:pPr>
              <w:jc w:val="left"/>
              <w:rPr>
                <w:rFonts w:asciiTheme="minorHAnsi" w:hAnsiTheme="minorHAnsi" w:cs="Times New Roman"/>
                <w:sz w:val="20"/>
                <w:szCs w:val="20"/>
              </w:rPr>
            </w:pPr>
          </w:p>
        </w:tc>
        <w:tc>
          <w:tcPr>
            <w:tcW w:w="1585" w:type="dxa"/>
            <w:tcBorders>
              <w:top w:val="nil"/>
              <w:left w:val="single" w:sz="4" w:space="0" w:color="auto"/>
              <w:bottom w:val="single" w:sz="4" w:space="0" w:color="auto"/>
              <w:right w:val="single" w:sz="4" w:space="0" w:color="auto"/>
            </w:tcBorders>
            <w:shd w:val="clear" w:color="auto" w:fill="DBE5F1" w:themeFill="accent1" w:themeFillTint="33"/>
            <w:hideMark/>
          </w:tcPr>
          <w:p w14:paraId="483AE761" w14:textId="77777777" w:rsidR="00113D31" w:rsidRPr="007A1FD8" w:rsidRDefault="00113D31" w:rsidP="0060790C">
            <w:pPr>
              <w:jc w:val="center"/>
              <w:rPr>
                <w:rFonts w:asciiTheme="minorHAnsi" w:hAnsiTheme="minorHAnsi" w:cs="Times New Roman"/>
                <w:b/>
                <w:bCs/>
                <w:color w:val="000000"/>
                <w:sz w:val="20"/>
                <w:szCs w:val="20"/>
              </w:rPr>
            </w:pPr>
            <w:r w:rsidRPr="007A1FD8">
              <w:rPr>
                <w:rFonts w:asciiTheme="minorHAnsi" w:hAnsiTheme="minorHAnsi" w:cs="Times New Roman"/>
                <w:b/>
                <w:bCs/>
                <w:color w:val="000000"/>
                <w:sz w:val="20"/>
                <w:szCs w:val="20"/>
              </w:rPr>
              <w:t>£m</w:t>
            </w:r>
          </w:p>
        </w:tc>
        <w:tc>
          <w:tcPr>
            <w:tcW w:w="1589" w:type="dxa"/>
            <w:tcBorders>
              <w:top w:val="nil"/>
              <w:left w:val="single" w:sz="4" w:space="0" w:color="auto"/>
              <w:bottom w:val="single" w:sz="4" w:space="0" w:color="auto"/>
              <w:right w:val="single" w:sz="4" w:space="0" w:color="auto"/>
            </w:tcBorders>
            <w:shd w:val="clear" w:color="auto" w:fill="DBE5F1" w:themeFill="accent1" w:themeFillTint="33"/>
            <w:hideMark/>
          </w:tcPr>
          <w:p w14:paraId="16CB3D25" w14:textId="77777777" w:rsidR="00113D31" w:rsidRPr="007A1FD8" w:rsidRDefault="00113D31" w:rsidP="0060790C">
            <w:pPr>
              <w:jc w:val="center"/>
              <w:rPr>
                <w:rFonts w:asciiTheme="minorHAnsi" w:hAnsiTheme="minorHAnsi" w:cs="Times New Roman"/>
                <w:b/>
                <w:bCs/>
                <w:color w:val="000000"/>
                <w:sz w:val="20"/>
                <w:szCs w:val="20"/>
              </w:rPr>
            </w:pPr>
            <w:r w:rsidRPr="007A1FD8">
              <w:rPr>
                <w:rFonts w:asciiTheme="minorHAnsi" w:hAnsiTheme="minorHAnsi" w:cs="Times New Roman"/>
                <w:b/>
                <w:bCs/>
                <w:color w:val="000000"/>
                <w:sz w:val="20"/>
                <w:szCs w:val="20"/>
              </w:rPr>
              <w:t>£m</w:t>
            </w:r>
          </w:p>
        </w:tc>
        <w:tc>
          <w:tcPr>
            <w:tcW w:w="1469" w:type="dxa"/>
            <w:tcBorders>
              <w:top w:val="nil"/>
              <w:left w:val="single" w:sz="4" w:space="0" w:color="auto"/>
              <w:bottom w:val="single" w:sz="4" w:space="0" w:color="auto"/>
              <w:right w:val="single" w:sz="4" w:space="0" w:color="auto"/>
            </w:tcBorders>
            <w:shd w:val="clear" w:color="auto" w:fill="DBE5F1" w:themeFill="accent1" w:themeFillTint="33"/>
            <w:hideMark/>
          </w:tcPr>
          <w:p w14:paraId="0DF5842B" w14:textId="77777777" w:rsidR="00113D31" w:rsidRPr="007A1FD8" w:rsidRDefault="00113D31" w:rsidP="0060790C">
            <w:pPr>
              <w:jc w:val="center"/>
              <w:rPr>
                <w:rFonts w:asciiTheme="minorHAnsi" w:hAnsiTheme="minorHAnsi" w:cs="Times New Roman"/>
                <w:b/>
                <w:bCs/>
                <w:color w:val="000000"/>
                <w:sz w:val="20"/>
                <w:szCs w:val="20"/>
              </w:rPr>
            </w:pPr>
            <w:r w:rsidRPr="007A1FD8">
              <w:rPr>
                <w:rFonts w:asciiTheme="minorHAnsi" w:hAnsiTheme="minorHAnsi" w:cs="Times New Roman"/>
                <w:b/>
                <w:bCs/>
                <w:color w:val="000000"/>
                <w:sz w:val="20"/>
                <w:szCs w:val="20"/>
              </w:rPr>
              <w:t>£m</w:t>
            </w:r>
          </w:p>
        </w:tc>
      </w:tr>
      <w:tr w:rsidR="00113D31" w14:paraId="5E258251" w14:textId="77777777" w:rsidTr="0060790C">
        <w:trPr>
          <w:trHeight w:val="255"/>
          <w:jc w:val="center"/>
        </w:trPr>
        <w:tc>
          <w:tcPr>
            <w:tcW w:w="3675" w:type="dxa"/>
            <w:tcBorders>
              <w:top w:val="single" w:sz="4" w:space="0" w:color="auto"/>
              <w:left w:val="single" w:sz="4" w:space="0" w:color="auto"/>
              <w:bottom w:val="single" w:sz="4" w:space="0" w:color="auto"/>
              <w:right w:val="single" w:sz="4" w:space="0" w:color="auto"/>
            </w:tcBorders>
            <w:hideMark/>
          </w:tcPr>
          <w:p w14:paraId="7E429429" w14:textId="77777777" w:rsidR="00113D31" w:rsidRPr="007A1FD8" w:rsidRDefault="00113D31" w:rsidP="0060790C">
            <w:pPr>
              <w:rPr>
                <w:rFonts w:asciiTheme="minorHAnsi" w:hAnsiTheme="minorHAnsi" w:cs="Arial"/>
                <w:b/>
                <w:sz w:val="20"/>
                <w:szCs w:val="20"/>
              </w:rPr>
            </w:pPr>
            <w:r w:rsidRPr="007A1FD8">
              <w:rPr>
                <w:rFonts w:asciiTheme="minorHAnsi" w:hAnsiTheme="minorHAnsi" w:cs="Arial"/>
                <w:b/>
                <w:sz w:val="20"/>
                <w:szCs w:val="20"/>
              </w:rPr>
              <w:t>Recurrent:</w:t>
            </w:r>
          </w:p>
        </w:tc>
        <w:tc>
          <w:tcPr>
            <w:tcW w:w="1585" w:type="dxa"/>
            <w:tcBorders>
              <w:top w:val="single" w:sz="4" w:space="0" w:color="auto"/>
              <w:left w:val="single" w:sz="4" w:space="0" w:color="auto"/>
              <w:bottom w:val="single" w:sz="4" w:space="0" w:color="auto"/>
              <w:right w:val="single" w:sz="4" w:space="0" w:color="auto"/>
            </w:tcBorders>
            <w:hideMark/>
          </w:tcPr>
          <w:p w14:paraId="5B3AF7A2" w14:textId="77777777" w:rsidR="00113D31" w:rsidRPr="007A1FD8" w:rsidRDefault="00113D31" w:rsidP="0060790C">
            <w:pPr>
              <w:jc w:val="left"/>
              <w:rPr>
                <w:rFonts w:asciiTheme="minorHAnsi" w:hAnsiTheme="minorHAnsi" w:cs="Times New Roman"/>
                <w:sz w:val="20"/>
                <w:szCs w:val="20"/>
              </w:rPr>
            </w:pPr>
          </w:p>
        </w:tc>
        <w:tc>
          <w:tcPr>
            <w:tcW w:w="1589" w:type="dxa"/>
            <w:tcBorders>
              <w:top w:val="single" w:sz="4" w:space="0" w:color="auto"/>
              <w:left w:val="single" w:sz="4" w:space="0" w:color="auto"/>
              <w:bottom w:val="single" w:sz="4" w:space="0" w:color="auto"/>
              <w:right w:val="single" w:sz="4" w:space="0" w:color="auto"/>
            </w:tcBorders>
            <w:hideMark/>
          </w:tcPr>
          <w:p w14:paraId="003ADCBE" w14:textId="77777777" w:rsidR="00113D31" w:rsidRPr="007A1FD8" w:rsidRDefault="00113D31" w:rsidP="0060790C">
            <w:pPr>
              <w:jc w:val="left"/>
              <w:rPr>
                <w:rFonts w:asciiTheme="minorHAnsi" w:hAnsiTheme="minorHAnsi" w:cs="Times New Roman"/>
                <w:sz w:val="20"/>
                <w:szCs w:val="20"/>
              </w:rPr>
            </w:pPr>
          </w:p>
        </w:tc>
        <w:tc>
          <w:tcPr>
            <w:tcW w:w="1469" w:type="dxa"/>
            <w:tcBorders>
              <w:top w:val="single" w:sz="4" w:space="0" w:color="auto"/>
              <w:left w:val="single" w:sz="4" w:space="0" w:color="auto"/>
              <w:bottom w:val="single" w:sz="4" w:space="0" w:color="auto"/>
              <w:right w:val="single" w:sz="4" w:space="0" w:color="auto"/>
            </w:tcBorders>
            <w:hideMark/>
          </w:tcPr>
          <w:p w14:paraId="6D332529" w14:textId="77777777" w:rsidR="00113D31" w:rsidRPr="007A1FD8" w:rsidRDefault="00113D31" w:rsidP="0060790C">
            <w:pPr>
              <w:jc w:val="left"/>
              <w:rPr>
                <w:rFonts w:asciiTheme="minorHAnsi" w:hAnsiTheme="minorHAnsi" w:cs="Times New Roman"/>
                <w:sz w:val="20"/>
                <w:szCs w:val="20"/>
              </w:rPr>
            </w:pPr>
          </w:p>
        </w:tc>
      </w:tr>
      <w:tr w:rsidR="00113D31" w14:paraId="542DA510" w14:textId="77777777" w:rsidTr="0060790C">
        <w:trPr>
          <w:trHeight w:val="255"/>
          <w:jc w:val="center"/>
        </w:trPr>
        <w:tc>
          <w:tcPr>
            <w:tcW w:w="3675" w:type="dxa"/>
            <w:tcBorders>
              <w:top w:val="single" w:sz="4" w:space="0" w:color="auto"/>
              <w:left w:val="single" w:sz="4" w:space="0" w:color="auto"/>
              <w:bottom w:val="single" w:sz="4" w:space="0" w:color="auto"/>
              <w:right w:val="single" w:sz="4" w:space="0" w:color="auto"/>
            </w:tcBorders>
            <w:hideMark/>
          </w:tcPr>
          <w:p w14:paraId="60053F5B" w14:textId="77777777" w:rsidR="00113D31" w:rsidRPr="007A1FD8" w:rsidRDefault="00113D31" w:rsidP="0060790C">
            <w:pPr>
              <w:rPr>
                <w:rFonts w:asciiTheme="minorHAnsi" w:hAnsiTheme="minorHAnsi" w:cs="Arial"/>
                <w:sz w:val="20"/>
                <w:szCs w:val="20"/>
              </w:rPr>
            </w:pPr>
            <w:r w:rsidRPr="007A1FD8">
              <w:rPr>
                <w:rFonts w:asciiTheme="minorHAnsi" w:hAnsiTheme="minorHAnsi" w:cs="Arial"/>
                <w:sz w:val="20"/>
                <w:szCs w:val="20"/>
              </w:rPr>
              <w:t xml:space="preserve">Core un--earmarked growth monies  </w:t>
            </w:r>
          </w:p>
        </w:tc>
        <w:tc>
          <w:tcPr>
            <w:tcW w:w="1585" w:type="dxa"/>
            <w:tcBorders>
              <w:top w:val="single" w:sz="4" w:space="0" w:color="auto"/>
              <w:left w:val="single" w:sz="4" w:space="0" w:color="auto"/>
              <w:bottom w:val="single" w:sz="4" w:space="0" w:color="auto"/>
              <w:right w:val="single" w:sz="4" w:space="0" w:color="auto"/>
            </w:tcBorders>
            <w:hideMark/>
          </w:tcPr>
          <w:p w14:paraId="445C6F68" w14:textId="77777777" w:rsidR="00113D31" w:rsidRPr="007A1FD8" w:rsidRDefault="00113D31" w:rsidP="0060790C">
            <w:pPr>
              <w:jc w:val="center"/>
              <w:rPr>
                <w:rFonts w:asciiTheme="minorHAnsi" w:hAnsiTheme="minorHAnsi" w:cs="Arial"/>
                <w:sz w:val="20"/>
                <w:szCs w:val="20"/>
              </w:rPr>
            </w:pPr>
            <w:r w:rsidRPr="007A1FD8">
              <w:rPr>
                <w:rFonts w:asciiTheme="minorHAnsi" w:hAnsiTheme="minorHAnsi" w:cs="Arial"/>
                <w:sz w:val="20"/>
                <w:szCs w:val="20"/>
              </w:rPr>
              <w:t>(</w:t>
            </w:r>
            <w:r>
              <w:rPr>
                <w:rFonts w:asciiTheme="minorHAnsi" w:hAnsiTheme="minorHAnsi" w:cs="Arial"/>
                <w:sz w:val="20"/>
                <w:szCs w:val="20"/>
              </w:rPr>
              <w:t>23.5</w:t>
            </w:r>
            <w:r w:rsidRPr="007A1FD8">
              <w:rPr>
                <w:rFonts w:asciiTheme="minorHAnsi" w:hAnsiTheme="minorHAnsi" w:cs="Arial"/>
                <w:sz w:val="20"/>
                <w:szCs w:val="20"/>
              </w:rPr>
              <w:t>)</w:t>
            </w:r>
          </w:p>
        </w:tc>
        <w:tc>
          <w:tcPr>
            <w:tcW w:w="1589" w:type="dxa"/>
            <w:tcBorders>
              <w:top w:val="single" w:sz="4" w:space="0" w:color="auto"/>
              <w:left w:val="single" w:sz="4" w:space="0" w:color="auto"/>
              <w:bottom w:val="single" w:sz="4" w:space="0" w:color="auto"/>
              <w:right w:val="single" w:sz="4" w:space="0" w:color="auto"/>
            </w:tcBorders>
          </w:tcPr>
          <w:p w14:paraId="292AD175" w14:textId="77777777" w:rsidR="00113D31" w:rsidRPr="007A1FD8" w:rsidRDefault="00113D31" w:rsidP="0060790C">
            <w:pPr>
              <w:jc w:val="center"/>
              <w:rPr>
                <w:rFonts w:asciiTheme="minorHAnsi" w:hAnsiTheme="minorHAnsi" w:cs="Arial"/>
                <w:sz w:val="20"/>
                <w:szCs w:val="20"/>
              </w:rPr>
            </w:pPr>
            <w:r w:rsidRPr="007A1FD8">
              <w:rPr>
                <w:rFonts w:asciiTheme="minorHAnsi" w:hAnsiTheme="minorHAnsi" w:cs="Arial"/>
                <w:sz w:val="20"/>
                <w:szCs w:val="20"/>
              </w:rPr>
              <w:t>(</w:t>
            </w:r>
            <w:r>
              <w:rPr>
                <w:rFonts w:asciiTheme="minorHAnsi" w:hAnsiTheme="minorHAnsi" w:cs="Arial"/>
                <w:sz w:val="20"/>
                <w:szCs w:val="20"/>
              </w:rPr>
              <w:t>23.5</w:t>
            </w:r>
            <w:r w:rsidRPr="007A1FD8">
              <w:rPr>
                <w:rFonts w:asciiTheme="minorHAnsi" w:hAnsiTheme="minorHAnsi" w:cs="Arial"/>
                <w:sz w:val="20"/>
                <w:szCs w:val="20"/>
              </w:rPr>
              <w:t>)</w:t>
            </w:r>
          </w:p>
        </w:tc>
        <w:tc>
          <w:tcPr>
            <w:tcW w:w="1469" w:type="dxa"/>
            <w:tcBorders>
              <w:top w:val="single" w:sz="4" w:space="0" w:color="auto"/>
              <w:left w:val="single" w:sz="4" w:space="0" w:color="auto"/>
              <w:bottom w:val="single" w:sz="4" w:space="0" w:color="auto"/>
              <w:right w:val="single" w:sz="4" w:space="0" w:color="auto"/>
            </w:tcBorders>
            <w:hideMark/>
          </w:tcPr>
          <w:p w14:paraId="6AB245D3" w14:textId="77777777" w:rsidR="00113D31" w:rsidRPr="007A1FD8" w:rsidRDefault="00113D31" w:rsidP="0060790C">
            <w:pPr>
              <w:jc w:val="center"/>
              <w:rPr>
                <w:rFonts w:asciiTheme="minorHAnsi" w:hAnsiTheme="minorHAnsi" w:cs="Arial"/>
                <w:sz w:val="20"/>
                <w:szCs w:val="20"/>
              </w:rPr>
            </w:pPr>
            <w:r w:rsidRPr="007A1FD8">
              <w:rPr>
                <w:rFonts w:asciiTheme="minorHAnsi" w:hAnsiTheme="minorHAnsi" w:cs="Arial"/>
                <w:sz w:val="20"/>
                <w:szCs w:val="20"/>
              </w:rPr>
              <w:t>(</w:t>
            </w:r>
            <w:r>
              <w:rPr>
                <w:rFonts w:asciiTheme="minorHAnsi" w:hAnsiTheme="minorHAnsi" w:cs="Arial"/>
                <w:sz w:val="20"/>
                <w:szCs w:val="20"/>
              </w:rPr>
              <w:t>23.5</w:t>
            </w:r>
            <w:r w:rsidRPr="007A1FD8">
              <w:rPr>
                <w:rFonts w:asciiTheme="minorHAnsi" w:hAnsiTheme="minorHAnsi" w:cs="Arial"/>
                <w:sz w:val="20"/>
                <w:szCs w:val="20"/>
              </w:rPr>
              <w:t>)</w:t>
            </w:r>
          </w:p>
        </w:tc>
      </w:tr>
      <w:tr w:rsidR="00113D31" w14:paraId="2F675E1E" w14:textId="77777777" w:rsidTr="0060790C">
        <w:trPr>
          <w:trHeight w:val="255"/>
          <w:jc w:val="center"/>
        </w:trPr>
        <w:tc>
          <w:tcPr>
            <w:tcW w:w="3675" w:type="dxa"/>
            <w:tcBorders>
              <w:top w:val="single" w:sz="4" w:space="0" w:color="auto"/>
              <w:left w:val="single" w:sz="4" w:space="0" w:color="auto"/>
              <w:bottom w:val="single" w:sz="4" w:space="0" w:color="auto"/>
              <w:right w:val="single" w:sz="4" w:space="0" w:color="auto"/>
            </w:tcBorders>
            <w:hideMark/>
          </w:tcPr>
          <w:p w14:paraId="762248DA" w14:textId="77777777" w:rsidR="00113D31" w:rsidRPr="007A1FD8" w:rsidRDefault="00113D31" w:rsidP="0060790C">
            <w:pPr>
              <w:rPr>
                <w:rFonts w:asciiTheme="minorHAnsi" w:hAnsiTheme="minorHAnsi" w:cs="Arial"/>
                <w:b/>
                <w:sz w:val="20"/>
                <w:szCs w:val="20"/>
              </w:rPr>
            </w:pPr>
            <w:r w:rsidRPr="007A1FD8">
              <w:rPr>
                <w:rFonts w:asciiTheme="minorHAnsi" w:hAnsiTheme="minorHAnsi" w:cs="Arial"/>
                <w:b/>
                <w:sz w:val="20"/>
                <w:szCs w:val="20"/>
              </w:rPr>
              <w:t xml:space="preserve">Total Recurrent </w:t>
            </w:r>
          </w:p>
        </w:tc>
        <w:tc>
          <w:tcPr>
            <w:tcW w:w="1585" w:type="dxa"/>
            <w:tcBorders>
              <w:top w:val="single" w:sz="4" w:space="0" w:color="auto"/>
              <w:left w:val="single" w:sz="4" w:space="0" w:color="auto"/>
              <w:bottom w:val="single" w:sz="4" w:space="0" w:color="auto"/>
              <w:right w:val="single" w:sz="4" w:space="0" w:color="auto"/>
            </w:tcBorders>
            <w:hideMark/>
          </w:tcPr>
          <w:p w14:paraId="1C51BE92" w14:textId="77777777" w:rsidR="00113D31" w:rsidRPr="007A1FD8" w:rsidRDefault="00113D31" w:rsidP="0060790C">
            <w:pPr>
              <w:jc w:val="center"/>
              <w:rPr>
                <w:rFonts w:asciiTheme="minorHAnsi" w:hAnsiTheme="minorHAnsi" w:cs="Arial"/>
                <w:b/>
                <w:sz w:val="20"/>
                <w:szCs w:val="20"/>
              </w:rPr>
            </w:pPr>
            <w:r w:rsidRPr="007A1FD8">
              <w:rPr>
                <w:rFonts w:asciiTheme="minorHAnsi" w:hAnsiTheme="minorHAnsi" w:cs="Arial"/>
                <w:b/>
                <w:sz w:val="20"/>
                <w:szCs w:val="20"/>
              </w:rPr>
              <w:t>(</w:t>
            </w:r>
            <w:r>
              <w:rPr>
                <w:rFonts w:asciiTheme="minorHAnsi" w:hAnsiTheme="minorHAnsi" w:cs="Arial"/>
                <w:b/>
                <w:sz w:val="20"/>
                <w:szCs w:val="20"/>
              </w:rPr>
              <w:t>23.5</w:t>
            </w:r>
            <w:r w:rsidRPr="007A1FD8">
              <w:rPr>
                <w:rFonts w:asciiTheme="minorHAnsi" w:hAnsiTheme="minorHAnsi" w:cs="Arial"/>
                <w:b/>
                <w:sz w:val="20"/>
                <w:szCs w:val="20"/>
              </w:rPr>
              <w:t>)</w:t>
            </w:r>
          </w:p>
        </w:tc>
        <w:tc>
          <w:tcPr>
            <w:tcW w:w="1589" w:type="dxa"/>
            <w:tcBorders>
              <w:top w:val="single" w:sz="4" w:space="0" w:color="auto"/>
              <w:left w:val="single" w:sz="4" w:space="0" w:color="auto"/>
              <w:bottom w:val="single" w:sz="4" w:space="0" w:color="auto"/>
              <w:right w:val="single" w:sz="4" w:space="0" w:color="auto"/>
            </w:tcBorders>
          </w:tcPr>
          <w:p w14:paraId="0708A5C2" w14:textId="77777777" w:rsidR="00113D31" w:rsidRPr="007A1FD8" w:rsidRDefault="00113D31" w:rsidP="0060790C">
            <w:pPr>
              <w:jc w:val="center"/>
              <w:rPr>
                <w:rFonts w:asciiTheme="minorHAnsi" w:hAnsiTheme="minorHAnsi" w:cs="Arial"/>
                <w:b/>
                <w:sz w:val="20"/>
                <w:szCs w:val="20"/>
              </w:rPr>
            </w:pPr>
            <w:r w:rsidRPr="007A1FD8">
              <w:rPr>
                <w:rFonts w:asciiTheme="minorHAnsi" w:hAnsiTheme="minorHAnsi" w:cs="Arial"/>
                <w:b/>
                <w:sz w:val="20"/>
                <w:szCs w:val="20"/>
              </w:rPr>
              <w:t>(</w:t>
            </w:r>
            <w:r>
              <w:rPr>
                <w:rFonts w:asciiTheme="minorHAnsi" w:hAnsiTheme="minorHAnsi" w:cs="Arial"/>
                <w:b/>
                <w:sz w:val="20"/>
                <w:szCs w:val="20"/>
              </w:rPr>
              <w:t>23.5)</w:t>
            </w:r>
          </w:p>
        </w:tc>
        <w:tc>
          <w:tcPr>
            <w:tcW w:w="1469" w:type="dxa"/>
            <w:tcBorders>
              <w:top w:val="single" w:sz="4" w:space="0" w:color="auto"/>
              <w:left w:val="single" w:sz="4" w:space="0" w:color="auto"/>
              <w:bottom w:val="single" w:sz="4" w:space="0" w:color="auto"/>
              <w:right w:val="single" w:sz="4" w:space="0" w:color="auto"/>
            </w:tcBorders>
            <w:hideMark/>
          </w:tcPr>
          <w:p w14:paraId="71CBB839" w14:textId="77777777" w:rsidR="00113D31" w:rsidRPr="007A1FD8" w:rsidRDefault="00113D31" w:rsidP="0060790C">
            <w:pPr>
              <w:jc w:val="center"/>
              <w:rPr>
                <w:rFonts w:asciiTheme="minorHAnsi" w:hAnsiTheme="minorHAnsi" w:cs="Arial"/>
                <w:b/>
                <w:sz w:val="20"/>
                <w:szCs w:val="20"/>
              </w:rPr>
            </w:pPr>
            <w:r w:rsidRPr="007A1FD8">
              <w:rPr>
                <w:rFonts w:asciiTheme="minorHAnsi" w:hAnsiTheme="minorHAnsi" w:cs="Arial"/>
                <w:b/>
                <w:sz w:val="20"/>
                <w:szCs w:val="20"/>
              </w:rPr>
              <w:t>(</w:t>
            </w:r>
            <w:r>
              <w:rPr>
                <w:rFonts w:asciiTheme="minorHAnsi" w:hAnsiTheme="minorHAnsi" w:cs="Arial"/>
                <w:b/>
                <w:sz w:val="20"/>
                <w:szCs w:val="20"/>
              </w:rPr>
              <w:t>23.5</w:t>
            </w:r>
            <w:r w:rsidRPr="007A1FD8">
              <w:rPr>
                <w:rFonts w:asciiTheme="minorHAnsi" w:hAnsiTheme="minorHAnsi" w:cs="Arial"/>
                <w:b/>
                <w:sz w:val="20"/>
                <w:szCs w:val="20"/>
              </w:rPr>
              <w:t>)</w:t>
            </w:r>
          </w:p>
        </w:tc>
      </w:tr>
      <w:tr w:rsidR="00113D31" w14:paraId="7D23C011" w14:textId="77777777" w:rsidTr="0060790C">
        <w:trPr>
          <w:trHeight w:val="255"/>
          <w:jc w:val="center"/>
        </w:trPr>
        <w:tc>
          <w:tcPr>
            <w:tcW w:w="3675" w:type="dxa"/>
            <w:tcBorders>
              <w:top w:val="single" w:sz="4" w:space="0" w:color="auto"/>
              <w:left w:val="single" w:sz="4" w:space="0" w:color="auto"/>
              <w:bottom w:val="single" w:sz="4" w:space="0" w:color="auto"/>
              <w:right w:val="single" w:sz="4" w:space="0" w:color="auto"/>
            </w:tcBorders>
            <w:hideMark/>
          </w:tcPr>
          <w:p w14:paraId="2B925EAB" w14:textId="77777777" w:rsidR="00113D31" w:rsidRPr="007A1FD8" w:rsidRDefault="00113D31" w:rsidP="0060790C">
            <w:pPr>
              <w:jc w:val="left"/>
              <w:rPr>
                <w:rFonts w:asciiTheme="minorHAnsi" w:hAnsiTheme="minorHAnsi" w:cs="Times New Roman"/>
                <w:sz w:val="20"/>
                <w:szCs w:val="20"/>
              </w:rPr>
            </w:pPr>
            <w:r w:rsidRPr="007A1FD8">
              <w:rPr>
                <w:rFonts w:asciiTheme="minorHAnsi" w:hAnsiTheme="minorHAnsi"/>
                <w:sz w:val="20"/>
                <w:szCs w:val="20"/>
              </w:rPr>
              <w:br w:type="page"/>
            </w:r>
          </w:p>
        </w:tc>
        <w:tc>
          <w:tcPr>
            <w:tcW w:w="1585" w:type="dxa"/>
            <w:tcBorders>
              <w:top w:val="single" w:sz="4" w:space="0" w:color="auto"/>
              <w:left w:val="single" w:sz="4" w:space="0" w:color="auto"/>
              <w:bottom w:val="single" w:sz="4" w:space="0" w:color="auto"/>
              <w:right w:val="single" w:sz="4" w:space="0" w:color="auto"/>
            </w:tcBorders>
            <w:hideMark/>
          </w:tcPr>
          <w:p w14:paraId="2946A1AF" w14:textId="77777777" w:rsidR="00113D31" w:rsidRPr="007A1FD8" w:rsidRDefault="00113D31" w:rsidP="0060790C">
            <w:pPr>
              <w:jc w:val="left"/>
              <w:rPr>
                <w:rFonts w:asciiTheme="minorHAnsi" w:hAnsiTheme="minorHAnsi" w:cs="Times New Roman"/>
                <w:sz w:val="20"/>
                <w:szCs w:val="20"/>
              </w:rPr>
            </w:pPr>
          </w:p>
        </w:tc>
        <w:tc>
          <w:tcPr>
            <w:tcW w:w="1589" w:type="dxa"/>
            <w:tcBorders>
              <w:top w:val="single" w:sz="4" w:space="0" w:color="auto"/>
              <w:left w:val="single" w:sz="4" w:space="0" w:color="auto"/>
              <w:bottom w:val="single" w:sz="4" w:space="0" w:color="auto"/>
              <w:right w:val="single" w:sz="4" w:space="0" w:color="auto"/>
            </w:tcBorders>
          </w:tcPr>
          <w:p w14:paraId="15B58F11" w14:textId="77777777" w:rsidR="00113D31" w:rsidRPr="007A1FD8" w:rsidRDefault="00113D31" w:rsidP="0060790C">
            <w:pPr>
              <w:jc w:val="left"/>
              <w:rPr>
                <w:rFonts w:asciiTheme="minorHAnsi" w:hAnsiTheme="minorHAnsi" w:cs="Times New Roman"/>
                <w:sz w:val="20"/>
                <w:szCs w:val="20"/>
              </w:rPr>
            </w:pPr>
          </w:p>
        </w:tc>
        <w:tc>
          <w:tcPr>
            <w:tcW w:w="1469" w:type="dxa"/>
            <w:tcBorders>
              <w:top w:val="single" w:sz="4" w:space="0" w:color="auto"/>
              <w:left w:val="single" w:sz="4" w:space="0" w:color="auto"/>
              <w:bottom w:val="single" w:sz="4" w:space="0" w:color="auto"/>
              <w:right w:val="single" w:sz="4" w:space="0" w:color="auto"/>
            </w:tcBorders>
            <w:hideMark/>
          </w:tcPr>
          <w:p w14:paraId="713E4681" w14:textId="77777777" w:rsidR="00113D31" w:rsidRPr="007A1FD8" w:rsidRDefault="00113D31" w:rsidP="0060790C">
            <w:pPr>
              <w:jc w:val="left"/>
              <w:rPr>
                <w:rFonts w:asciiTheme="minorHAnsi" w:hAnsiTheme="minorHAnsi" w:cs="Times New Roman"/>
                <w:sz w:val="20"/>
                <w:szCs w:val="20"/>
              </w:rPr>
            </w:pPr>
          </w:p>
        </w:tc>
      </w:tr>
      <w:tr w:rsidR="00113D31" w14:paraId="1B38BB0F" w14:textId="77777777" w:rsidTr="0060790C">
        <w:trPr>
          <w:trHeight w:val="255"/>
          <w:jc w:val="center"/>
        </w:trPr>
        <w:tc>
          <w:tcPr>
            <w:tcW w:w="3675" w:type="dxa"/>
            <w:tcBorders>
              <w:top w:val="single" w:sz="4" w:space="0" w:color="auto"/>
              <w:left w:val="single" w:sz="4" w:space="0" w:color="auto"/>
              <w:bottom w:val="single" w:sz="4" w:space="0" w:color="auto"/>
              <w:right w:val="single" w:sz="4" w:space="0" w:color="auto"/>
            </w:tcBorders>
            <w:hideMark/>
          </w:tcPr>
          <w:p w14:paraId="5F8C3A18" w14:textId="77777777" w:rsidR="00113D31" w:rsidRPr="007A1FD8" w:rsidRDefault="00113D31" w:rsidP="0060790C">
            <w:pPr>
              <w:rPr>
                <w:rFonts w:asciiTheme="minorHAnsi" w:hAnsiTheme="minorHAnsi" w:cs="Arial"/>
                <w:b/>
                <w:sz w:val="20"/>
                <w:szCs w:val="20"/>
              </w:rPr>
            </w:pPr>
            <w:r w:rsidRPr="007A1FD8">
              <w:rPr>
                <w:rFonts w:asciiTheme="minorHAnsi" w:hAnsiTheme="minorHAnsi" w:cs="Arial"/>
                <w:b/>
                <w:sz w:val="20"/>
                <w:szCs w:val="20"/>
              </w:rPr>
              <w:t>Non recurrent:</w:t>
            </w:r>
          </w:p>
        </w:tc>
        <w:tc>
          <w:tcPr>
            <w:tcW w:w="1585" w:type="dxa"/>
            <w:tcBorders>
              <w:top w:val="single" w:sz="4" w:space="0" w:color="auto"/>
              <w:left w:val="single" w:sz="4" w:space="0" w:color="auto"/>
              <w:bottom w:val="single" w:sz="4" w:space="0" w:color="auto"/>
              <w:right w:val="single" w:sz="4" w:space="0" w:color="auto"/>
            </w:tcBorders>
            <w:hideMark/>
          </w:tcPr>
          <w:p w14:paraId="219D968B" w14:textId="77777777" w:rsidR="00113D31" w:rsidRPr="007A1FD8" w:rsidRDefault="00113D31" w:rsidP="0060790C">
            <w:pPr>
              <w:jc w:val="left"/>
              <w:rPr>
                <w:rFonts w:asciiTheme="minorHAnsi" w:hAnsiTheme="minorHAnsi" w:cs="Times New Roman"/>
                <w:sz w:val="20"/>
                <w:szCs w:val="20"/>
              </w:rPr>
            </w:pPr>
          </w:p>
        </w:tc>
        <w:tc>
          <w:tcPr>
            <w:tcW w:w="1589" w:type="dxa"/>
            <w:tcBorders>
              <w:top w:val="single" w:sz="4" w:space="0" w:color="auto"/>
              <w:left w:val="single" w:sz="4" w:space="0" w:color="auto"/>
              <w:bottom w:val="single" w:sz="4" w:space="0" w:color="auto"/>
              <w:right w:val="single" w:sz="4" w:space="0" w:color="auto"/>
            </w:tcBorders>
          </w:tcPr>
          <w:p w14:paraId="35A51495" w14:textId="77777777" w:rsidR="00113D31" w:rsidRPr="007A1FD8" w:rsidRDefault="00113D31" w:rsidP="0060790C">
            <w:pPr>
              <w:jc w:val="left"/>
              <w:rPr>
                <w:rFonts w:asciiTheme="minorHAnsi" w:hAnsiTheme="minorHAnsi" w:cs="Times New Roman"/>
                <w:sz w:val="20"/>
                <w:szCs w:val="20"/>
              </w:rPr>
            </w:pPr>
          </w:p>
        </w:tc>
        <w:tc>
          <w:tcPr>
            <w:tcW w:w="1469" w:type="dxa"/>
            <w:tcBorders>
              <w:top w:val="single" w:sz="4" w:space="0" w:color="auto"/>
              <w:left w:val="single" w:sz="4" w:space="0" w:color="auto"/>
              <w:bottom w:val="single" w:sz="4" w:space="0" w:color="auto"/>
              <w:right w:val="single" w:sz="4" w:space="0" w:color="auto"/>
            </w:tcBorders>
            <w:hideMark/>
          </w:tcPr>
          <w:p w14:paraId="191379EA" w14:textId="77777777" w:rsidR="00113D31" w:rsidRPr="007A1FD8" w:rsidRDefault="00113D31" w:rsidP="0060790C">
            <w:pPr>
              <w:jc w:val="left"/>
              <w:rPr>
                <w:rFonts w:asciiTheme="minorHAnsi" w:hAnsiTheme="minorHAnsi" w:cs="Times New Roman"/>
                <w:sz w:val="20"/>
                <w:szCs w:val="20"/>
              </w:rPr>
            </w:pPr>
          </w:p>
        </w:tc>
      </w:tr>
      <w:tr w:rsidR="00113D31" w14:paraId="37C519B5" w14:textId="77777777" w:rsidTr="0060790C">
        <w:trPr>
          <w:trHeight w:val="270"/>
          <w:jc w:val="center"/>
        </w:trPr>
        <w:tc>
          <w:tcPr>
            <w:tcW w:w="3675" w:type="dxa"/>
            <w:tcBorders>
              <w:top w:val="single" w:sz="4" w:space="0" w:color="auto"/>
              <w:left w:val="single" w:sz="4" w:space="0" w:color="auto"/>
              <w:bottom w:val="single" w:sz="4" w:space="0" w:color="auto"/>
              <w:right w:val="single" w:sz="4" w:space="0" w:color="auto"/>
            </w:tcBorders>
          </w:tcPr>
          <w:p w14:paraId="6A6CF900" w14:textId="77777777" w:rsidR="00113D31" w:rsidRDefault="00113D31" w:rsidP="0060790C">
            <w:pPr>
              <w:rPr>
                <w:rFonts w:asciiTheme="minorHAnsi" w:hAnsiTheme="minorHAnsi" w:cs="Arial"/>
                <w:bCs/>
                <w:sz w:val="20"/>
                <w:szCs w:val="20"/>
              </w:rPr>
            </w:pPr>
            <w:r>
              <w:rPr>
                <w:rFonts w:asciiTheme="minorHAnsi" w:hAnsiTheme="minorHAnsi" w:cs="Arial"/>
                <w:bCs/>
                <w:sz w:val="20"/>
                <w:szCs w:val="20"/>
              </w:rPr>
              <w:t>Transformation programmes</w:t>
            </w:r>
          </w:p>
        </w:tc>
        <w:tc>
          <w:tcPr>
            <w:tcW w:w="1585" w:type="dxa"/>
            <w:tcBorders>
              <w:top w:val="single" w:sz="4" w:space="0" w:color="auto"/>
              <w:left w:val="single" w:sz="4" w:space="0" w:color="auto"/>
              <w:bottom w:val="single" w:sz="4" w:space="0" w:color="auto"/>
              <w:right w:val="single" w:sz="4" w:space="0" w:color="auto"/>
            </w:tcBorders>
          </w:tcPr>
          <w:p w14:paraId="71996AEF" w14:textId="77777777" w:rsidR="00113D31" w:rsidRDefault="00113D31" w:rsidP="0060790C">
            <w:pPr>
              <w:jc w:val="center"/>
              <w:rPr>
                <w:rFonts w:asciiTheme="minorHAnsi" w:hAnsiTheme="minorHAnsi" w:cs="Arial"/>
                <w:bCs/>
                <w:sz w:val="20"/>
                <w:szCs w:val="20"/>
              </w:rPr>
            </w:pPr>
            <w:r>
              <w:rPr>
                <w:rFonts w:asciiTheme="minorHAnsi" w:hAnsiTheme="minorHAnsi" w:cs="Arial"/>
                <w:bCs/>
                <w:sz w:val="20"/>
                <w:szCs w:val="20"/>
              </w:rPr>
              <w:t>(12.1)</w:t>
            </w:r>
          </w:p>
        </w:tc>
        <w:tc>
          <w:tcPr>
            <w:tcW w:w="1589" w:type="dxa"/>
            <w:tcBorders>
              <w:top w:val="single" w:sz="4" w:space="0" w:color="auto"/>
              <w:left w:val="single" w:sz="4" w:space="0" w:color="auto"/>
              <w:bottom w:val="single" w:sz="4" w:space="0" w:color="auto"/>
              <w:right w:val="single" w:sz="4" w:space="0" w:color="auto"/>
            </w:tcBorders>
          </w:tcPr>
          <w:p w14:paraId="25A84F48" w14:textId="77777777" w:rsidR="00113D31" w:rsidRDefault="00113D31" w:rsidP="0060790C">
            <w:pPr>
              <w:jc w:val="center"/>
              <w:rPr>
                <w:rFonts w:asciiTheme="minorHAnsi" w:hAnsiTheme="minorHAnsi" w:cs="Arial"/>
                <w:bCs/>
                <w:sz w:val="20"/>
                <w:szCs w:val="20"/>
              </w:rPr>
            </w:pPr>
            <w:r>
              <w:rPr>
                <w:rFonts w:asciiTheme="minorHAnsi" w:hAnsiTheme="minorHAnsi" w:cs="Arial"/>
                <w:bCs/>
                <w:sz w:val="20"/>
                <w:szCs w:val="20"/>
              </w:rPr>
              <w:t>0</w:t>
            </w:r>
          </w:p>
        </w:tc>
        <w:tc>
          <w:tcPr>
            <w:tcW w:w="1469" w:type="dxa"/>
            <w:tcBorders>
              <w:top w:val="single" w:sz="4" w:space="0" w:color="auto"/>
              <w:left w:val="single" w:sz="4" w:space="0" w:color="auto"/>
              <w:bottom w:val="single" w:sz="4" w:space="0" w:color="auto"/>
              <w:right w:val="single" w:sz="4" w:space="0" w:color="auto"/>
            </w:tcBorders>
          </w:tcPr>
          <w:p w14:paraId="44F64BC2" w14:textId="77777777" w:rsidR="00113D31" w:rsidRDefault="00113D31" w:rsidP="0060790C">
            <w:pPr>
              <w:jc w:val="center"/>
              <w:rPr>
                <w:rFonts w:asciiTheme="minorHAnsi" w:hAnsiTheme="minorHAnsi" w:cs="Arial"/>
                <w:bCs/>
                <w:sz w:val="20"/>
                <w:szCs w:val="20"/>
              </w:rPr>
            </w:pPr>
            <w:r>
              <w:rPr>
                <w:rFonts w:asciiTheme="minorHAnsi" w:hAnsiTheme="minorHAnsi" w:cs="Arial"/>
                <w:bCs/>
                <w:sz w:val="20"/>
                <w:szCs w:val="20"/>
              </w:rPr>
              <w:t>0</w:t>
            </w:r>
          </w:p>
        </w:tc>
      </w:tr>
      <w:tr w:rsidR="00113D31" w14:paraId="56E31FFA" w14:textId="77777777" w:rsidTr="0060790C">
        <w:trPr>
          <w:trHeight w:val="270"/>
          <w:jc w:val="center"/>
        </w:trPr>
        <w:tc>
          <w:tcPr>
            <w:tcW w:w="3675" w:type="dxa"/>
            <w:tcBorders>
              <w:top w:val="single" w:sz="4" w:space="0" w:color="auto"/>
              <w:left w:val="single" w:sz="4" w:space="0" w:color="auto"/>
              <w:bottom w:val="single" w:sz="4" w:space="0" w:color="auto"/>
              <w:right w:val="single" w:sz="4" w:space="0" w:color="auto"/>
            </w:tcBorders>
          </w:tcPr>
          <w:p w14:paraId="1F78127E" w14:textId="77777777" w:rsidR="00113D31" w:rsidRPr="007A1FD8" w:rsidRDefault="00113D31" w:rsidP="0060790C">
            <w:pPr>
              <w:rPr>
                <w:rFonts w:asciiTheme="minorHAnsi" w:hAnsiTheme="minorHAnsi" w:cs="Arial"/>
                <w:bCs/>
                <w:sz w:val="20"/>
                <w:szCs w:val="20"/>
              </w:rPr>
            </w:pPr>
            <w:r>
              <w:rPr>
                <w:rFonts w:asciiTheme="minorHAnsi" w:hAnsiTheme="minorHAnsi" w:cs="Arial"/>
                <w:bCs/>
                <w:sz w:val="20"/>
                <w:szCs w:val="20"/>
              </w:rPr>
              <w:t>Bridgend transition funding</w:t>
            </w:r>
          </w:p>
        </w:tc>
        <w:tc>
          <w:tcPr>
            <w:tcW w:w="1585" w:type="dxa"/>
            <w:tcBorders>
              <w:top w:val="single" w:sz="4" w:space="0" w:color="auto"/>
              <w:left w:val="single" w:sz="4" w:space="0" w:color="auto"/>
              <w:bottom w:val="single" w:sz="4" w:space="0" w:color="auto"/>
              <w:right w:val="single" w:sz="4" w:space="0" w:color="auto"/>
            </w:tcBorders>
          </w:tcPr>
          <w:p w14:paraId="5C6A282A" w14:textId="77777777" w:rsidR="00113D31" w:rsidRPr="007A1FD8" w:rsidRDefault="00113D31" w:rsidP="0060790C">
            <w:pPr>
              <w:jc w:val="center"/>
              <w:rPr>
                <w:rFonts w:asciiTheme="minorHAnsi" w:hAnsiTheme="minorHAnsi" w:cs="Arial"/>
                <w:bCs/>
                <w:sz w:val="20"/>
                <w:szCs w:val="20"/>
              </w:rPr>
            </w:pPr>
            <w:r>
              <w:rPr>
                <w:rFonts w:asciiTheme="minorHAnsi" w:hAnsiTheme="minorHAnsi" w:cs="Arial"/>
                <w:bCs/>
                <w:sz w:val="20"/>
                <w:szCs w:val="20"/>
              </w:rPr>
              <w:t>(5.0)</w:t>
            </w:r>
          </w:p>
        </w:tc>
        <w:tc>
          <w:tcPr>
            <w:tcW w:w="1589" w:type="dxa"/>
            <w:tcBorders>
              <w:top w:val="single" w:sz="4" w:space="0" w:color="auto"/>
              <w:left w:val="single" w:sz="4" w:space="0" w:color="auto"/>
              <w:bottom w:val="single" w:sz="4" w:space="0" w:color="auto"/>
              <w:right w:val="single" w:sz="4" w:space="0" w:color="auto"/>
            </w:tcBorders>
          </w:tcPr>
          <w:p w14:paraId="6F93BC88" w14:textId="77777777" w:rsidR="00113D31" w:rsidRPr="007A1FD8" w:rsidRDefault="00113D31" w:rsidP="0060790C">
            <w:pPr>
              <w:jc w:val="center"/>
              <w:rPr>
                <w:rFonts w:asciiTheme="minorHAnsi" w:hAnsiTheme="minorHAnsi" w:cs="Arial"/>
                <w:bCs/>
                <w:sz w:val="20"/>
                <w:szCs w:val="20"/>
              </w:rPr>
            </w:pPr>
            <w:r>
              <w:rPr>
                <w:rFonts w:asciiTheme="minorHAnsi" w:hAnsiTheme="minorHAnsi" w:cs="Arial"/>
                <w:bCs/>
                <w:sz w:val="20"/>
                <w:szCs w:val="20"/>
              </w:rPr>
              <w:t>(3.0)</w:t>
            </w:r>
          </w:p>
        </w:tc>
        <w:tc>
          <w:tcPr>
            <w:tcW w:w="1469" w:type="dxa"/>
            <w:tcBorders>
              <w:top w:val="single" w:sz="4" w:space="0" w:color="auto"/>
              <w:left w:val="single" w:sz="4" w:space="0" w:color="auto"/>
              <w:bottom w:val="single" w:sz="4" w:space="0" w:color="auto"/>
              <w:right w:val="single" w:sz="4" w:space="0" w:color="auto"/>
            </w:tcBorders>
          </w:tcPr>
          <w:p w14:paraId="11B48F1E" w14:textId="77777777" w:rsidR="00113D31" w:rsidRPr="007A1FD8" w:rsidRDefault="00113D31" w:rsidP="0060790C">
            <w:pPr>
              <w:jc w:val="center"/>
              <w:rPr>
                <w:rFonts w:asciiTheme="minorHAnsi" w:hAnsiTheme="minorHAnsi" w:cs="Arial"/>
                <w:bCs/>
                <w:sz w:val="20"/>
                <w:szCs w:val="20"/>
              </w:rPr>
            </w:pPr>
            <w:r>
              <w:rPr>
                <w:rFonts w:asciiTheme="minorHAnsi" w:hAnsiTheme="minorHAnsi" w:cs="Arial"/>
                <w:bCs/>
                <w:sz w:val="20"/>
                <w:szCs w:val="20"/>
              </w:rPr>
              <w:t>0</w:t>
            </w:r>
          </w:p>
        </w:tc>
      </w:tr>
      <w:tr w:rsidR="00113D31" w14:paraId="07953D9F" w14:textId="77777777" w:rsidTr="0060790C">
        <w:trPr>
          <w:trHeight w:val="270"/>
          <w:jc w:val="center"/>
        </w:trPr>
        <w:tc>
          <w:tcPr>
            <w:tcW w:w="3675" w:type="dxa"/>
            <w:tcBorders>
              <w:top w:val="single" w:sz="4" w:space="0" w:color="auto"/>
              <w:left w:val="single" w:sz="4" w:space="0" w:color="auto"/>
              <w:bottom w:val="single" w:sz="4" w:space="0" w:color="auto"/>
              <w:right w:val="single" w:sz="4" w:space="0" w:color="auto"/>
            </w:tcBorders>
            <w:hideMark/>
          </w:tcPr>
          <w:p w14:paraId="624EAEDB" w14:textId="77777777" w:rsidR="00113D31" w:rsidRPr="007A1FD8" w:rsidRDefault="00113D31" w:rsidP="0060790C">
            <w:pPr>
              <w:rPr>
                <w:rFonts w:asciiTheme="minorHAnsi" w:hAnsiTheme="minorHAnsi" w:cs="Arial"/>
                <w:bCs/>
                <w:sz w:val="20"/>
                <w:szCs w:val="20"/>
              </w:rPr>
            </w:pPr>
            <w:r w:rsidRPr="007A1FD8">
              <w:rPr>
                <w:rFonts w:asciiTheme="minorHAnsi" w:hAnsiTheme="minorHAnsi" w:cs="Arial"/>
                <w:bCs/>
                <w:sz w:val="20"/>
                <w:szCs w:val="20"/>
              </w:rPr>
              <w:t>Invest to Save repayments</w:t>
            </w:r>
          </w:p>
        </w:tc>
        <w:tc>
          <w:tcPr>
            <w:tcW w:w="1585" w:type="dxa"/>
            <w:tcBorders>
              <w:top w:val="single" w:sz="4" w:space="0" w:color="auto"/>
              <w:left w:val="single" w:sz="4" w:space="0" w:color="auto"/>
              <w:bottom w:val="single" w:sz="4" w:space="0" w:color="auto"/>
              <w:right w:val="single" w:sz="4" w:space="0" w:color="auto"/>
            </w:tcBorders>
          </w:tcPr>
          <w:p w14:paraId="7F96FD1E" w14:textId="77777777" w:rsidR="00113D31" w:rsidRPr="007A1FD8" w:rsidRDefault="00113D31" w:rsidP="0060790C">
            <w:pPr>
              <w:jc w:val="center"/>
              <w:rPr>
                <w:rFonts w:asciiTheme="minorHAnsi" w:hAnsiTheme="minorHAnsi" w:cs="Arial"/>
                <w:bCs/>
                <w:sz w:val="20"/>
                <w:szCs w:val="20"/>
              </w:rPr>
            </w:pPr>
            <w:r w:rsidRPr="007A1FD8">
              <w:rPr>
                <w:rFonts w:asciiTheme="minorHAnsi" w:hAnsiTheme="minorHAnsi" w:cs="Arial"/>
                <w:bCs/>
                <w:sz w:val="20"/>
                <w:szCs w:val="20"/>
              </w:rPr>
              <w:t>0.</w:t>
            </w:r>
            <w:r>
              <w:rPr>
                <w:rFonts w:asciiTheme="minorHAnsi" w:hAnsiTheme="minorHAnsi" w:cs="Arial"/>
                <w:bCs/>
                <w:sz w:val="20"/>
                <w:szCs w:val="20"/>
              </w:rPr>
              <w:t>4</w:t>
            </w:r>
          </w:p>
        </w:tc>
        <w:tc>
          <w:tcPr>
            <w:tcW w:w="1589" w:type="dxa"/>
            <w:tcBorders>
              <w:top w:val="single" w:sz="4" w:space="0" w:color="auto"/>
              <w:left w:val="single" w:sz="4" w:space="0" w:color="auto"/>
              <w:bottom w:val="single" w:sz="4" w:space="0" w:color="auto"/>
              <w:right w:val="single" w:sz="4" w:space="0" w:color="auto"/>
            </w:tcBorders>
          </w:tcPr>
          <w:p w14:paraId="5E7967E0" w14:textId="77777777" w:rsidR="00113D31" w:rsidRPr="007A1FD8" w:rsidRDefault="00113D31" w:rsidP="0060790C">
            <w:pPr>
              <w:jc w:val="center"/>
              <w:rPr>
                <w:rFonts w:asciiTheme="minorHAnsi" w:hAnsiTheme="minorHAnsi" w:cs="Arial"/>
                <w:bCs/>
                <w:sz w:val="20"/>
                <w:szCs w:val="20"/>
              </w:rPr>
            </w:pPr>
            <w:r w:rsidRPr="007A1FD8">
              <w:rPr>
                <w:rFonts w:asciiTheme="minorHAnsi" w:hAnsiTheme="minorHAnsi" w:cs="Arial"/>
                <w:bCs/>
                <w:sz w:val="20"/>
                <w:szCs w:val="20"/>
              </w:rPr>
              <w:t>0</w:t>
            </w:r>
          </w:p>
        </w:tc>
        <w:tc>
          <w:tcPr>
            <w:tcW w:w="1469" w:type="dxa"/>
            <w:tcBorders>
              <w:top w:val="single" w:sz="4" w:space="0" w:color="auto"/>
              <w:left w:val="single" w:sz="4" w:space="0" w:color="auto"/>
              <w:bottom w:val="single" w:sz="4" w:space="0" w:color="auto"/>
              <w:right w:val="single" w:sz="4" w:space="0" w:color="auto"/>
            </w:tcBorders>
          </w:tcPr>
          <w:p w14:paraId="7292DF81" w14:textId="77777777" w:rsidR="00113D31" w:rsidRPr="007A1FD8" w:rsidRDefault="00113D31" w:rsidP="0060790C">
            <w:pPr>
              <w:jc w:val="center"/>
              <w:rPr>
                <w:rFonts w:asciiTheme="minorHAnsi" w:hAnsiTheme="minorHAnsi" w:cs="Arial"/>
                <w:bCs/>
                <w:sz w:val="20"/>
                <w:szCs w:val="20"/>
              </w:rPr>
            </w:pPr>
            <w:r w:rsidRPr="007A1FD8">
              <w:rPr>
                <w:rFonts w:asciiTheme="minorHAnsi" w:hAnsiTheme="minorHAnsi" w:cs="Arial"/>
                <w:bCs/>
                <w:sz w:val="20"/>
                <w:szCs w:val="20"/>
              </w:rPr>
              <w:t>0</w:t>
            </w:r>
          </w:p>
        </w:tc>
      </w:tr>
      <w:tr w:rsidR="00113D31" w14:paraId="74186581" w14:textId="77777777" w:rsidTr="0060790C">
        <w:trPr>
          <w:trHeight w:val="270"/>
          <w:jc w:val="center"/>
        </w:trPr>
        <w:tc>
          <w:tcPr>
            <w:tcW w:w="3675" w:type="dxa"/>
            <w:tcBorders>
              <w:top w:val="single" w:sz="4" w:space="0" w:color="auto"/>
              <w:left w:val="single" w:sz="4" w:space="0" w:color="auto"/>
              <w:bottom w:val="single" w:sz="4" w:space="0" w:color="auto"/>
              <w:right w:val="single" w:sz="4" w:space="0" w:color="auto"/>
            </w:tcBorders>
            <w:hideMark/>
          </w:tcPr>
          <w:p w14:paraId="0369A3A7" w14:textId="77777777" w:rsidR="00113D31" w:rsidRPr="007A1FD8" w:rsidRDefault="00113D31" w:rsidP="0060790C">
            <w:pPr>
              <w:rPr>
                <w:rFonts w:asciiTheme="minorHAnsi" w:hAnsiTheme="minorHAnsi" w:cs="Arial"/>
                <w:bCs/>
                <w:sz w:val="20"/>
                <w:szCs w:val="20"/>
              </w:rPr>
            </w:pPr>
            <w:r w:rsidRPr="007A1FD8">
              <w:rPr>
                <w:rFonts w:asciiTheme="minorHAnsi" w:hAnsiTheme="minorHAnsi" w:cs="Arial"/>
                <w:bCs/>
                <w:sz w:val="20"/>
                <w:szCs w:val="20"/>
              </w:rPr>
              <w:t>Estimated repayment of 2017/18 AME funding for retrospective CHC claims which crystallise in 20</w:t>
            </w:r>
            <w:r>
              <w:rPr>
                <w:rFonts w:asciiTheme="minorHAnsi" w:hAnsiTheme="minorHAnsi" w:cs="Arial"/>
                <w:bCs/>
                <w:sz w:val="20"/>
                <w:szCs w:val="20"/>
              </w:rPr>
              <w:t>20/21</w:t>
            </w:r>
          </w:p>
        </w:tc>
        <w:tc>
          <w:tcPr>
            <w:tcW w:w="1585" w:type="dxa"/>
            <w:tcBorders>
              <w:top w:val="single" w:sz="4" w:space="0" w:color="auto"/>
              <w:left w:val="single" w:sz="4" w:space="0" w:color="auto"/>
              <w:bottom w:val="single" w:sz="4" w:space="0" w:color="auto"/>
              <w:right w:val="single" w:sz="4" w:space="0" w:color="auto"/>
            </w:tcBorders>
          </w:tcPr>
          <w:p w14:paraId="06B7FB90" w14:textId="77777777" w:rsidR="00113D31" w:rsidRPr="007A1FD8" w:rsidRDefault="00113D31" w:rsidP="0060790C">
            <w:pPr>
              <w:jc w:val="center"/>
              <w:rPr>
                <w:rFonts w:asciiTheme="minorHAnsi" w:hAnsiTheme="minorHAnsi" w:cs="Arial"/>
                <w:bCs/>
                <w:sz w:val="20"/>
                <w:szCs w:val="20"/>
              </w:rPr>
            </w:pPr>
            <w:r w:rsidRPr="007A1FD8">
              <w:rPr>
                <w:rFonts w:asciiTheme="minorHAnsi" w:hAnsiTheme="minorHAnsi" w:cs="Arial"/>
                <w:bCs/>
                <w:sz w:val="20"/>
                <w:szCs w:val="20"/>
              </w:rPr>
              <w:t>0.</w:t>
            </w:r>
            <w:r>
              <w:rPr>
                <w:rFonts w:asciiTheme="minorHAnsi" w:hAnsiTheme="minorHAnsi" w:cs="Arial"/>
                <w:bCs/>
                <w:sz w:val="20"/>
                <w:szCs w:val="20"/>
              </w:rPr>
              <w:t>5</w:t>
            </w:r>
          </w:p>
        </w:tc>
        <w:tc>
          <w:tcPr>
            <w:tcW w:w="1589" w:type="dxa"/>
            <w:tcBorders>
              <w:top w:val="single" w:sz="4" w:space="0" w:color="auto"/>
              <w:left w:val="single" w:sz="4" w:space="0" w:color="auto"/>
              <w:bottom w:val="single" w:sz="4" w:space="0" w:color="auto"/>
              <w:right w:val="single" w:sz="4" w:space="0" w:color="auto"/>
            </w:tcBorders>
          </w:tcPr>
          <w:p w14:paraId="5B3A7823" w14:textId="77777777" w:rsidR="00113D31" w:rsidRPr="007A1FD8" w:rsidRDefault="00113D31" w:rsidP="0060790C">
            <w:pPr>
              <w:jc w:val="center"/>
              <w:rPr>
                <w:rFonts w:asciiTheme="minorHAnsi" w:hAnsiTheme="minorHAnsi" w:cs="Arial"/>
                <w:bCs/>
                <w:sz w:val="20"/>
                <w:szCs w:val="20"/>
              </w:rPr>
            </w:pPr>
            <w:r w:rsidRPr="007A1FD8">
              <w:rPr>
                <w:rFonts w:asciiTheme="minorHAnsi" w:hAnsiTheme="minorHAnsi" w:cs="Arial"/>
                <w:bCs/>
                <w:sz w:val="20"/>
                <w:szCs w:val="20"/>
              </w:rPr>
              <w:t>0.5</w:t>
            </w:r>
          </w:p>
        </w:tc>
        <w:tc>
          <w:tcPr>
            <w:tcW w:w="1469" w:type="dxa"/>
            <w:tcBorders>
              <w:top w:val="single" w:sz="4" w:space="0" w:color="auto"/>
              <w:left w:val="single" w:sz="4" w:space="0" w:color="auto"/>
              <w:bottom w:val="single" w:sz="4" w:space="0" w:color="auto"/>
              <w:right w:val="single" w:sz="4" w:space="0" w:color="auto"/>
            </w:tcBorders>
          </w:tcPr>
          <w:p w14:paraId="6D1FB2B9" w14:textId="77777777" w:rsidR="00113D31" w:rsidRPr="007A1FD8" w:rsidRDefault="00113D31" w:rsidP="0060790C">
            <w:pPr>
              <w:jc w:val="center"/>
              <w:rPr>
                <w:rFonts w:asciiTheme="minorHAnsi" w:hAnsiTheme="minorHAnsi" w:cs="Arial"/>
                <w:bCs/>
                <w:sz w:val="20"/>
                <w:szCs w:val="20"/>
              </w:rPr>
            </w:pPr>
            <w:r w:rsidRPr="007A1FD8">
              <w:rPr>
                <w:rFonts w:asciiTheme="minorHAnsi" w:hAnsiTheme="minorHAnsi" w:cs="Arial"/>
                <w:bCs/>
                <w:sz w:val="20"/>
                <w:szCs w:val="20"/>
              </w:rPr>
              <w:t>0.5</w:t>
            </w:r>
          </w:p>
        </w:tc>
      </w:tr>
      <w:tr w:rsidR="00113D31" w14:paraId="706B9229" w14:textId="77777777" w:rsidTr="0060790C">
        <w:trPr>
          <w:trHeight w:val="270"/>
          <w:jc w:val="center"/>
        </w:trPr>
        <w:tc>
          <w:tcPr>
            <w:tcW w:w="3675" w:type="dxa"/>
            <w:tcBorders>
              <w:top w:val="single" w:sz="4" w:space="0" w:color="auto"/>
              <w:left w:val="single" w:sz="4" w:space="0" w:color="auto"/>
              <w:bottom w:val="single" w:sz="4" w:space="0" w:color="auto"/>
              <w:right w:val="single" w:sz="4" w:space="0" w:color="auto"/>
            </w:tcBorders>
            <w:hideMark/>
          </w:tcPr>
          <w:p w14:paraId="66FB0145" w14:textId="77777777" w:rsidR="00113D31" w:rsidRPr="007A1FD8" w:rsidRDefault="00113D31" w:rsidP="0060790C">
            <w:pPr>
              <w:rPr>
                <w:rFonts w:asciiTheme="minorHAnsi" w:hAnsiTheme="minorHAnsi" w:cs="Arial"/>
                <w:bCs/>
                <w:sz w:val="20"/>
                <w:szCs w:val="20"/>
              </w:rPr>
            </w:pPr>
            <w:r w:rsidRPr="007A1FD8">
              <w:rPr>
                <w:rFonts w:asciiTheme="minorHAnsi" w:hAnsiTheme="minorHAnsi" w:cs="Arial"/>
                <w:bCs/>
                <w:sz w:val="20"/>
                <w:szCs w:val="20"/>
              </w:rPr>
              <w:t>Estimated new AME funding for new retrospective CHC claims provided for in 2019/20</w:t>
            </w:r>
          </w:p>
        </w:tc>
        <w:tc>
          <w:tcPr>
            <w:tcW w:w="1585" w:type="dxa"/>
            <w:tcBorders>
              <w:top w:val="single" w:sz="4" w:space="0" w:color="auto"/>
              <w:left w:val="single" w:sz="4" w:space="0" w:color="auto"/>
              <w:bottom w:val="single" w:sz="4" w:space="0" w:color="auto"/>
              <w:right w:val="single" w:sz="4" w:space="0" w:color="auto"/>
            </w:tcBorders>
          </w:tcPr>
          <w:p w14:paraId="466C9433" w14:textId="77777777" w:rsidR="00113D31" w:rsidRPr="007A1FD8" w:rsidRDefault="00113D31" w:rsidP="0060790C">
            <w:pPr>
              <w:jc w:val="center"/>
              <w:rPr>
                <w:rFonts w:asciiTheme="minorHAnsi" w:hAnsiTheme="minorHAnsi" w:cs="Arial"/>
                <w:bCs/>
                <w:sz w:val="20"/>
                <w:szCs w:val="20"/>
              </w:rPr>
            </w:pPr>
            <w:r w:rsidRPr="007A1FD8">
              <w:rPr>
                <w:rFonts w:asciiTheme="minorHAnsi" w:hAnsiTheme="minorHAnsi" w:cs="Arial"/>
                <w:bCs/>
                <w:sz w:val="20"/>
                <w:szCs w:val="20"/>
              </w:rPr>
              <w:t>(0.</w:t>
            </w:r>
            <w:r>
              <w:rPr>
                <w:rFonts w:asciiTheme="minorHAnsi" w:hAnsiTheme="minorHAnsi" w:cs="Arial"/>
                <w:bCs/>
                <w:sz w:val="20"/>
                <w:szCs w:val="20"/>
              </w:rPr>
              <w:t>5</w:t>
            </w:r>
            <w:r w:rsidRPr="007A1FD8">
              <w:rPr>
                <w:rFonts w:asciiTheme="minorHAnsi" w:hAnsiTheme="minorHAnsi" w:cs="Arial"/>
                <w:bCs/>
                <w:sz w:val="20"/>
                <w:szCs w:val="20"/>
              </w:rPr>
              <w:t>)</w:t>
            </w:r>
          </w:p>
        </w:tc>
        <w:tc>
          <w:tcPr>
            <w:tcW w:w="1589" w:type="dxa"/>
            <w:tcBorders>
              <w:top w:val="single" w:sz="4" w:space="0" w:color="auto"/>
              <w:left w:val="single" w:sz="4" w:space="0" w:color="auto"/>
              <w:bottom w:val="single" w:sz="4" w:space="0" w:color="auto"/>
              <w:right w:val="single" w:sz="4" w:space="0" w:color="auto"/>
            </w:tcBorders>
          </w:tcPr>
          <w:p w14:paraId="4E7E4417" w14:textId="77777777" w:rsidR="00113D31" w:rsidRPr="007A1FD8" w:rsidRDefault="00113D31" w:rsidP="0060790C">
            <w:pPr>
              <w:jc w:val="center"/>
              <w:rPr>
                <w:rFonts w:asciiTheme="minorHAnsi" w:hAnsiTheme="minorHAnsi" w:cs="Arial"/>
                <w:bCs/>
                <w:sz w:val="20"/>
                <w:szCs w:val="20"/>
              </w:rPr>
            </w:pPr>
            <w:r w:rsidRPr="007A1FD8">
              <w:rPr>
                <w:rFonts w:asciiTheme="minorHAnsi" w:hAnsiTheme="minorHAnsi" w:cs="Arial"/>
                <w:bCs/>
                <w:sz w:val="20"/>
                <w:szCs w:val="20"/>
              </w:rPr>
              <w:t>(0.5)</w:t>
            </w:r>
          </w:p>
        </w:tc>
        <w:tc>
          <w:tcPr>
            <w:tcW w:w="1469" w:type="dxa"/>
            <w:tcBorders>
              <w:top w:val="single" w:sz="4" w:space="0" w:color="auto"/>
              <w:left w:val="single" w:sz="4" w:space="0" w:color="auto"/>
              <w:bottom w:val="single" w:sz="4" w:space="0" w:color="auto"/>
              <w:right w:val="single" w:sz="4" w:space="0" w:color="auto"/>
            </w:tcBorders>
          </w:tcPr>
          <w:p w14:paraId="5D06FED8" w14:textId="77777777" w:rsidR="00113D31" w:rsidRPr="007A1FD8" w:rsidRDefault="00113D31" w:rsidP="0060790C">
            <w:pPr>
              <w:jc w:val="center"/>
              <w:rPr>
                <w:rFonts w:asciiTheme="minorHAnsi" w:hAnsiTheme="minorHAnsi" w:cs="Arial"/>
                <w:bCs/>
                <w:sz w:val="20"/>
                <w:szCs w:val="20"/>
              </w:rPr>
            </w:pPr>
            <w:r w:rsidRPr="007A1FD8">
              <w:rPr>
                <w:rFonts w:asciiTheme="minorHAnsi" w:hAnsiTheme="minorHAnsi" w:cs="Arial"/>
                <w:bCs/>
                <w:sz w:val="20"/>
                <w:szCs w:val="20"/>
              </w:rPr>
              <w:t>(0.5)</w:t>
            </w:r>
          </w:p>
        </w:tc>
      </w:tr>
      <w:tr w:rsidR="00113D31" w14:paraId="3F7B7A8D" w14:textId="77777777" w:rsidTr="0060790C">
        <w:trPr>
          <w:trHeight w:val="255"/>
          <w:jc w:val="center"/>
        </w:trPr>
        <w:tc>
          <w:tcPr>
            <w:tcW w:w="3675" w:type="dxa"/>
            <w:tcBorders>
              <w:top w:val="single" w:sz="4" w:space="0" w:color="auto"/>
              <w:left w:val="single" w:sz="4" w:space="0" w:color="auto"/>
              <w:bottom w:val="single" w:sz="4" w:space="0" w:color="auto"/>
              <w:right w:val="single" w:sz="4" w:space="0" w:color="auto"/>
            </w:tcBorders>
            <w:hideMark/>
          </w:tcPr>
          <w:p w14:paraId="69D32C19" w14:textId="77777777" w:rsidR="00113D31" w:rsidRPr="007A1FD8" w:rsidRDefault="00113D31" w:rsidP="0060790C">
            <w:pPr>
              <w:rPr>
                <w:rFonts w:asciiTheme="minorHAnsi" w:hAnsiTheme="minorHAnsi" w:cs="Arial"/>
                <w:b/>
                <w:sz w:val="20"/>
                <w:szCs w:val="20"/>
              </w:rPr>
            </w:pPr>
            <w:r w:rsidRPr="007A1FD8">
              <w:rPr>
                <w:rFonts w:asciiTheme="minorHAnsi" w:hAnsiTheme="minorHAnsi" w:cs="Arial"/>
                <w:b/>
                <w:sz w:val="20"/>
                <w:szCs w:val="20"/>
              </w:rPr>
              <w:t xml:space="preserve">Total </w:t>
            </w:r>
            <w:r>
              <w:rPr>
                <w:rFonts w:asciiTheme="minorHAnsi" w:hAnsiTheme="minorHAnsi" w:cs="Arial"/>
                <w:b/>
                <w:sz w:val="20"/>
                <w:szCs w:val="20"/>
              </w:rPr>
              <w:t>n</w:t>
            </w:r>
            <w:r w:rsidRPr="007A1FD8">
              <w:rPr>
                <w:rFonts w:asciiTheme="minorHAnsi" w:hAnsiTheme="minorHAnsi" w:cs="Arial"/>
                <w:b/>
                <w:sz w:val="20"/>
                <w:szCs w:val="20"/>
              </w:rPr>
              <w:t>on recurrent</w:t>
            </w:r>
          </w:p>
        </w:tc>
        <w:tc>
          <w:tcPr>
            <w:tcW w:w="1585" w:type="dxa"/>
            <w:tcBorders>
              <w:top w:val="single" w:sz="4" w:space="0" w:color="auto"/>
              <w:left w:val="single" w:sz="4" w:space="0" w:color="auto"/>
              <w:bottom w:val="single" w:sz="4" w:space="0" w:color="auto"/>
              <w:right w:val="single" w:sz="4" w:space="0" w:color="auto"/>
            </w:tcBorders>
          </w:tcPr>
          <w:p w14:paraId="654FA900" w14:textId="77777777" w:rsidR="00113D31" w:rsidRPr="007A1FD8" w:rsidRDefault="00113D31" w:rsidP="0060790C">
            <w:pPr>
              <w:jc w:val="center"/>
              <w:rPr>
                <w:rFonts w:asciiTheme="minorHAnsi" w:hAnsiTheme="minorHAnsi" w:cs="Arial"/>
                <w:b/>
                <w:bCs/>
                <w:sz w:val="20"/>
                <w:szCs w:val="20"/>
              </w:rPr>
            </w:pPr>
            <w:r>
              <w:rPr>
                <w:rFonts w:asciiTheme="minorHAnsi" w:hAnsiTheme="minorHAnsi" w:cs="Arial"/>
                <w:b/>
                <w:bCs/>
                <w:sz w:val="20"/>
                <w:szCs w:val="20"/>
              </w:rPr>
              <w:t>(16.7)</w:t>
            </w:r>
          </w:p>
        </w:tc>
        <w:tc>
          <w:tcPr>
            <w:tcW w:w="1589" w:type="dxa"/>
            <w:tcBorders>
              <w:top w:val="single" w:sz="4" w:space="0" w:color="auto"/>
              <w:left w:val="single" w:sz="4" w:space="0" w:color="auto"/>
              <w:bottom w:val="single" w:sz="4" w:space="0" w:color="auto"/>
              <w:right w:val="single" w:sz="4" w:space="0" w:color="auto"/>
            </w:tcBorders>
          </w:tcPr>
          <w:p w14:paraId="3C1350BF" w14:textId="77777777" w:rsidR="00113D31" w:rsidRPr="007A1FD8" w:rsidRDefault="00113D31" w:rsidP="0060790C">
            <w:pPr>
              <w:jc w:val="center"/>
              <w:rPr>
                <w:rFonts w:asciiTheme="minorHAnsi" w:hAnsiTheme="minorHAnsi" w:cs="Arial"/>
                <w:b/>
                <w:bCs/>
                <w:sz w:val="20"/>
                <w:szCs w:val="20"/>
              </w:rPr>
            </w:pPr>
            <w:r>
              <w:rPr>
                <w:rFonts w:asciiTheme="minorHAnsi" w:hAnsiTheme="minorHAnsi" w:cs="Arial"/>
                <w:b/>
                <w:bCs/>
                <w:sz w:val="20"/>
                <w:szCs w:val="20"/>
              </w:rPr>
              <w:t>(3.0)</w:t>
            </w:r>
          </w:p>
        </w:tc>
        <w:tc>
          <w:tcPr>
            <w:tcW w:w="1469" w:type="dxa"/>
            <w:tcBorders>
              <w:top w:val="single" w:sz="4" w:space="0" w:color="auto"/>
              <w:left w:val="single" w:sz="4" w:space="0" w:color="auto"/>
              <w:bottom w:val="single" w:sz="4" w:space="0" w:color="auto"/>
              <w:right w:val="single" w:sz="4" w:space="0" w:color="auto"/>
            </w:tcBorders>
          </w:tcPr>
          <w:p w14:paraId="4C0D90DE" w14:textId="77777777" w:rsidR="00113D31" w:rsidRPr="007A1FD8" w:rsidRDefault="00113D31" w:rsidP="0060790C">
            <w:pPr>
              <w:jc w:val="center"/>
              <w:rPr>
                <w:rFonts w:asciiTheme="minorHAnsi" w:hAnsiTheme="minorHAnsi" w:cs="Arial"/>
                <w:b/>
                <w:bCs/>
                <w:sz w:val="20"/>
                <w:szCs w:val="20"/>
              </w:rPr>
            </w:pPr>
            <w:r w:rsidRPr="007A1FD8">
              <w:rPr>
                <w:rFonts w:asciiTheme="minorHAnsi" w:hAnsiTheme="minorHAnsi" w:cs="Arial"/>
                <w:b/>
                <w:bCs/>
                <w:sz w:val="20"/>
                <w:szCs w:val="20"/>
              </w:rPr>
              <w:t>0</w:t>
            </w:r>
          </w:p>
        </w:tc>
      </w:tr>
      <w:tr w:rsidR="00113D31" w14:paraId="0297F274" w14:textId="77777777" w:rsidTr="0060790C">
        <w:trPr>
          <w:trHeight w:val="255"/>
          <w:jc w:val="center"/>
        </w:trPr>
        <w:tc>
          <w:tcPr>
            <w:tcW w:w="3675" w:type="dxa"/>
            <w:tcBorders>
              <w:top w:val="single" w:sz="4" w:space="0" w:color="auto"/>
              <w:left w:val="single" w:sz="4" w:space="0" w:color="auto"/>
              <w:bottom w:val="single" w:sz="4" w:space="0" w:color="auto"/>
              <w:right w:val="single" w:sz="4" w:space="0" w:color="auto"/>
            </w:tcBorders>
            <w:hideMark/>
          </w:tcPr>
          <w:p w14:paraId="7F194E42" w14:textId="77777777" w:rsidR="00113D31" w:rsidRPr="007A1FD8" w:rsidRDefault="00113D31" w:rsidP="0060790C">
            <w:pPr>
              <w:rPr>
                <w:rFonts w:asciiTheme="minorHAnsi" w:hAnsiTheme="minorHAnsi" w:cs="Arial"/>
                <w:b/>
                <w:sz w:val="20"/>
                <w:szCs w:val="20"/>
              </w:rPr>
            </w:pPr>
            <w:r w:rsidRPr="007A1FD8">
              <w:rPr>
                <w:rFonts w:asciiTheme="minorHAnsi" w:hAnsiTheme="minorHAnsi" w:cs="Arial"/>
                <w:b/>
                <w:sz w:val="20"/>
                <w:szCs w:val="20"/>
              </w:rPr>
              <w:t>Grand Total</w:t>
            </w:r>
          </w:p>
        </w:tc>
        <w:tc>
          <w:tcPr>
            <w:tcW w:w="1585" w:type="dxa"/>
            <w:tcBorders>
              <w:top w:val="single" w:sz="4" w:space="0" w:color="auto"/>
              <w:left w:val="single" w:sz="4" w:space="0" w:color="auto"/>
              <w:bottom w:val="single" w:sz="4" w:space="0" w:color="auto"/>
              <w:right w:val="single" w:sz="4" w:space="0" w:color="auto"/>
            </w:tcBorders>
          </w:tcPr>
          <w:p w14:paraId="08DC2E6B" w14:textId="77777777" w:rsidR="00113D31" w:rsidRPr="007A1FD8" w:rsidRDefault="00113D31" w:rsidP="0060790C">
            <w:pPr>
              <w:jc w:val="center"/>
              <w:rPr>
                <w:rFonts w:asciiTheme="minorHAnsi" w:hAnsiTheme="minorHAnsi" w:cs="Arial"/>
                <w:b/>
                <w:bCs/>
                <w:sz w:val="20"/>
                <w:szCs w:val="20"/>
              </w:rPr>
            </w:pPr>
            <w:r w:rsidRPr="007A1FD8">
              <w:rPr>
                <w:rFonts w:asciiTheme="minorHAnsi" w:hAnsiTheme="minorHAnsi" w:cs="Arial"/>
                <w:b/>
                <w:bCs/>
                <w:sz w:val="20"/>
                <w:szCs w:val="20"/>
              </w:rPr>
              <w:t>(</w:t>
            </w:r>
            <w:r>
              <w:rPr>
                <w:rFonts w:asciiTheme="minorHAnsi" w:hAnsiTheme="minorHAnsi" w:cs="Arial"/>
                <w:b/>
                <w:bCs/>
                <w:sz w:val="20"/>
                <w:szCs w:val="20"/>
              </w:rPr>
              <w:t>40.2)</w:t>
            </w:r>
          </w:p>
        </w:tc>
        <w:tc>
          <w:tcPr>
            <w:tcW w:w="1589" w:type="dxa"/>
            <w:tcBorders>
              <w:top w:val="single" w:sz="4" w:space="0" w:color="auto"/>
              <w:left w:val="single" w:sz="4" w:space="0" w:color="auto"/>
              <w:bottom w:val="single" w:sz="4" w:space="0" w:color="auto"/>
              <w:right w:val="single" w:sz="4" w:space="0" w:color="auto"/>
            </w:tcBorders>
          </w:tcPr>
          <w:p w14:paraId="01ED7CD7" w14:textId="77777777" w:rsidR="00113D31" w:rsidRPr="007A1FD8" w:rsidRDefault="00113D31" w:rsidP="0060790C">
            <w:pPr>
              <w:jc w:val="center"/>
              <w:rPr>
                <w:rFonts w:asciiTheme="minorHAnsi" w:hAnsiTheme="minorHAnsi" w:cs="Arial"/>
                <w:b/>
                <w:bCs/>
                <w:sz w:val="20"/>
                <w:szCs w:val="20"/>
              </w:rPr>
            </w:pPr>
            <w:r w:rsidRPr="007A1FD8">
              <w:rPr>
                <w:rFonts w:asciiTheme="minorHAnsi" w:hAnsiTheme="minorHAnsi" w:cs="Arial"/>
                <w:b/>
                <w:bCs/>
                <w:sz w:val="20"/>
                <w:szCs w:val="20"/>
              </w:rPr>
              <w:t>(</w:t>
            </w:r>
            <w:r>
              <w:rPr>
                <w:rFonts w:asciiTheme="minorHAnsi" w:hAnsiTheme="minorHAnsi" w:cs="Arial"/>
                <w:b/>
                <w:bCs/>
                <w:sz w:val="20"/>
                <w:szCs w:val="20"/>
              </w:rPr>
              <w:t>26.5)</w:t>
            </w:r>
          </w:p>
        </w:tc>
        <w:tc>
          <w:tcPr>
            <w:tcW w:w="1469" w:type="dxa"/>
            <w:tcBorders>
              <w:top w:val="single" w:sz="4" w:space="0" w:color="auto"/>
              <w:left w:val="single" w:sz="4" w:space="0" w:color="auto"/>
              <w:bottom w:val="single" w:sz="4" w:space="0" w:color="auto"/>
              <w:right w:val="single" w:sz="4" w:space="0" w:color="auto"/>
            </w:tcBorders>
          </w:tcPr>
          <w:p w14:paraId="0EDAFFE7" w14:textId="77777777" w:rsidR="00113D31" w:rsidRPr="007A1FD8" w:rsidRDefault="00113D31" w:rsidP="0060790C">
            <w:pPr>
              <w:jc w:val="center"/>
              <w:rPr>
                <w:rFonts w:asciiTheme="minorHAnsi" w:hAnsiTheme="minorHAnsi" w:cs="Arial"/>
                <w:b/>
                <w:bCs/>
                <w:sz w:val="20"/>
                <w:szCs w:val="20"/>
              </w:rPr>
            </w:pPr>
            <w:r w:rsidRPr="007A1FD8">
              <w:rPr>
                <w:rFonts w:asciiTheme="minorHAnsi" w:hAnsiTheme="minorHAnsi" w:cs="Arial"/>
                <w:b/>
                <w:bCs/>
                <w:sz w:val="20"/>
                <w:szCs w:val="20"/>
              </w:rPr>
              <w:t>(</w:t>
            </w:r>
            <w:r>
              <w:rPr>
                <w:rFonts w:asciiTheme="minorHAnsi" w:hAnsiTheme="minorHAnsi" w:cs="Arial"/>
                <w:b/>
                <w:bCs/>
                <w:sz w:val="20"/>
                <w:szCs w:val="20"/>
              </w:rPr>
              <w:t>23.5</w:t>
            </w:r>
            <w:r w:rsidRPr="007A1FD8">
              <w:rPr>
                <w:rFonts w:asciiTheme="minorHAnsi" w:hAnsiTheme="minorHAnsi" w:cs="Arial"/>
                <w:b/>
                <w:bCs/>
                <w:sz w:val="20"/>
                <w:szCs w:val="20"/>
              </w:rPr>
              <w:t>)</w:t>
            </w:r>
          </w:p>
        </w:tc>
      </w:tr>
    </w:tbl>
    <w:p w14:paraId="1A3CF2BB" w14:textId="77777777" w:rsidR="00113D31" w:rsidRDefault="00113D31" w:rsidP="00113D31"/>
    <w:p w14:paraId="2F38B851" w14:textId="77777777" w:rsidR="00113D31" w:rsidRDefault="00113D31" w:rsidP="00113D31">
      <w:r>
        <w:t>The key points to highlight are as follows:</w:t>
      </w:r>
    </w:p>
    <w:p w14:paraId="2E03D7BD" w14:textId="77777777" w:rsidR="00113D31" w:rsidRPr="00B66177" w:rsidRDefault="00113D31" w:rsidP="00E334A5">
      <w:pPr>
        <w:pStyle w:val="Heading3"/>
      </w:pPr>
      <w:r>
        <w:t>Core Un-</w:t>
      </w:r>
      <w:r w:rsidRPr="00E334A5">
        <w:t>Earmarked</w:t>
      </w:r>
      <w:r>
        <w:t xml:space="preserve"> Growth M</w:t>
      </w:r>
      <w:r w:rsidRPr="00B66177">
        <w:t xml:space="preserve">onies </w:t>
      </w:r>
    </w:p>
    <w:p w14:paraId="64783F1B" w14:textId="77777777" w:rsidR="00113D31" w:rsidRDefault="00113D31" w:rsidP="00113D31">
      <w:r w:rsidRPr="00E863BF">
        <w:t>The individu</w:t>
      </w:r>
      <w:r>
        <w:t>al items making up the assumed recurrent funding a</w:t>
      </w:r>
      <w:r w:rsidRPr="00E863BF">
        <w:t xml:space="preserve">re summarised below:  </w:t>
      </w:r>
    </w:p>
    <w:p w14:paraId="7419D9A7" w14:textId="77777777" w:rsidR="00113D31" w:rsidRDefault="00113D31" w:rsidP="00113D31"/>
    <w:tbl>
      <w:tblPr>
        <w:tblW w:w="84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2"/>
        <w:gridCol w:w="1677"/>
        <w:gridCol w:w="1682"/>
        <w:gridCol w:w="1541"/>
      </w:tblGrid>
      <w:tr w:rsidR="00113D31" w14:paraId="056242A7" w14:textId="77777777" w:rsidTr="0060790C">
        <w:trPr>
          <w:trHeight w:val="255"/>
          <w:tblHeader/>
          <w:jc w:val="center"/>
        </w:trPr>
        <w:tc>
          <w:tcPr>
            <w:tcW w:w="3512" w:type="dxa"/>
            <w:tcBorders>
              <w:top w:val="single" w:sz="4" w:space="0" w:color="auto"/>
              <w:left w:val="single" w:sz="4" w:space="0" w:color="auto"/>
              <w:bottom w:val="nil"/>
              <w:right w:val="single" w:sz="4" w:space="0" w:color="auto"/>
            </w:tcBorders>
            <w:shd w:val="clear" w:color="auto" w:fill="DBE5F1" w:themeFill="accent1" w:themeFillTint="33"/>
            <w:hideMark/>
          </w:tcPr>
          <w:p w14:paraId="1EBFDC9F" w14:textId="77777777" w:rsidR="00113D31" w:rsidRPr="007A1FD8" w:rsidRDefault="00113D31" w:rsidP="0060790C">
            <w:pPr>
              <w:jc w:val="left"/>
              <w:rPr>
                <w:rFonts w:ascii="Times New Roman" w:hAnsi="Times New Roman" w:cs="Times New Roman"/>
                <w:sz w:val="20"/>
                <w:szCs w:val="20"/>
              </w:rPr>
            </w:pPr>
            <w:r w:rsidRPr="007A1FD8">
              <w:rPr>
                <w:rFonts w:cs="Times New Roman"/>
                <w:b/>
                <w:bCs/>
                <w:color w:val="000000"/>
                <w:sz w:val="20"/>
                <w:szCs w:val="20"/>
              </w:rPr>
              <w:br w:type="page"/>
            </w:r>
          </w:p>
        </w:tc>
        <w:tc>
          <w:tcPr>
            <w:tcW w:w="1677" w:type="dxa"/>
            <w:tcBorders>
              <w:top w:val="single" w:sz="4" w:space="0" w:color="auto"/>
              <w:left w:val="single" w:sz="4" w:space="0" w:color="auto"/>
              <w:bottom w:val="nil"/>
              <w:right w:val="single" w:sz="4" w:space="0" w:color="auto"/>
            </w:tcBorders>
            <w:shd w:val="clear" w:color="auto" w:fill="DBE5F1" w:themeFill="accent1" w:themeFillTint="33"/>
            <w:hideMark/>
          </w:tcPr>
          <w:p w14:paraId="417F8A77" w14:textId="77777777" w:rsidR="00113D31" w:rsidRPr="007A1FD8" w:rsidRDefault="00113D31" w:rsidP="0060790C">
            <w:pPr>
              <w:autoSpaceDE w:val="0"/>
              <w:autoSpaceDN w:val="0"/>
              <w:adjustRightInd w:val="0"/>
              <w:spacing w:line="241" w:lineRule="atLeast"/>
              <w:jc w:val="center"/>
              <w:rPr>
                <w:rFonts w:cs="Times New Roman"/>
                <w:b/>
                <w:bCs/>
                <w:color w:val="000000"/>
                <w:sz w:val="20"/>
                <w:szCs w:val="20"/>
              </w:rPr>
            </w:pPr>
            <w:r>
              <w:rPr>
                <w:rFonts w:cs="Times New Roman"/>
                <w:b/>
                <w:bCs/>
                <w:color w:val="000000"/>
                <w:sz w:val="20"/>
                <w:szCs w:val="20"/>
              </w:rPr>
              <w:t>20</w:t>
            </w:r>
            <w:r w:rsidRPr="007A1FD8">
              <w:rPr>
                <w:rFonts w:cs="Times New Roman"/>
                <w:b/>
                <w:bCs/>
                <w:color w:val="000000"/>
                <w:sz w:val="20"/>
                <w:szCs w:val="20"/>
              </w:rPr>
              <w:t>/2</w:t>
            </w:r>
            <w:r>
              <w:rPr>
                <w:rFonts w:cs="Times New Roman"/>
                <w:b/>
                <w:bCs/>
                <w:color w:val="000000"/>
                <w:sz w:val="20"/>
                <w:szCs w:val="20"/>
              </w:rPr>
              <w:t>1</w:t>
            </w:r>
            <w:r w:rsidRPr="007A1FD8">
              <w:rPr>
                <w:rFonts w:cs="Times New Roman"/>
                <w:b/>
                <w:bCs/>
                <w:color w:val="000000"/>
                <w:sz w:val="20"/>
                <w:szCs w:val="20"/>
              </w:rPr>
              <w:t xml:space="preserve"> </w:t>
            </w:r>
          </w:p>
        </w:tc>
        <w:tc>
          <w:tcPr>
            <w:tcW w:w="1682" w:type="dxa"/>
            <w:tcBorders>
              <w:top w:val="single" w:sz="4" w:space="0" w:color="auto"/>
              <w:left w:val="single" w:sz="4" w:space="0" w:color="auto"/>
              <w:bottom w:val="nil"/>
              <w:right w:val="single" w:sz="4" w:space="0" w:color="auto"/>
            </w:tcBorders>
            <w:shd w:val="clear" w:color="auto" w:fill="DBE5F1" w:themeFill="accent1" w:themeFillTint="33"/>
            <w:hideMark/>
          </w:tcPr>
          <w:p w14:paraId="54EFD4BD" w14:textId="77777777" w:rsidR="00113D31" w:rsidRPr="007A1FD8" w:rsidRDefault="00113D31" w:rsidP="0060790C">
            <w:pPr>
              <w:autoSpaceDE w:val="0"/>
              <w:autoSpaceDN w:val="0"/>
              <w:adjustRightInd w:val="0"/>
              <w:spacing w:line="241" w:lineRule="atLeast"/>
              <w:jc w:val="center"/>
              <w:rPr>
                <w:rFonts w:cs="Times New Roman"/>
                <w:b/>
                <w:bCs/>
                <w:color w:val="000000"/>
                <w:sz w:val="20"/>
                <w:szCs w:val="20"/>
              </w:rPr>
            </w:pPr>
            <w:r w:rsidRPr="007A1FD8">
              <w:rPr>
                <w:rFonts w:cs="Times New Roman"/>
                <w:b/>
                <w:bCs/>
                <w:color w:val="000000"/>
                <w:sz w:val="20"/>
                <w:szCs w:val="20"/>
              </w:rPr>
              <w:t>2</w:t>
            </w:r>
            <w:r>
              <w:rPr>
                <w:rFonts w:cs="Times New Roman"/>
                <w:b/>
                <w:bCs/>
                <w:color w:val="000000"/>
                <w:sz w:val="20"/>
                <w:szCs w:val="20"/>
              </w:rPr>
              <w:t>1</w:t>
            </w:r>
            <w:r w:rsidRPr="007A1FD8">
              <w:rPr>
                <w:rFonts w:cs="Times New Roman"/>
                <w:b/>
                <w:bCs/>
                <w:color w:val="000000"/>
                <w:sz w:val="20"/>
                <w:szCs w:val="20"/>
              </w:rPr>
              <w:t>/2</w:t>
            </w:r>
            <w:r>
              <w:rPr>
                <w:rFonts w:cs="Times New Roman"/>
                <w:b/>
                <w:bCs/>
                <w:color w:val="000000"/>
                <w:sz w:val="20"/>
                <w:szCs w:val="20"/>
              </w:rPr>
              <w:t>2</w:t>
            </w:r>
          </w:p>
        </w:tc>
        <w:tc>
          <w:tcPr>
            <w:tcW w:w="1541" w:type="dxa"/>
            <w:tcBorders>
              <w:top w:val="single" w:sz="4" w:space="0" w:color="auto"/>
              <w:left w:val="single" w:sz="4" w:space="0" w:color="auto"/>
              <w:bottom w:val="nil"/>
              <w:right w:val="single" w:sz="4" w:space="0" w:color="auto"/>
            </w:tcBorders>
            <w:shd w:val="clear" w:color="auto" w:fill="DBE5F1" w:themeFill="accent1" w:themeFillTint="33"/>
            <w:hideMark/>
          </w:tcPr>
          <w:p w14:paraId="0FC14AE1" w14:textId="77777777" w:rsidR="00113D31" w:rsidRPr="007A1FD8" w:rsidRDefault="00113D31" w:rsidP="0060790C">
            <w:pPr>
              <w:autoSpaceDE w:val="0"/>
              <w:autoSpaceDN w:val="0"/>
              <w:adjustRightInd w:val="0"/>
              <w:spacing w:line="241" w:lineRule="atLeast"/>
              <w:jc w:val="center"/>
              <w:rPr>
                <w:rFonts w:cs="Times New Roman"/>
                <w:b/>
                <w:bCs/>
                <w:color w:val="000000"/>
                <w:sz w:val="20"/>
                <w:szCs w:val="20"/>
              </w:rPr>
            </w:pPr>
            <w:r w:rsidRPr="007A1FD8">
              <w:rPr>
                <w:rFonts w:cs="Times New Roman"/>
                <w:b/>
                <w:bCs/>
                <w:color w:val="000000"/>
                <w:sz w:val="20"/>
                <w:szCs w:val="20"/>
              </w:rPr>
              <w:t>2</w:t>
            </w:r>
            <w:r>
              <w:rPr>
                <w:rFonts w:cs="Times New Roman"/>
                <w:b/>
                <w:bCs/>
                <w:color w:val="000000"/>
                <w:sz w:val="20"/>
                <w:szCs w:val="20"/>
              </w:rPr>
              <w:t>2</w:t>
            </w:r>
            <w:r w:rsidRPr="007A1FD8">
              <w:rPr>
                <w:rFonts w:cs="Times New Roman"/>
                <w:b/>
                <w:bCs/>
                <w:color w:val="000000"/>
                <w:sz w:val="20"/>
                <w:szCs w:val="20"/>
              </w:rPr>
              <w:t>/2</w:t>
            </w:r>
            <w:r>
              <w:rPr>
                <w:rFonts w:cs="Times New Roman"/>
                <w:b/>
                <w:bCs/>
                <w:color w:val="000000"/>
                <w:sz w:val="20"/>
                <w:szCs w:val="20"/>
              </w:rPr>
              <w:t>3</w:t>
            </w:r>
          </w:p>
        </w:tc>
      </w:tr>
      <w:tr w:rsidR="00113D31" w14:paraId="1C20FB1E" w14:textId="77777777" w:rsidTr="0060790C">
        <w:trPr>
          <w:trHeight w:val="255"/>
          <w:tblHeader/>
          <w:jc w:val="center"/>
        </w:trPr>
        <w:tc>
          <w:tcPr>
            <w:tcW w:w="3512" w:type="dxa"/>
            <w:tcBorders>
              <w:top w:val="nil"/>
              <w:left w:val="single" w:sz="4" w:space="0" w:color="auto"/>
              <w:bottom w:val="single" w:sz="4" w:space="0" w:color="auto"/>
              <w:right w:val="single" w:sz="4" w:space="0" w:color="auto"/>
            </w:tcBorders>
            <w:shd w:val="clear" w:color="auto" w:fill="DBE5F1" w:themeFill="accent1" w:themeFillTint="33"/>
            <w:hideMark/>
          </w:tcPr>
          <w:p w14:paraId="25A3BAE4" w14:textId="77777777" w:rsidR="00113D31" w:rsidRPr="007A1FD8" w:rsidRDefault="00113D31" w:rsidP="0060790C">
            <w:pPr>
              <w:jc w:val="left"/>
              <w:rPr>
                <w:rFonts w:ascii="Times New Roman" w:hAnsi="Times New Roman" w:cs="Times New Roman"/>
                <w:sz w:val="20"/>
                <w:szCs w:val="20"/>
              </w:rPr>
            </w:pPr>
          </w:p>
        </w:tc>
        <w:tc>
          <w:tcPr>
            <w:tcW w:w="1677" w:type="dxa"/>
            <w:tcBorders>
              <w:top w:val="nil"/>
              <w:left w:val="single" w:sz="4" w:space="0" w:color="auto"/>
              <w:bottom w:val="single" w:sz="4" w:space="0" w:color="auto"/>
              <w:right w:val="single" w:sz="4" w:space="0" w:color="auto"/>
            </w:tcBorders>
            <w:shd w:val="clear" w:color="auto" w:fill="DBE5F1" w:themeFill="accent1" w:themeFillTint="33"/>
            <w:hideMark/>
          </w:tcPr>
          <w:p w14:paraId="1545757A" w14:textId="77777777" w:rsidR="00113D31" w:rsidRPr="007A1FD8" w:rsidRDefault="00113D31" w:rsidP="0060790C">
            <w:pPr>
              <w:jc w:val="center"/>
              <w:rPr>
                <w:rFonts w:cs="Times New Roman"/>
                <w:b/>
                <w:bCs/>
                <w:color w:val="000000"/>
                <w:sz w:val="20"/>
                <w:szCs w:val="20"/>
              </w:rPr>
            </w:pPr>
            <w:r w:rsidRPr="007A1FD8">
              <w:rPr>
                <w:rFonts w:cs="Times New Roman"/>
                <w:b/>
                <w:bCs/>
                <w:color w:val="000000"/>
                <w:sz w:val="20"/>
                <w:szCs w:val="20"/>
              </w:rPr>
              <w:t>£m</w:t>
            </w:r>
          </w:p>
        </w:tc>
        <w:tc>
          <w:tcPr>
            <w:tcW w:w="1682" w:type="dxa"/>
            <w:tcBorders>
              <w:top w:val="nil"/>
              <w:left w:val="single" w:sz="4" w:space="0" w:color="auto"/>
              <w:bottom w:val="single" w:sz="4" w:space="0" w:color="auto"/>
              <w:right w:val="single" w:sz="4" w:space="0" w:color="auto"/>
            </w:tcBorders>
            <w:shd w:val="clear" w:color="auto" w:fill="DBE5F1" w:themeFill="accent1" w:themeFillTint="33"/>
            <w:hideMark/>
          </w:tcPr>
          <w:p w14:paraId="24B88916" w14:textId="77777777" w:rsidR="00113D31" w:rsidRPr="007A1FD8" w:rsidRDefault="00113D31" w:rsidP="0060790C">
            <w:pPr>
              <w:jc w:val="center"/>
              <w:rPr>
                <w:rFonts w:cs="Times New Roman"/>
                <w:b/>
                <w:bCs/>
                <w:color w:val="000000"/>
                <w:sz w:val="20"/>
                <w:szCs w:val="20"/>
              </w:rPr>
            </w:pPr>
            <w:r w:rsidRPr="007A1FD8">
              <w:rPr>
                <w:rFonts w:cs="Times New Roman"/>
                <w:b/>
                <w:bCs/>
                <w:color w:val="000000"/>
                <w:sz w:val="20"/>
                <w:szCs w:val="20"/>
              </w:rPr>
              <w:t>£m</w:t>
            </w:r>
          </w:p>
        </w:tc>
        <w:tc>
          <w:tcPr>
            <w:tcW w:w="1541" w:type="dxa"/>
            <w:tcBorders>
              <w:top w:val="nil"/>
              <w:left w:val="single" w:sz="4" w:space="0" w:color="auto"/>
              <w:bottom w:val="single" w:sz="4" w:space="0" w:color="auto"/>
              <w:right w:val="single" w:sz="4" w:space="0" w:color="auto"/>
            </w:tcBorders>
            <w:shd w:val="clear" w:color="auto" w:fill="DBE5F1" w:themeFill="accent1" w:themeFillTint="33"/>
            <w:hideMark/>
          </w:tcPr>
          <w:p w14:paraId="566FDA92" w14:textId="77777777" w:rsidR="00113D31" w:rsidRPr="007A1FD8" w:rsidRDefault="00113D31" w:rsidP="0060790C">
            <w:pPr>
              <w:jc w:val="center"/>
              <w:rPr>
                <w:rFonts w:cs="Times New Roman"/>
                <w:b/>
                <w:bCs/>
                <w:color w:val="000000"/>
                <w:sz w:val="20"/>
                <w:szCs w:val="20"/>
              </w:rPr>
            </w:pPr>
            <w:r w:rsidRPr="007A1FD8">
              <w:rPr>
                <w:rFonts w:cs="Times New Roman"/>
                <w:b/>
                <w:bCs/>
                <w:color w:val="000000"/>
                <w:sz w:val="20"/>
                <w:szCs w:val="20"/>
              </w:rPr>
              <w:t>£m</w:t>
            </w:r>
          </w:p>
        </w:tc>
      </w:tr>
      <w:tr w:rsidR="00113D31" w14:paraId="73A02587" w14:textId="77777777" w:rsidTr="0060790C">
        <w:trPr>
          <w:trHeight w:val="255"/>
          <w:jc w:val="center"/>
        </w:trPr>
        <w:tc>
          <w:tcPr>
            <w:tcW w:w="3512" w:type="dxa"/>
            <w:tcBorders>
              <w:top w:val="single" w:sz="4" w:space="0" w:color="auto"/>
              <w:left w:val="single" w:sz="4" w:space="0" w:color="auto"/>
              <w:bottom w:val="single" w:sz="4" w:space="0" w:color="auto"/>
              <w:right w:val="single" w:sz="4" w:space="0" w:color="auto"/>
            </w:tcBorders>
            <w:hideMark/>
          </w:tcPr>
          <w:p w14:paraId="384E6CD7" w14:textId="77777777" w:rsidR="00113D31" w:rsidRPr="007A1FD8" w:rsidRDefault="00113D31" w:rsidP="0060790C">
            <w:pPr>
              <w:rPr>
                <w:rFonts w:cs="Arial"/>
                <w:sz w:val="20"/>
                <w:szCs w:val="20"/>
              </w:rPr>
            </w:pPr>
            <w:r w:rsidRPr="007A1FD8">
              <w:rPr>
                <w:rFonts w:cs="Arial"/>
                <w:sz w:val="20"/>
                <w:szCs w:val="20"/>
              </w:rPr>
              <w:t>Core cost growth uplift of £92m</w:t>
            </w:r>
            <w:r>
              <w:rPr>
                <w:rFonts w:cs="Arial"/>
                <w:sz w:val="20"/>
                <w:szCs w:val="20"/>
              </w:rPr>
              <w:t xml:space="preserve"> across NHS Wales(2% uplift)</w:t>
            </w:r>
          </w:p>
        </w:tc>
        <w:tc>
          <w:tcPr>
            <w:tcW w:w="1677" w:type="dxa"/>
            <w:tcBorders>
              <w:top w:val="single" w:sz="4" w:space="0" w:color="auto"/>
              <w:left w:val="single" w:sz="4" w:space="0" w:color="auto"/>
              <w:bottom w:val="single" w:sz="4" w:space="0" w:color="auto"/>
              <w:right w:val="single" w:sz="4" w:space="0" w:color="auto"/>
            </w:tcBorders>
          </w:tcPr>
          <w:p w14:paraId="33B23DC3" w14:textId="77777777" w:rsidR="00113D31" w:rsidRPr="007A1FD8" w:rsidRDefault="00113D31" w:rsidP="0060790C">
            <w:pPr>
              <w:jc w:val="center"/>
              <w:rPr>
                <w:rFonts w:cs="Arial"/>
                <w:sz w:val="20"/>
                <w:szCs w:val="20"/>
              </w:rPr>
            </w:pPr>
            <w:r>
              <w:rPr>
                <w:rFonts w:cs="Arial"/>
                <w:sz w:val="20"/>
                <w:szCs w:val="20"/>
              </w:rPr>
              <w:t>(14.5</w:t>
            </w:r>
            <w:r w:rsidRPr="007A1FD8">
              <w:rPr>
                <w:rFonts w:cs="Arial"/>
                <w:sz w:val="20"/>
                <w:szCs w:val="20"/>
              </w:rPr>
              <w:t>)</w:t>
            </w:r>
          </w:p>
        </w:tc>
        <w:tc>
          <w:tcPr>
            <w:tcW w:w="1682" w:type="dxa"/>
            <w:tcBorders>
              <w:top w:val="single" w:sz="4" w:space="0" w:color="auto"/>
              <w:left w:val="single" w:sz="4" w:space="0" w:color="auto"/>
              <w:bottom w:val="single" w:sz="4" w:space="0" w:color="auto"/>
              <w:right w:val="single" w:sz="4" w:space="0" w:color="auto"/>
            </w:tcBorders>
            <w:hideMark/>
          </w:tcPr>
          <w:p w14:paraId="57F82A85" w14:textId="77777777" w:rsidR="00113D31" w:rsidRPr="007A1FD8" w:rsidRDefault="00113D31" w:rsidP="0060790C">
            <w:pPr>
              <w:jc w:val="center"/>
              <w:rPr>
                <w:rFonts w:cs="Arial"/>
                <w:sz w:val="20"/>
                <w:szCs w:val="20"/>
              </w:rPr>
            </w:pPr>
            <w:r w:rsidRPr="007A1FD8">
              <w:rPr>
                <w:rFonts w:cs="Arial"/>
                <w:sz w:val="20"/>
                <w:szCs w:val="20"/>
              </w:rPr>
              <w:t>(14.5)</w:t>
            </w:r>
          </w:p>
        </w:tc>
        <w:tc>
          <w:tcPr>
            <w:tcW w:w="1541" w:type="dxa"/>
            <w:tcBorders>
              <w:top w:val="single" w:sz="4" w:space="0" w:color="auto"/>
              <w:left w:val="single" w:sz="4" w:space="0" w:color="auto"/>
              <w:bottom w:val="single" w:sz="4" w:space="0" w:color="auto"/>
              <w:right w:val="single" w:sz="4" w:space="0" w:color="auto"/>
            </w:tcBorders>
            <w:hideMark/>
          </w:tcPr>
          <w:p w14:paraId="6684117F" w14:textId="77777777" w:rsidR="00113D31" w:rsidRPr="007A1FD8" w:rsidRDefault="00113D31" w:rsidP="0060790C">
            <w:pPr>
              <w:jc w:val="center"/>
              <w:rPr>
                <w:rFonts w:cs="Arial"/>
                <w:sz w:val="20"/>
                <w:szCs w:val="20"/>
              </w:rPr>
            </w:pPr>
            <w:r w:rsidRPr="007A1FD8">
              <w:rPr>
                <w:rFonts w:cs="Arial"/>
                <w:sz w:val="20"/>
                <w:szCs w:val="20"/>
              </w:rPr>
              <w:t>(14.5)</w:t>
            </w:r>
          </w:p>
        </w:tc>
      </w:tr>
      <w:tr w:rsidR="00113D31" w14:paraId="3EFE70FE" w14:textId="77777777" w:rsidTr="0060790C">
        <w:trPr>
          <w:trHeight w:val="255"/>
          <w:jc w:val="center"/>
        </w:trPr>
        <w:tc>
          <w:tcPr>
            <w:tcW w:w="3512" w:type="dxa"/>
            <w:tcBorders>
              <w:top w:val="single" w:sz="4" w:space="0" w:color="auto"/>
              <w:left w:val="single" w:sz="4" w:space="0" w:color="auto"/>
              <w:bottom w:val="single" w:sz="4" w:space="0" w:color="auto"/>
              <w:right w:val="single" w:sz="4" w:space="0" w:color="auto"/>
            </w:tcBorders>
          </w:tcPr>
          <w:p w14:paraId="61CC9790" w14:textId="77777777" w:rsidR="00113D31" w:rsidRPr="007A1FD8" w:rsidRDefault="00113D31" w:rsidP="0060790C">
            <w:pPr>
              <w:rPr>
                <w:rFonts w:cs="Arial"/>
                <w:bCs/>
                <w:sz w:val="20"/>
                <w:szCs w:val="20"/>
              </w:rPr>
            </w:pPr>
            <w:r w:rsidRPr="007A1FD8">
              <w:rPr>
                <w:rFonts w:cs="Arial"/>
                <w:bCs/>
                <w:sz w:val="20"/>
                <w:szCs w:val="20"/>
              </w:rPr>
              <w:t>A4C</w:t>
            </w:r>
            <w:r>
              <w:rPr>
                <w:rFonts w:cs="Arial"/>
                <w:bCs/>
                <w:sz w:val="20"/>
                <w:szCs w:val="20"/>
              </w:rPr>
              <w:t xml:space="preserve"> pay awards</w:t>
            </w:r>
          </w:p>
        </w:tc>
        <w:tc>
          <w:tcPr>
            <w:tcW w:w="1677" w:type="dxa"/>
            <w:tcBorders>
              <w:top w:val="single" w:sz="4" w:space="0" w:color="auto"/>
              <w:left w:val="single" w:sz="4" w:space="0" w:color="auto"/>
              <w:bottom w:val="single" w:sz="4" w:space="0" w:color="auto"/>
              <w:right w:val="single" w:sz="4" w:space="0" w:color="auto"/>
            </w:tcBorders>
          </w:tcPr>
          <w:p w14:paraId="00DF6255" w14:textId="77777777" w:rsidR="00113D31" w:rsidRPr="009B65FF" w:rsidRDefault="00113D31" w:rsidP="0060790C">
            <w:pPr>
              <w:jc w:val="center"/>
              <w:rPr>
                <w:rFonts w:cs="Arial"/>
                <w:bCs/>
                <w:sz w:val="20"/>
                <w:szCs w:val="20"/>
              </w:rPr>
            </w:pPr>
            <w:r w:rsidRPr="009B65FF">
              <w:rPr>
                <w:rFonts w:cs="Arial"/>
                <w:bCs/>
                <w:sz w:val="20"/>
                <w:szCs w:val="20"/>
              </w:rPr>
              <w:t>(7.2)</w:t>
            </w:r>
          </w:p>
        </w:tc>
        <w:tc>
          <w:tcPr>
            <w:tcW w:w="1682" w:type="dxa"/>
            <w:tcBorders>
              <w:top w:val="single" w:sz="4" w:space="0" w:color="auto"/>
              <w:left w:val="single" w:sz="4" w:space="0" w:color="auto"/>
              <w:bottom w:val="single" w:sz="4" w:space="0" w:color="auto"/>
              <w:right w:val="single" w:sz="4" w:space="0" w:color="auto"/>
            </w:tcBorders>
          </w:tcPr>
          <w:p w14:paraId="14CC0364" w14:textId="77777777" w:rsidR="00113D31" w:rsidRPr="007A1FD8" w:rsidRDefault="00113D31" w:rsidP="0060790C">
            <w:pPr>
              <w:jc w:val="center"/>
              <w:rPr>
                <w:rFonts w:cs="Arial"/>
                <w:bCs/>
                <w:sz w:val="20"/>
                <w:szCs w:val="20"/>
              </w:rPr>
            </w:pPr>
            <w:r w:rsidRPr="007A1FD8">
              <w:rPr>
                <w:rFonts w:cs="Arial"/>
                <w:bCs/>
                <w:sz w:val="20"/>
                <w:szCs w:val="20"/>
              </w:rPr>
              <w:t>(</w:t>
            </w:r>
            <w:r>
              <w:rPr>
                <w:rFonts w:cs="Arial"/>
                <w:bCs/>
                <w:sz w:val="20"/>
                <w:szCs w:val="20"/>
              </w:rPr>
              <w:t>7.2</w:t>
            </w:r>
            <w:r w:rsidRPr="007A1FD8">
              <w:rPr>
                <w:rFonts w:cs="Arial"/>
                <w:bCs/>
                <w:sz w:val="20"/>
                <w:szCs w:val="20"/>
              </w:rPr>
              <w:t>)</w:t>
            </w:r>
          </w:p>
        </w:tc>
        <w:tc>
          <w:tcPr>
            <w:tcW w:w="1541" w:type="dxa"/>
            <w:tcBorders>
              <w:top w:val="single" w:sz="4" w:space="0" w:color="auto"/>
              <w:left w:val="single" w:sz="4" w:space="0" w:color="auto"/>
              <w:bottom w:val="single" w:sz="4" w:space="0" w:color="auto"/>
              <w:right w:val="single" w:sz="4" w:space="0" w:color="auto"/>
            </w:tcBorders>
          </w:tcPr>
          <w:p w14:paraId="71AAC2C2" w14:textId="77777777" w:rsidR="00113D31" w:rsidRPr="007A1FD8" w:rsidRDefault="00113D31" w:rsidP="0060790C">
            <w:pPr>
              <w:jc w:val="center"/>
              <w:rPr>
                <w:rFonts w:cs="Arial"/>
                <w:bCs/>
                <w:sz w:val="20"/>
                <w:szCs w:val="20"/>
              </w:rPr>
            </w:pPr>
            <w:r w:rsidRPr="007A1FD8">
              <w:rPr>
                <w:rFonts w:cs="Arial"/>
                <w:bCs/>
                <w:sz w:val="20"/>
                <w:szCs w:val="20"/>
              </w:rPr>
              <w:t>(</w:t>
            </w:r>
            <w:r>
              <w:rPr>
                <w:rFonts w:cs="Arial"/>
                <w:bCs/>
                <w:sz w:val="20"/>
                <w:szCs w:val="20"/>
              </w:rPr>
              <w:t>7.2</w:t>
            </w:r>
            <w:r w:rsidRPr="007A1FD8">
              <w:rPr>
                <w:rFonts w:cs="Arial"/>
                <w:bCs/>
                <w:sz w:val="20"/>
                <w:szCs w:val="20"/>
              </w:rPr>
              <w:t>)</w:t>
            </w:r>
          </w:p>
        </w:tc>
      </w:tr>
      <w:tr w:rsidR="00113D31" w14:paraId="6E4ED3D8" w14:textId="77777777" w:rsidTr="0060790C">
        <w:trPr>
          <w:trHeight w:val="255"/>
          <w:jc w:val="center"/>
        </w:trPr>
        <w:tc>
          <w:tcPr>
            <w:tcW w:w="3512" w:type="dxa"/>
            <w:tcBorders>
              <w:top w:val="single" w:sz="4" w:space="0" w:color="auto"/>
              <w:left w:val="single" w:sz="4" w:space="0" w:color="auto"/>
              <w:bottom w:val="single" w:sz="4" w:space="0" w:color="auto"/>
              <w:right w:val="single" w:sz="4" w:space="0" w:color="auto"/>
            </w:tcBorders>
          </w:tcPr>
          <w:p w14:paraId="4241A0B5" w14:textId="77777777" w:rsidR="00113D31" w:rsidRPr="007A1FD8" w:rsidRDefault="00113D31" w:rsidP="0060790C">
            <w:pPr>
              <w:rPr>
                <w:rFonts w:cs="Arial"/>
                <w:sz w:val="20"/>
                <w:szCs w:val="20"/>
              </w:rPr>
            </w:pPr>
            <w:r>
              <w:rPr>
                <w:rFonts w:cs="Arial"/>
                <w:sz w:val="20"/>
                <w:szCs w:val="20"/>
              </w:rPr>
              <w:t>DDRB pay awards</w:t>
            </w:r>
          </w:p>
        </w:tc>
        <w:tc>
          <w:tcPr>
            <w:tcW w:w="1677" w:type="dxa"/>
            <w:tcBorders>
              <w:top w:val="single" w:sz="4" w:space="0" w:color="auto"/>
              <w:left w:val="single" w:sz="4" w:space="0" w:color="auto"/>
              <w:bottom w:val="single" w:sz="4" w:space="0" w:color="auto"/>
              <w:right w:val="single" w:sz="4" w:space="0" w:color="auto"/>
            </w:tcBorders>
          </w:tcPr>
          <w:p w14:paraId="6ABF10D3" w14:textId="77777777" w:rsidR="00113D31" w:rsidRPr="009B65FF" w:rsidRDefault="00113D31" w:rsidP="0060790C">
            <w:pPr>
              <w:jc w:val="center"/>
              <w:rPr>
                <w:rFonts w:cs="Arial"/>
                <w:sz w:val="20"/>
                <w:szCs w:val="20"/>
              </w:rPr>
            </w:pPr>
            <w:r w:rsidRPr="009B65FF">
              <w:rPr>
                <w:rFonts w:cs="Arial"/>
                <w:sz w:val="20"/>
                <w:szCs w:val="20"/>
              </w:rPr>
              <w:t>(1.8)</w:t>
            </w:r>
          </w:p>
        </w:tc>
        <w:tc>
          <w:tcPr>
            <w:tcW w:w="1682" w:type="dxa"/>
            <w:tcBorders>
              <w:top w:val="single" w:sz="4" w:space="0" w:color="auto"/>
              <w:left w:val="single" w:sz="4" w:space="0" w:color="auto"/>
              <w:bottom w:val="single" w:sz="4" w:space="0" w:color="auto"/>
              <w:right w:val="single" w:sz="4" w:space="0" w:color="auto"/>
            </w:tcBorders>
          </w:tcPr>
          <w:p w14:paraId="3EF55D06" w14:textId="77777777" w:rsidR="00113D31" w:rsidRDefault="00113D31" w:rsidP="0060790C">
            <w:pPr>
              <w:jc w:val="center"/>
              <w:rPr>
                <w:rFonts w:cs="Arial"/>
                <w:sz w:val="20"/>
                <w:szCs w:val="20"/>
              </w:rPr>
            </w:pPr>
            <w:r>
              <w:rPr>
                <w:rFonts w:cs="Arial"/>
                <w:sz w:val="20"/>
                <w:szCs w:val="20"/>
              </w:rPr>
              <w:t>(1.8)</w:t>
            </w:r>
          </w:p>
        </w:tc>
        <w:tc>
          <w:tcPr>
            <w:tcW w:w="1541" w:type="dxa"/>
            <w:tcBorders>
              <w:top w:val="single" w:sz="4" w:space="0" w:color="auto"/>
              <w:left w:val="single" w:sz="4" w:space="0" w:color="auto"/>
              <w:bottom w:val="single" w:sz="4" w:space="0" w:color="auto"/>
              <w:right w:val="single" w:sz="4" w:space="0" w:color="auto"/>
            </w:tcBorders>
          </w:tcPr>
          <w:p w14:paraId="65FE7802" w14:textId="77777777" w:rsidR="00113D31" w:rsidRDefault="00113D31" w:rsidP="0060790C">
            <w:pPr>
              <w:jc w:val="center"/>
              <w:rPr>
                <w:rFonts w:cs="Arial"/>
                <w:sz w:val="20"/>
                <w:szCs w:val="20"/>
              </w:rPr>
            </w:pPr>
            <w:r>
              <w:rPr>
                <w:rFonts w:cs="Arial"/>
                <w:sz w:val="20"/>
                <w:szCs w:val="20"/>
              </w:rPr>
              <w:t>(1.8)</w:t>
            </w:r>
          </w:p>
        </w:tc>
      </w:tr>
      <w:tr w:rsidR="00113D31" w14:paraId="7FD376D1" w14:textId="77777777" w:rsidTr="0060790C">
        <w:trPr>
          <w:trHeight w:val="270"/>
          <w:jc w:val="center"/>
        </w:trPr>
        <w:tc>
          <w:tcPr>
            <w:tcW w:w="3512" w:type="dxa"/>
            <w:tcBorders>
              <w:top w:val="single" w:sz="4" w:space="0" w:color="auto"/>
              <w:left w:val="single" w:sz="4" w:space="0" w:color="auto"/>
              <w:bottom w:val="single" w:sz="4" w:space="0" w:color="auto"/>
              <w:right w:val="single" w:sz="4" w:space="0" w:color="auto"/>
            </w:tcBorders>
          </w:tcPr>
          <w:p w14:paraId="6121ED9E" w14:textId="77777777" w:rsidR="00113D31" w:rsidRPr="00931F07" w:rsidRDefault="00113D31" w:rsidP="0060790C">
            <w:pPr>
              <w:rPr>
                <w:rFonts w:cs="Arial"/>
                <w:b/>
                <w:bCs/>
                <w:sz w:val="20"/>
                <w:szCs w:val="20"/>
              </w:rPr>
            </w:pPr>
            <w:r w:rsidRPr="00931F07">
              <w:rPr>
                <w:rFonts w:cs="Arial"/>
                <w:b/>
                <w:bCs/>
                <w:sz w:val="20"/>
                <w:szCs w:val="20"/>
              </w:rPr>
              <w:t>Total</w:t>
            </w:r>
          </w:p>
        </w:tc>
        <w:tc>
          <w:tcPr>
            <w:tcW w:w="1677" w:type="dxa"/>
            <w:tcBorders>
              <w:top w:val="single" w:sz="4" w:space="0" w:color="auto"/>
              <w:left w:val="single" w:sz="4" w:space="0" w:color="auto"/>
              <w:bottom w:val="single" w:sz="4" w:space="0" w:color="auto"/>
              <w:right w:val="single" w:sz="4" w:space="0" w:color="auto"/>
            </w:tcBorders>
          </w:tcPr>
          <w:p w14:paraId="6DA5B2D1" w14:textId="77777777" w:rsidR="00113D31" w:rsidRPr="00931F07" w:rsidRDefault="00113D31" w:rsidP="0060790C">
            <w:pPr>
              <w:jc w:val="center"/>
              <w:rPr>
                <w:rFonts w:cs="Arial"/>
                <w:b/>
                <w:bCs/>
                <w:sz w:val="20"/>
                <w:szCs w:val="20"/>
              </w:rPr>
            </w:pPr>
            <w:r w:rsidRPr="00931F07">
              <w:rPr>
                <w:rFonts w:cs="Arial"/>
                <w:b/>
                <w:bCs/>
                <w:sz w:val="20"/>
                <w:szCs w:val="20"/>
              </w:rPr>
              <w:t>(2</w:t>
            </w:r>
            <w:r>
              <w:rPr>
                <w:rFonts w:cs="Arial"/>
                <w:b/>
                <w:bCs/>
                <w:sz w:val="20"/>
                <w:szCs w:val="20"/>
              </w:rPr>
              <w:t>3.5</w:t>
            </w:r>
            <w:r w:rsidRPr="00931F07">
              <w:rPr>
                <w:rFonts w:cs="Arial"/>
                <w:b/>
                <w:bCs/>
                <w:sz w:val="20"/>
                <w:szCs w:val="20"/>
              </w:rPr>
              <w:t>)</w:t>
            </w:r>
          </w:p>
        </w:tc>
        <w:tc>
          <w:tcPr>
            <w:tcW w:w="1682" w:type="dxa"/>
            <w:tcBorders>
              <w:top w:val="single" w:sz="4" w:space="0" w:color="auto"/>
              <w:left w:val="single" w:sz="4" w:space="0" w:color="auto"/>
              <w:bottom w:val="single" w:sz="4" w:space="0" w:color="auto"/>
              <w:right w:val="single" w:sz="4" w:space="0" w:color="auto"/>
            </w:tcBorders>
          </w:tcPr>
          <w:p w14:paraId="08C9F5C3" w14:textId="77777777" w:rsidR="00113D31" w:rsidRPr="00931F07" w:rsidRDefault="00113D31" w:rsidP="0060790C">
            <w:pPr>
              <w:jc w:val="center"/>
              <w:rPr>
                <w:rFonts w:cs="Arial"/>
                <w:b/>
                <w:bCs/>
                <w:sz w:val="20"/>
                <w:szCs w:val="20"/>
              </w:rPr>
            </w:pPr>
            <w:r w:rsidRPr="004F4EFF">
              <w:rPr>
                <w:rFonts w:cs="Arial"/>
                <w:b/>
                <w:bCs/>
                <w:sz w:val="20"/>
                <w:szCs w:val="20"/>
              </w:rPr>
              <w:t>(2</w:t>
            </w:r>
            <w:r>
              <w:rPr>
                <w:rFonts w:cs="Arial"/>
                <w:b/>
                <w:bCs/>
                <w:sz w:val="20"/>
                <w:szCs w:val="20"/>
              </w:rPr>
              <w:t>3.5</w:t>
            </w:r>
            <w:r w:rsidRPr="004F4EFF">
              <w:rPr>
                <w:rFonts w:cs="Arial"/>
                <w:b/>
                <w:bCs/>
                <w:sz w:val="20"/>
                <w:szCs w:val="20"/>
              </w:rPr>
              <w:t>)</w:t>
            </w:r>
          </w:p>
        </w:tc>
        <w:tc>
          <w:tcPr>
            <w:tcW w:w="1541" w:type="dxa"/>
            <w:tcBorders>
              <w:top w:val="single" w:sz="4" w:space="0" w:color="auto"/>
              <w:left w:val="single" w:sz="4" w:space="0" w:color="auto"/>
              <w:bottom w:val="single" w:sz="4" w:space="0" w:color="auto"/>
              <w:right w:val="single" w:sz="4" w:space="0" w:color="auto"/>
            </w:tcBorders>
          </w:tcPr>
          <w:p w14:paraId="46E5FACD" w14:textId="77777777" w:rsidR="00113D31" w:rsidRPr="00931F07" w:rsidRDefault="00113D31" w:rsidP="0060790C">
            <w:pPr>
              <w:jc w:val="center"/>
              <w:rPr>
                <w:rFonts w:cs="Arial"/>
                <w:b/>
                <w:bCs/>
                <w:sz w:val="20"/>
                <w:szCs w:val="20"/>
              </w:rPr>
            </w:pPr>
            <w:r w:rsidRPr="004F4EFF">
              <w:rPr>
                <w:rFonts w:cs="Arial"/>
                <w:b/>
                <w:bCs/>
                <w:sz w:val="20"/>
                <w:szCs w:val="20"/>
              </w:rPr>
              <w:t>(2</w:t>
            </w:r>
            <w:r>
              <w:rPr>
                <w:rFonts w:cs="Arial"/>
                <w:b/>
                <w:bCs/>
                <w:sz w:val="20"/>
                <w:szCs w:val="20"/>
              </w:rPr>
              <w:t>3.5</w:t>
            </w:r>
            <w:r w:rsidRPr="004F4EFF">
              <w:rPr>
                <w:rFonts w:cs="Arial"/>
                <w:b/>
                <w:bCs/>
                <w:sz w:val="20"/>
                <w:szCs w:val="20"/>
              </w:rPr>
              <w:t>)</w:t>
            </w:r>
          </w:p>
        </w:tc>
      </w:tr>
    </w:tbl>
    <w:p w14:paraId="6E8222CA" w14:textId="77777777" w:rsidR="00113D31" w:rsidRDefault="00113D31" w:rsidP="00E334A5">
      <w:pPr>
        <w:pStyle w:val="Heading3"/>
      </w:pPr>
      <w:r>
        <w:t xml:space="preserve">Bridgend </w:t>
      </w:r>
      <w:r w:rsidRPr="00E334A5">
        <w:t>transition</w:t>
      </w:r>
    </w:p>
    <w:p w14:paraId="1840F332" w14:textId="77777777" w:rsidR="00113D31" w:rsidRPr="00E334A5" w:rsidRDefault="00113D31" w:rsidP="00113D31">
      <w:pPr>
        <w:rPr>
          <w:color w:val="943634" w:themeColor="accent2" w:themeShade="BF"/>
        </w:rPr>
      </w:pPr>
      <w:r w:rsidRPr="00E334A5">
        <w:rPr>
          <w:color w:val="943634" w:themeColor="accent2" w:themeShade="BF"/>
        </w:rPr>
        <w:t>Further discussions are needed with WG regarding the potential availability of transition support funding following the Bridgend boundary change.</w:t>
      </w:r>
    </w:p>
    <w:p w14:paraId="0EBE79EB" w14:textId="77777777" w:rsidR="00113D31" w:rsidRDefault="00113D31" w:rsidP="00E334A5">
      <w:pPr>
        <w:pStyle w:val="Heading3"/>
      </w:pPr>
      <w:r>
        <w:t xml:space="preserve">Transformation </w:t>
      </w:r>
      <w:r w:rsidRPr="00E334A5">
        <w:t>Programme</w:t>
      </w:r>
      <w:r>
        <w:t xml:space="preserve"> </w:t>
      </w:r>
    </w:p>
    <w:p w14:paraId="3C57DB0D" w14:textId="77777777" w:rsidR="00113D31" w:rsidRDefault="00113D31" w:rsidP="00113D31">
      <w:r>
        <w:t xml:space="preserve">A summary of the income and spend profiles for the two Transformation programmes: Stay Well in Your Community (SWYC) and </w:t>
      </w:r>
      <w:r w:rsidRPr="00667A89">
        <w:rPr>
          <w:rFonts w:asciiTheme="minorHAnsi" w:hAnsiTheme="minorHAnsi" w:cs="Arial"/>
        </w:rPr>
        <w:t>Accelerating the Pace of Change of Integrated Services</w:t>
      </w:r>
      <w:r>
        <w:rPr>
          <w:rFonts w:asciiTheme="minorHAnsi" w:hAnsiTheme="minorHAnsi" w:cs="Arial"/>
        </w:rPr>
        <w:t xml:space="preserve"> </w:t>
      </w:r>
      <w:r>
        <w:rPr>
          <w:rFonts w:ascii="Arial" w:hAnsi="Arial" w:cs="Arial"/>
        </w:rPr>
        <w:t>(</w:t>
      </w:r>
      <w:r>
        <w:t>APCIS) are provided below:</w:t>
      </w:r>
    </w:p>
    <w:p w14:paraId="117B61C9" w14:textId="77777777" w:rsidR="00113D31" w:rsidRDefault="00113D31" w:rsidP="00113D31"/>
    <w:p w14:paraId="45630A40" w14:textId="77777777" w:rsidR="00113D31" w:rsidRDefault="00113D31" w:rsidP="00113D31"/>
    <w:p w14:paraId="038D15DE" w14:textId="77777777" w:rsidR="00113D31" w:rsidRDefault="00113D31" w:rsidP="00113D31">
      <w:r w:rsidRPr="00A57623">
        <w:rPr>
          <w:noProof/>
        </w:rPr>
        <w:lastRenderedPageBreak/>
        <w:drawing>
          <wp:inline distT="0" distB="0" distL="0" distR="0" wp14:anchorId="3C70A4D6" wp14:editId="487074A4">
            <wp:extent cx="6278245" cy="3063923"/>
            <wp:effectExtent l="0" t="0" r="8255" b="3175"/>
            <wp:docPr id="452" name="Picture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6289249" cy="3069293"/>
                    </a:xfrm>
                    <a:prstGeom prst="rect">
                      <a:avLst/>
                    </a:prstGeom>
                    <a:noFill/>
                    <a:ln>
                      <a:noFill/>
                    </a:ln>
                  </pic:spPr>
                </pic:pic>
              </a:graphicData>
            </a:graphic>
          </wp:inline>
        </w:drawing>
      </w:r>
    </w:p>
    <w:p w14:paraId="568C863E" w14:textId="77777777" w:rsidR="00113D31" w:rsidRDefault="00113D31" w:rsidP="00113D31"/>
    <w:p w14:paraId="6806D2E3" w14:textId="77777777" w:rsidR="00113D31" w:rsidRDefault="00113D31" w:rsidP="00113D31">
      <w:r w:rsidRPr="00A57623">
        <w:rPr>
          <w:noProof/>
        </w:rPr>
        <w:drawing>
          <wp:inline distT="0" distB="0" distL="0" distR="0" wp14:anchorId="1D379BAF" wp14:editId="795C55D2">
            <wp:extent cx="6278245" cy="3214047"/>
            <wp:effectExtent l="0" t="0" r="8255" b="5715"/>
            <wp:docPr id="453" name="Picture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6288939" cy="3219522"/>
                    </a:xfrm>
                    <a:prstGeom prst="rect">
                      <a:avLst/>
                    </a:prstGeom>
                    <a:noFill/>
                    <a:ln>
                      <a:noFill/>
                    </a:ln>
                  </pic:spPr>
                </pic:pic>
              </a:graphicData>
            </a:graphic>
          </wp:inline>
        </w:drawing>
      </w:r>
    </w:p>
    <w:p w14:paraId="68D52A8D" w14:textId="77777777" w:rsidR="00113D31" w:rsidRDefault="00113D31" w:rsidP="00113D31"/>
    <w:p w14:paraId="54CE4621" w14:textId="77777777" w:rsidR="00113D31" w:rsidRDefault="00113D31" w:rsidP="00113D31">
      <w:r>
        <w:t>The combined requirement from the two programmes is a cost release from existing models of care of £6.2m in 2021/22.</w:t>
      </w:r>
    </w:p>
    <w:p w14:paraId="086530D7" w14:textId="77777777" w:rsidR="00113D31" w:rsidRPr="004E4034" w:rsidRDefault="00113D31" w:rsidP="00113D31">
      <w:pPr>
        <w:pStyle w:val="Heading3"/>
        <w:numPr>
          <w:ilvl w:val="0"/>
          <w:numId w:val="0"/>
        </w:numPr>
        <w:rPr>
          <w:b w:val="0"/>
        </w:rPr>
      </w:pPr>
      <w:r w:rsidRPr="001568E5">
        <w:rPr>
          <w:b w:val="0"/>
        </w:rPr>
        <w:t>The 201</w:t>
      </w:r>
      <w:r>
        <w:rPr>
          <w:b w:val="0"/>
        </w:rPr>
        <w:t>9</w:t>
      </w:r>
      <w:r w:rsidRPr="001568E5">
        <w:rPr>
          <w:b w:val="0"/>
        </w:rPr>
        <w:t>/</w:t>
      </w:r>
      <w:r>
        <w:rPr>
          <w:b w:val="0"/>
        </w:rPr>
        <w:t>20</w:t>
      </w:r>
      <w:r w:rsidRPr="001568E5">
        <w:rPr>
          <w:b w:val="0"/>
        </w:rPr>
        <w:t xml:space="preserve"> financial plan include</w:t>
      </w:r>
      <w:r>
        <w:rPr>
          <w:b w:val="0"/>
        </w:rPr>
        <w:t>s</w:t>
      </w:r>
      <w:r w:rsidRPr="001568E5">
        <w:rPr>
          <w:b w:val="0"/>
        </w:rPr>
        <w:t xml:space="preserve"> a £1.7m provision for increased demand from unscheduled care admissions and growth in bed days. A further provision of £1.5m has been built into the financial plan for 20</w:t>
      </w:r>
      <w:r>
        <w:rPr>
          <w:b w:val="0"/>
        </w:rPr>
        <w:t>20/21 and 2021/22</w:t>
      </w:r>
      <w:r w:rsidRPr="001568E5">
        <w:rPr>
          <w:b w:val="0"/>
        </w:rPr>
        <w:t>. Provided the Health Board can man</w:t>
      </w:r>
      <w:r>
        <w:rPr>
          <w:b w:val="0"/>
        </w:rPr>
        <w:t>a</w:t>
      </w:r>
      <w:r w:rsidRPr="001568E5">
        <w:rPr>
          <w:b w:val="0"/>
        </w:rPr>
        <w:t>ge within its existing bed base through admissions avoidance and improved length of stay the planning assumption is that</w:t>
      </w:r>
      <w:r>
        <w:rPr>
          <w:b w:val="0"/>
        </w:rPr>
        <w:t xml:space="preserve"> t</w:t>
      </w:r>
      <w:r w:rsidRPr="004E4034">
        <w:rPr>
          <w:b w:val="0"/>
        </w:rPr>
        <w:t xml:space="preserve">he recurring reserve in 2021/22 will provide a £4.7m recurring contribution to the </w:t>
      </w:r>
      <w:r>
        <w:rPr>
          <w:b w:val="0"/>
        </w:rPr>
        <w:t xml:space="preserve">£6.2m required for the transformation sustainability plan </w:t>
      </w:r>
      <w:r w:rsidRPr="004E4034">
        <w:rPr>
          <w:b w:val="0"/>
        </w:rPr>
        <w:t>(See Section7.</w:t>
      </w:r>
      <w:r>
        <w:rPr>
          <w:b w:val="0"/>
        </w:rPr>
        <w:t>5.8</w:t>
      </w:r>
      <w:r w:rsidRPr="004E4034">
        <w:rPr>
          <w:b w:val="0"/>
        </w:rPr>
        <w:t>).</w:t>
      </w:r>
      <w:r>
        <w:rPr>
          <w:b w:val="0"/>
        </w:rPr>
        <w:t xml:space="preserve"> The balance of £1.5m will need to be delivered through either bed reductions enabled by the impact of the out of hospital investment in reducing emergency admissions, or by scaling back the level of out of hospital investment. </w:t>
      </w:r>
    </w:p>
    <w:p w14:paraId="2D0F5B35" w14:textId="77777777" w:rsidR="00113D31" w:rsidRPr="0077298C" w:rsidRDefault="00113D31" w:rsidP="00E334A5">
      <w:pPr>
        <w:pStyle w:val="Heading3"/>
      </w:pPr>
      <w:r>
        <w:t>P</w:t>
      </w:r>
      <w:r w:rsidRPr="0077298C">
        <w:t>rimary Care Inflation</w:t>
      </w:r>
    </w:p>
    <w:p w14:paraId="412AD573" w14:textId="77777777" w:rsidR="00113D31" w:rsidRDefault="00113D31" w:rsidP="00113D31">
      <w:r w:rsidRPr="009B65FF">
        <w:t>As in previous years, we are assuming that the cost of the DDRB pay awards for GDS and GMS contractors in 2020/21 will be matched with an additional allocation from WG.</w:t>
      </w:r>
    </w:p>
    <w:p w14:paraId="234B6469" w14:textId="77777777" w:rsidR="00113D31" w:rsidRDefault="00113D31" w:rsidP="00113D31">
      <w:pPr>
        <w:spacing w:after="160" w:line="259" w:lineRule="auto"/>
        <w:jc w:val="left"/>
        <w:rPr>
          <w:rFonts w:eastAsiaTheme="majorEastAsia" w:cstheme="majorBidi"/>
          <w:b/>
          <w:bCs/>
        </w:rPr>
      </w:pPr>
      <w:r>
        <w:br w:type="page"/>
      </w:r>
    </w:p>
    <w:p w14:paraId="1E57DC80" w14:textId="77777777" w:rsidR="00113D31" w:rsidRPr="00B66177" w:rsidRDefault="00113D31" w:rsidP="00E334A5">
      <w:pPr>
        <w:pStyle w:val="Heading3"/>
      </w:pPr>
      <w:r>
        <w:lastRenderedPageBreak/>
        <w:t>Potential A</w:t>
      </w:r>
      <w:r w:rsidRPr="00B66177">
        <w:t xml:space="preserve">dditional </w:t>
      </w:r>
      <w:r w:rsidRPr="00E334A5">
        <w:t>Allocations</w:t>
      </w:r>
      <w:r w:rsidRPr="00B66177">
        <w:t xml:space="preserve"> </w:t>
      </w:r>
    </w:p>
    <w:p w14:paraId="2BB2D180" w14:textId="77777777" w:rsidR="00113D31" w:rsidRPr="009B65FF" w:rsidRDefault="00113D31" w:rsidP="00113D31">
      <w:pPr>
        <w:rPr>
          <w:b/>
        </w:rPr>
      </w:pPr>
      <w:r>
        <w:t>Likely</w:t>
      </w:r>
      <w:r w:rsidRPr="009B65FF">
        <w:t xml:space="preserve"> additional </w:t>
      </w:r>
      <w:r>
        <w:t xml:space="preserve">Welsh Government allocations for specific purposes, over and above a core 2% uplift and funding for pay awards and primary care inflation, </w:t>
      </w:r>
      <w:r w:rsidRPr="009B65FF">
        <w:t>have yet to be confirmed and have currently been excluded from the plan</w:t>
      </w:r>
      <w:r>
        <w:t>.</w:t>
      </w:r>
    </w:p>
    <w:p w14:paraId="061BDB6B" w14:textId="77777777" w:rsidR="00113D31" w:rsidRPr="00B66177" w:rsidRDefault="00113D31" w:rsidP="00113D31">
      <w:pPr>
        <w:pStyle w:val="Heading2"/>
        <w:ind w:left="1077" w:hanging="1077"/>
      </w:pPr>
      <w:bookmarkStart w:id="190" w:name="_Toc536195580"/>
      <w:bookmarkStart w:id="191" w:name="_Toc536528062"/>
      <w:bookmarkStart w:id="192" w:name="_Toc25262194"/>
      <w:r>
        <w:t>Inflationary, S</w:t>
      </w:r>
      <w:r w:rsidRPr="00B66177">
        <w:t xml:space="preserve">ervice </w:t>
      </w:r>
      <w:r>
        <w:t>Demand and C</w:t>
      </w:r>
      <w:r w:rsidRPr="00B66177">
        <w:t xml:space="preserve">ost </w:t>
      </w:r>
      <w:r>
        <w:t>P</w:t>
      </w:r>
      <w:r w:rsidRPr="00B66177">
        <w:t>ressures</w:t>
      </w:r>
      <w:bookmarkEnd w:id="190"/>
      <w:bookmarkEnd w:id="191"/>
      <w:bookmarkEnd w:id="192"/>
      <w:r w:rsidRPr="00B66177">
        <w:t xml:space="preserve"> </w:t>
      </w:r>
    </w:p>
    <w:p w14:paraId="75BD4905" w14:textId="77777777" w:rsidR="00113D31" w:rsidRDefault="00113D31" w:rsidP="00113D31">
      <w:pPr>
        <w:jc w:val="left"/>
      </w:pPr>
      <w:r>
        <w:t>The table below shows the projected inflationary, demand and other cost pressures for the next three years, which are anticipated to be fairly stable over this period.</w:t>
      </w:r>
    </w:p>
    <w:p w14:paraId="79A74B03" w14:textId="77777777" w:rsidR="00113D31" w:rsidRDefault="00113D31" w:rsidP="00113D31">
      <w:pPr>
        <w:jc w:val="left"/>
      </w:pPr>
    </w:p>
    <w:tbl>
      <w:tblPr>
        <w:tblW w:w="8655" w:type="dxa"/>
        <w:tblInd w:w="103" w:type="dxa"/>
        <w:tblLayout w:type="fixed"/>
        <w:tblLook w:val="04A0" w:firstRow="1" w:lastRow="0" w:firstColumn="1" w:lastColumn="0" w:noHBand="0" w:noVBand="1"/>
      </w:tblPr>
      <w:tblGrid>
        <w:gridCol w:w="5253"/>
        <w:gridCol w:w="1134"/>
        <w:gridCol w:w="1134"/>
        <w:gridCol w:w="1134"/>
      </w:tblGrid>
      <w:tr w:rsidR="00113D31" w14:paraId="2C2E96CC" w14:textId="77777777" w:rsidTr="0060790C">
        <w:trPr>
          <w:trHeight w:val="300"/>
          <w:tblHeader/>
        </w:trPr>
        <w:tc>
          <w:tcPr>
            <w:tcW w:w="5253" w:type="dxa"/>
            <w:tcBorders>
              <w:top w:val="single" w:sz="4" w:space="0" w:color="auto"/>
              <w:left w:val="single" w:sz="4" w:space="0" w:color="auto"/>
              <w:bottom w:val="nil"/>
              <w:right w:val="single" w:sz="4" w:space="0" w:color="auto"/>
            </w:tcBorders>
            <w:shd w:val="clear" w:color="auto" w:fill="DBE5F1" w:themeFill="accent1" w:themeFillTint="33"/>
            <w:vAlign w:val="center"/>
            <w:hideMark/>
          </w:tcPr>
          <w:p w14:paraId="21F59838" w14:textId="77777777" w:rsidR="00113D31" w:rsidRPr="002A1D42" w:rsidRDefault="00113D31" w:rsidP="0060790C">
            <w:pPr>
              <w:rPr>
                <w:rFonts w:cs="Times New Roman"/>
                <w:b/>
                <w:bCs/>
                <w:color w:val="000000"/>
                <w:sz w:val="20"/>
                <w:szCs w:val="20"/>
              </w:rPr>
            </w:pPr>
            <w:r w:rsidRPr="002A1D42">
              <w:rPr>
                <w:rFonts w:cs="Times New Roman"/>
                <w:b/>
                <w:bCs/>
                <w:color w:val="000000"/>
                <w:sz w:val="20"/>
                <w:szCs w:val="20"/>
              </w:rPr>
              <w:t>Inflation and other cost pressures</w:t>
            </w:r>
          </w:p>
        </w:tc>
        <w:tc>
          <w:tcPr>
            <w:tcW w:w="1134" w:type="dxa"/>
            <w:tcBorders>
              <w:top w:val="single" w:sz="4" w:space="0" w:color="auto"/>
              <w:left w:val="single" w:sz="4" w:space="0" w:color="auto"/>
              <w:bottom w:val="nil"/>
              <w:right w:val="single" w:sz="4" w:space="0" w:color="auto"/>
            </w:tcBorders>
            <w:shd w:val="clear" w:color="auto" w:fill="DBE5F1" w:themeFill="accent1" w:themeFillTint="33"/>
            <w:vAlign w:val="center"/>
            <w:hideMark/>
          </w:tcPr>
          <w:p w14:paraId="65DD65FF" w14:textId="77777777" w:rsidR="00113D31" w:rsidRPr="002A1D42" w:rsidRDefault="00113D31" w:rsidP="0060790C">
            <w:pPr>
              <w:jc w:val="center"/>
              <w:rPr>
                <w:rFonts w:cs="Times New Roman"/>
                <w:b/>
                <w:bCs/>
                <w:color w:val="000000"/>
                <w:sz w:val="20"/>
                <w:szCs w:val="20"/>
              </w:rPr>
            </w:pPr>
            <w:r>
              <w:rPr>
                <w:rFonts w:cs="Times New Roman"/>
                <w:b/>
                <w:bCs/>
                <w:color w:val="000000"/>
                <w:sz w:val="20"/>
                <w:szCs w:val="20"/>
              </w:rPr>
              <w:t>20</w:t>
            </w:r>
            <w:r w:rsidRPr="002A1D42">
              <w:rPr>
                <w:rFonts w:cs="Times New Roman"/>
                <w:b/>
                <w:bCs/>
                <w:color w:val="000000"/>
                <w:sz w:val="20"/>
                <w:szCs w:val="20"/>
              </w:rPr>
              <w:t>/2</w:t>
            </w:r>
            <w:r>
              <w:rPr>
                <w:rFonts w:cs="Times New Roman"/>
                <w:b/>
                <w:bCs/>
                <w:color w:val="000000"/>
                <w:sz w:val="20"/>
                <w:szCs w:val="20"/>
              </w:rPr>
              <w:t>1</w:t>
            </w:r>
          </w:p>
        </w:tc>
        <w:tc>
          <w:tcPr>
            <w:tcW w:w="1134" w:type="dxa"/>
            <w:tcBorders>
              <w:top w:val="single" w:sz="4" w:space="0" w:color="auto"/>
              <w:left w:val="single" w:sz="4" w:space="0" w:color="auto"/>
              <w:bottom w:val="nil"/>
              <w:right w:val="single" w:sz="4" w:space="0" w:color="auto"/>
            </w:tcBorders>
            <w:shd w:val="clear" w:color="auto" w:fill="DBE5F1" w:themeFill="accent1" w:themeFillTint="33"/>
            <w:noWrap/>
            <w:vAlign w:val="bottom"/>
            <w:hideMark/>
          </w:tcPr>
          <w:p w14:paraId="799ED6AD" w14:textId="77777777" w:rsidR="00113D31" w:rsidRPr="002A1D42" w:rsidRDefault="00113D31" w:rsidP="0060790C">
            <w:pPr>
              <w:jc w:val="center"/>
              <w:rPr>
                <w:rFonts w:cs="Times New Roman"/>
                <w:b/>
                <w:bCs/>
                <w:color w:val="000000"/>
                <w:sz w:val="20"/>
                <w:szCs w:val="20"/>
              </w:rPr>
            </w:pPr>
            <w:r w:rsidRPr="002A1D42">
              <w:rPr>
                <w:rFonts w:cs="Times New Roman"/>
                <w:b/>
                <w:bCs/>
                <w:color w:val="000000"/>
                <w:sz w:val="20"/>
                <w:szCs w:val="20"/>
              </w:rPr>
              <w:t>2</w:t>
            </w:r>
            <w:r>
              <w:rPr>
                <w:rFonts w:cs="Times New Roman"/>
                <w:b/>
                <w:bCs/>
                <w:color w:val="000000"/>
                <w:sz w:val="20"/>
                <w:szCs w:val="20"/>
              </w:rPr>
              <w:t>1</w:t>
            </w:r>
            <w:r w:rsidRPr="002A1D42">
              <w:rPr>
                <w:rFonts w:cs="Times New Roman"/>
                <w:b/>
                <w:bCs/>
                <w:color w:val="000000"/>
                <w:sz w:val="20"/>
                <w:szCs w:val="20"/>
              </w:rPr>
              <w:t>/2</w:t>
            </w:r>
            <w:r>
              <w:rPr>
                <w:rFonts w:cs="Times New Roman"/>
                <w:b/>
                <w:bCs/>
                <w:color w:val="000000"/>
                <w:sz w:val="20"/>
                <w:szCs w:val="20"/>
              </w:rPr>
              <w:t>2</w:t>
            </w:r>
          </w:p>
        </w:tc>
        <w:tc>
          <w:tcPr>
            <w:tcW w:w="1134" w:type="dxa"/>
            <w:tcBorders>
              <w:top w:val="single" w:sz="4" w:space="0" w:color="auto"/>
              <w:left w:val="single" w:sz="4" w:space="0" w:color="auto"/>
              <w:bottom w:val="nil"/>
              <w:right w:val="single" w:sz="4" w:space="0" w:color="auto"/>
            </w:tcBorders>
            <w:shd w:val="clear" w:color="auto" w:fill="DBE5F1" w:themeFill="accent1" w:themeFillTint="33"/>
            <w:noWrap/>
            <w:vAlign w:val="bottom"/>
            <w:hideMark/>
          </w:tcPr>
          <w:p w14:paraId="5D9EB264" w14:textId="77777777" w:rsidR="00113D31" w:rsidRPr="002A1D42" w:rsidRDefault="00113D31" w:rsidP="0060790C">
            <w:pPr>
              <w:jc w:val="center"/>
              <w:rPr>
                <w:rFonts w:cs="Times New Roman"/>
                <w:b/>
                <w:bCs/>
                <w:color w:val="000000"/>
                <w:sz w:val="20"/>
                <w:szCs w:val="20"/>
              </w:rPr>
            </w:pPr>
            <w:r w:rsidRPr="002A1D42">
              <w:rPr>
                <w:rFonts w:cs="Times New Roman"/>
                <w:b/>
                <w:bCs/>
                <w:color w:val="000000"/>
                <w:sz w:val="20"/>
                <w:szCs w:val="20"/>
              </w:rPr>
              <w:t>2</w:t>
            </w:r>
            <w:r>
              <w:rPr>
                <w:rFonts w:cs="Times New Roman"/>
                <w:b/>
                <w:bCs/>
                <w:color w:val="000000"/>
                <w:sz w:val="20"/>
                <w:szCs w:val="20"/>
              </w:rPr>
              <w:t>2</w:t>
            </w:r>
            <w:r w:rsidRPr="002A1D42">
              <w:rPr>
                <w:rFonts w:cs="Times New Roman"/>
                <w:b/>
                <w:bCs/>
                <w:color w:val="000000"/>
                <w:sz w:val="20"/>
                <w:szCs w:val="20"/>
              </w:rPr>
              <w:t>/2</w:t>
            </w:r>
            <w:r>
              <w:rPr>
                <w:rFonts w:cs="Times New Roman"/>
                <w:b/>
                <w:bCs/>
                <w:color w:val="000000"/>
                <w:sz w:val="20"/>
                <w:szCs w:val="20"/>
              </w:rPr>
              <w:t>3</w:t>
            </w:r>
          </w:p>
        </w:tc>
      </w:tr>
      <w:tr w:rsidR="00113D31" w14:paraId="5B651E8F" w14:textId="77777777" w:rsidTr="0060790C">
        <w:trPr>
          <w:trHeight w:val="300"/>
          <w:tblHeader/>
        </w:trPr>
        <w:tc>
          <w:tcPr>
            <w:tcW w:w="5253" w:type="dxa"/>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125BDC3D" w14:textId="77777777" w:rsidR="00113D31" w:rsidRPr="002A1D42" w:rsidRDefault="00113D31" w:rsidP="0060790C">
            <w:pPr>
              <w:jc w:val="center"/>
              <w:rPr>
                <w:rFonts w:cs="Times New Roman"/>
                <w:color w:val="000000"/>
                <w:sz w:val="20"/>
                <w:szCs w:val="20"/>
              </w:rPr>
            </w:pPr>
            <w:r w:rsidRPr="002A1D42">
              <w:rPr>
                <w:rFonts w:cs="Times New Roman"/>
                <w:color w:val="000000"/>
                <w:sz w:val="20"/>
                <w:szCs w:val="20"/>
              </w:rPr>
              <w:t> </w:t>
            </w:r>
          </w:p>
        </w:tc>
        <w:tc>
          <w:tcPr>
            <w:tcW w:w="1134" w:type="dxa"/>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691CD89D" w14:textId="77777777" w:rsidR="00113D31" w:rsidRPr="002A1D42" w:rsidRDefault="00113D31" w:rsidP="0060790C">
            <w:pPr>
              <w:jc w:val="center"/>
              <w:rPr>
                <w:rFonts w:cs="Times New Roman"/>
                <w:b/>
                <w:bCs/>
                <w:color w:val="000000"/>
                <w:sz w:val="20"/>
                <w:szCs w:val="20"/>
              </w:rPr>
            </w:pPr>
            <w:r w:rsidRPr="002A1D42">
              <w:rPr>
                <w:rFonts w:cs="Times New Roman"/>
                <w:b/>
                <w:bCs/>
                <w:color w:val="000000"/>
                <w:sz w:val="20"/>
                <w:szCs w:val="20"/>
              </w:rPr>
              <w:t>£m</w:t>
            </w:r>
          </w:p>
        </w:tc>
        <w:tc>
          <w:tcPr>
            <w:tcW w:w="1134" w:type="dxa"/>
            <w:tcBorders>
              <w:top w:val="nil"/>
              <w:left w:val="single" w:sz="4" w:space="0" w:color="auto"/>
              <w:bottom w:val="single" w:sz="4" w:space="0" w:color="auto"/>
              <w:right w:val="single" w:sz="4" w:space="0" w:color="auto"/>
            </w:tcBorders>
            <w:shd w:val="clear" w:color="auto" w:fill="DBE5F1" w:themeFill="accent1" w:themeFillTint="33"/>
            <w:noWrap/>
            <w:vAlign w:val="bottom"/>
            <w:hideMark/>
          </w:tcPr>
          <w:p w14:paraId="12AEF1AE" w14:textId="77777777" w:rsidR="00113D31" w:rsidRPr="002A1D42" w:rsidRDefault="00113D31" w:rsidP="0060790C">
            <w:pPr>
              <w:jc w:val="center"/>
              <w:rPr>
                <w:rFonts w:cs="Times New Roman"/>
                <w:b/>
                <w:bCs/>
                <w:color w:val="000000"/>
                <w:sz w:val="20"/>
                <w:szCs w:val="20"/>
              </w:rPr>
            </w:pPr>
            <w:r w:rsidRPr="002A1D42">
              <w:rPr>
                <w:rFonts w:cs="Times New Roman"/>
                <w:b/>
                <w:bCs/>
                <w:color w:val="000000"/>
                <w:sz w:val="20"/>
                <w:szCs w:val="20"/>
              </w:rPr>
              <w:t>£m</w:t>
            </w:r>
          </w:p>
        </w:tc>
        <w:tc>
          <w:tcPr>
            <w:tcW w:w="1134" w:type="dxa"/>
            <w:tcBorders>
              <w:top w:val="nil"/>
              <w:left w:val="single" w:sz="4" w:space="0" w:color="auto"/>
              <w:bottom w:val="single" w:sz="4" w:space="0" w:color="auto"/>
              <w:right w:val="single" w:sz="4" w:space="0" w:color="auto"/>
            </w:tcBorders>
            <w:shd w:val="clear" w:color="auto" w:fill="DBE5F1" w:themeFill="accent1" w:themeFillTint="33"/>
            <w:noWrap/>
            <w:vAlign w:val="bottom"/>
            <w:hideMark/>
          </w:tcPr>
          <w:p w14:paraId="5C7A503D" w14:textId="77777777" w:rsidR="00113D31" w:rsidRPr="002A1D42" w:rsidRDefault="00113D31" w:rsidP="0060790C">
            <w:pPr>
              <w:jc w:val="center"/>
              <w:rPr>
                <w:rFonts w:cs="Times New Roman"/>
                <w:b/>
                <w:bCs/>
                <w:color w:val="000000"/>
                <w:sz w:val="20"/>
                <w:szCs w:val="20"/>
              </w:rPr>
            </w:pPr>
            <w:r w:rsidRPr="002A1D42">
              <w:rPr>
                <w:rFonts w:cs="Times New Roman"/>
                <w:b/>
                <w:bCs/>
                <w:color w:val="000000"/>
                <w:sz w:val="20"/>
                <w:szCs w:val="20"/>
              </w:rPr>
              <w:t>£m</w:t>
            </w:r>
          </w:p>
        </w:tc>
      </w:tr>
      <w:tr w:rsidR="00113D31" w14:paraId="3479AD54" w14:textId="77777777" w:rsidTr="0060790C">
        <w:trPr>
          <w:trHeight w:val="300"/>
        </w:trPr>
        <w:tc>
          <w:tcPr>
            <w:tcW w:w="5253" w:type="dxa"/>
            <w:tcBorders>
              <w:top w:val="nil"/>
              <w:left w:val="single" w:sz="4" w:space="0" w:color="auto"/>
              <w:bottom w:val="nil"/>
              <w:right w:val="single" w:sz="4" w:space="0" w:color="auto"/>
            </w:tcBorders>
            <w:vAlign w:val="center"/>
            <w:hideMark/>
          </w:tcPr>
          <w:p w14:paraId="51522B17" w14:textId="77777777" w:rsidR="00113D31" w:rsidRPr="002A1D42" w:rsidRDefault="00113D31" w:rsidP="0060790C">
            <w:pPr>
              <w:rPr>
                <w:rFonts w:cs="Times New Roman"/>
                <w:b/>
                <w:bCs/>
                <w:color w:val="000000"/>
                <w:sz w:val="20"/>
                <w:szCs w:val="20"/>
              </w:rPr>
            </w:pPr>
            <w:r w:rsidRPr="002A1D42">
              <w:rPr>
                <w:rFonts w:cs="Times New Roman"/>
                <w:b/>
                <w:bCs/>
                <w:color w:val="000000"/>
                <w:sz w:val="20"/>
                <w:szCs w:val="20"/>
              </w:rPr>
              <w:t>Inflation</w:t>
            </w:r>
          </w:p>
        </w:tc>
        <w:tc>
          <w:tcPr>
            <w:tcW w:w="1134" w:type="dxa"/>
            <w:tcBorders>
              <w:top w:val="nil"/>
              <w:left w:val="single" w:sz="4" w:space="0" w:color="auto"/>
              <w:bottom w:val="nil"/>
              <w:right w:val="single" w:sz="4" w:space="0" w:color="auto"/>
            </w:tcBorders>
            <w:noWrap/>
            <w:vAlign w:val="bottom"/>
            <w:hideMark/>
          </w:tcPr>
          <w:p w14:paraId="584BF4B6" w14:textId="77777777" w:rsidR="00113D31" w:rsidRPr="002A1D42" w:rsidRDefault="00113D31" w:rsidP="0060790C">
            <w:pPr>
              <w:jc w:val="center"/>
              <w:rPr>
                <w:rFonts w:cs="Times New Roman"/>
                <w:color w:val="000000"/>
                <w:sz w:val="20"/>
                <w:szCs w:val="20"/>
              </w:rPr>
            </w:pPr>
            <w:r w:rsidRPr="002A1D42">
              <w:rPr>
                <w:rFonts w:cs="Times New Roman"/>
                <w:color w:val="000000"/>
                <w:sz w:val="20"/>
                <w:szCs w:val="20"/>
              </w:rPr>
              <w:t> </w:t>
            </w:r>
          </w:p>
        </w:tc>
        <w:tc>
          <w:tcPr>
            <w:tcW w:w="1134" w:type="dxa"/>
            <w:tcBorders>
              <w:top w:val="nil"/>
              <w:left w:val="single" w:sz="4" w:space="0" w:color="auto"/>
              <w:bottom w:val="nil"/>
              <w:right w:val="single" w:sz="4" w:space="0" w:color="auto"/>
            </w:tcBorders>
            <w:noWrap/>
            <w:vAlign w:val="bottom"/>
            <w:hideMark/>
          </w:tcPr>
          <w:p w14:paraId="74F7BE69" w14:textId="77777777" w:rsidR="00113D31" w:rsidRPr="002A1D42" w:rsidRDefault="00113D31" w:rsidP="0060790C">
            <w:pPr>
              <w:jc w:val="center"/>
              <w:rPr>
                <w:rFonts w:cs="Times New Roman"/>
                <w:color w:val="000000"/>
                <w:sz w:val="20"/>
                <w:szCs w:val="20"/>
              </w:rPr>
            </w:pPr>
            <w:r w:rsidRPr="002A1D42">
              <w:rPr>
                <w:rFonts w:cs="Times New Roman"/>
                <w:color w:val="000000"/>
                <w:sz w:val="20"/>
                <w:szCs w:val="20"/>
              </w:rPr>
              <w:t> </w:t>
            </w:r>
          </w:p>
        </w:tc>
        <w:tc>
          <w:tcPr>
            <w:tcW w:w="1134" w:type="dxa"/>
            <w:tcBorders>
              <w:top w:val="nil"/>
              <w:left w:val="single" w:sz="4" w:space="0" w:color="auto"/>
              <w:bottom w:val="nil"/>
              <w:right w:val="single" w:sz="4" w:space="0" w:color="auto"/>
            </w:tcBorders>
            <w:noWrap/>
            <w:vAlign w:val="bottom"/>
            <w:hideMark/>
          </w:tcPr>
          <w:p w14:paraId="5F50A93F" w14:textId="77777777" w:rsidR="00113D31" w:rsidRPr="002A1D42" w:rsidRDefault="00113D31" w:rsidP="0060790C">
            <w:pPr>
              <w:jc w:val="center"/>
              <w:rPr>
                <w:rFonts w:cs="Times New Roman"/>
                <w:color w:val="000000"/>
                <w:sz w:val="20"/>
                <w:szCs w:val="20"/>
              </w:rPr>
            </w:pPr>
            <w:r w:rsidRPr="002A1D42">
              <w:rPr>
                <w:rFonts w:cs="Times New Roman"/>
                <w:color w:val="000000"/>
                <w:sz w:val="20"/>
                <w:szCs w:val="20"/>
              </w:rPr>
              <w:t> </w:t>
            </w:r>
          </w:p>
        </w:tc>
      </w:tr>
      <w:tr w:rsidR="00113D31" w14:paraId="6CB3DF31" w14:textId="77777777" w:rsidTr="0060790C">
        <w:trPr>
          <w:trHeight w:val="300"/>
        </w:trPr>
        <w:tc>
          <w:tcPr>
            <w:tcW w:w="5253" w:type="dxa"/>
            <w:tcBorders>
              <w:top w:val="nil"/>
              <w:left w:val="single" w:sz="4" w:space="0" w:color="auto"/>
              <w:bottom w:val="nil"/>
              <w:right w:val="single" w:sz="4" w:space="0" w:color="auto"/>
            </w:tcBorders>
            <w:vAlign w:val="center"/>
            <w:hideMark/>
          </w:tcPr>
          <w:p w14:paraId="3AFB4862" w14:textId="77777777" w:rsidR="00113D31" w:rsidRPr="002A1D42" w:rsidRDefault="00113D31" w:rsidP="0060790C">
            <w:pPr>
              <w:rPr>
                <w:rFonts w:cs="Times New Roman"/>
                <w:color w:val="000000"/>
                <w:sz w:val="20"/>
                <w:szCs w:val="20"/>
              </w:rPr>
            </w:pPr>
            <w:r w:rsidRPr="002A1D42">
              <w:rPr>
                <w:rFonts w:cs="Times New Roman"/>
                <w:color w:val="000000"/>
                <w:sz w:val="20"/>
                <w:szCs w:val="20"/>
              </w:rPr>
              <w:t>Pay rises and incremental drift</w:t>
            </w:r>
          </w:p>
        </w:tc>
        <w:tc>
          <w:tcPr>
            <w:tcW w:w="1134" w:type="dxa"/>
            <w:tcBorders>
              <w:top w:val="nil"/>
              <w:left w:val="single" w:sz="4" w:space="0" w:color="auto"/>
              <w:bottom w:val="nil"/>
              <w:right w:val="single" w:sz="4" w:space="0" w:color="auto"/>
            </w:tcBorders>
            <w:noWrap/>
            <w:vAlign w:val="bottom"/>
            <w:hideMark/>
          </w:tcPr>
          <w:p w14:paraId="55149B69" w14:textId="77777777" w:rsidR="00113D31" w:rsidRPr="002A1D42" w:rsidRDefault="00113D31" w:rsidP="0060790C">
            <w:pPr>
              <w:jc w:val="center"/>
              <w:rPr>
                <w:rFonts w:cs="Times New Roman"/>
                <w:color w:val="000000"/>
                <w:sz w:val="20"/>
                <w:szCs w:val="20"/>
              </w:rPr>
            </w:pPr>
            <w:r w:rsidRPr="002A1D42">
              <w:rPr>
                <w:rFonts w:cs="Times New Roman"/>
                <w:color w:val="000000"/>
                <w:sz w:val="20"/>
                <w:szCs w:val="20"/>
              </w:rPr>
              <w:t>1</w:t>
            </w:r>
            <w:r>
              <w:rPr>
                <w:rFonts w:cs="Times New Roman"/>
                <w:color w:val="000000"/>
                <w:sz w:val="20"/>
                <w:szCs w:val="20"/>
              </w:rPr>
              <w:t>5.5</w:t>
            </w:r>
          </w:p>
        </w:tc>
        <w:tc>
          <w:tcPr>
            <w:tcW w:w="1134" w:type="dxa"/>
            <w:tcBorders>
              <w:top w:val="nil"/>
              <w:left w:val="single" w:sz="4" w:space="0" w:color="auto"/>
              <w:bottom w:val="nil"/>
              <w:right w:val="single" w:sz="4" w:space="0" w:color="auto"/>
            </w:tcBorders>
            <w:noWrap/>
            <w:vAlign w:val="bottom"/>
          </w:tcPr>
          <w:p w14:paraId="129AF3BF" w14:textId="77777777" w:rsidR="00113D31" w:rsidRPr="002A1D42" w:rsidRDefault="00113D31" w:rsidP="0060790C">
            <w:pPr>
              <w:jc w:val="center"/>
              <w:rPr>
                <w:rFonts w:cs="Times New Roman"/>
                <w:color w:val="000000"/>
                <w:sz w:val="20"/>
                <w:szCs w:val="20"/>
              </w:rPr>
            </w:pPr>
            <w:r>
              <w:rPr>
                <w:rFonts w:cs="Times New Roman"/>
                <w:color w:val="000000"/>
                <w:sz w:val="20"/>
                <w:szCs w:val="20"/>
              </w:rPr>
              <w:t>15.6</w:t>
            </w:r>
          </w:p>
        </w:tc>
        <w:tc>
          <w:tcPr>
            <w:tcW w:w="1134" w:type="dxa"/>
            <w:tcBorders>
              <w:top w:val="nil"/>
              <w:left w:val="single" w:sz="4" w:space="0" w:color="auto"/>
              <w:bottom w:val="nil"/>
              <w:right w:val="single" w:sz="4" w:space="0" w:color="auto"/>
            </w:tcBorders>
            <w:noWrap/>
            <w:vAlign w:val="bottom"/>
          </w:tcPr>
          <w:p w14:paraId="5D85AFBD" w14:textId="77777777" w:rsidR="00113D31" w:rsidRPr="002A1D42" w:rsidRDefault="00113D31" w:rsidP="0060790C">
            <w:pPr>
              <w:jc w:val="center"/>
              <w:rPr>
                <w:rFonts w:cs="Times New Roman"/>
                <w:color w:val="000000"/>
                <w:sz w:val="20"/>
                <w:szCs w:val="20"/>
              </w:rPr>
            </w:pPr>
            <w:r>
              <w:rPr>
                <w:rFonts w:cs="Times New Roman"/>
                <w:color w:val="000000"/>
                <w:sz w:val="20"/>
                <w:szCs w:val="20"/>
              </w:rPr>
              <w:t>15.2</w:t>
            </w:r>
          </w:p>
        </w:tc>
      </w:tr>
      <w:tr w:rsidR="00113D31" w14:paraId="4DAB1C22" w14:textId="77777777" w:rsidTr="0060790C">
        <w:trPr>
          <w:trHeight w:val="300"/>
        </w:trPr>
        <w:tc>
          <w:tcPr>
            <w:tcW w:w="5253" w:type="dxa"/>
            <w:tcBorders>
              <w:top w:val="nil"/>
              <w:left w:val="single" w:sz="4" w:space="0" w:color="auto"/>
              <w:bottom w:val="nil"/>
              <w:right w:val="single" w:sz="4" w:space="0" w:color="auto"/>
            </w:tcBorders>
            <w:vAlign w:val="center"/>
            <w:hideMark/>
          </w:tcPr>
          <w:p w14:paraId="4B864C77" w14:textId="77777777" w:rsidR="00113D31" w:rsidRPr="002A1D42" w:rsidRDefault="00113D31" w:rsidP="0060790C">
            <w:pPr>
              <w:rPr>
                <w:rFonts w:cs="Times New Roman"/>
                <w:color w:val="000000"/>
                <w:sz w:val="20"/>
                <w:szCs w:val="20"/>
              </w:rPr>
            </w:pPr>
            <w:r w:rsidRPr="002A1D42">
              <w:rPr>
                <w:rFonts w:cs="Times New Roman"/>
                <w:color w:val="000000"/>
                <w:sz w:val="20"/>
                <w:szCs w:val="20"/>
              </w:rPr>
              <w:t>Primary care inflation</w:t>
            </w:r>
          </w:p>
        </w:tc>
        <w:tc>
          <w:tcPr>
            <w:tcW w:w="1134" w:type="dxa"/>
            <w:tcBorders>
              <w:top w:val="nil"/>
              <w:left w:val="single" w:sz="4" w:space="0" w:color="auto"/>
              <w:bottom w:val="nil"/>
              <w:right w:val="single" w:sz="4" w:space="0" w:color="auto"/>
            </w:tcBorders>
            <w:noWrap/>
            <w:vAlign w:val="bottom"/>
            <w:hideMark/>
          </w:tcPr>
          <w:p w14:paraId="7A306032" w14:textId="77777777" w:rsidR="00113D31" w:rsidRPr="002A1D42" w:rsidRDefault="00113D31" w:rsidP="0060790C">
            <w:pPr>
              <w:jc w:val="center"/>
              <w:rPr>
                <w:rFonts w:cs="Times New Roman"/>
                <w:color w:val="000000"/>
                <w:sz w:val="20"/>
                <w:szCs w:val="20"/>
              </w:rPr>
            </w:pPr>
            <w:r>
              <w:rPr>
                <w:rFonts w:cs="Times New Roman"/>
                <w:color w:val="000000"/>
                <w:sz w:val="20"/>
                <w:szCs w:val="20"/>
              </w:rPr>
              <w:t>0</w:t>
            </w:r>
          </w:p>
        </w:tc>
        <w:tc>
          <w:tcPr>
            <w:tcW w:w="1134" w:type="dxa"/>
            <w:tcBorders>
              <w:top w:val="nil"/>
              <w:left w:val="single" w:sz="4" w:space="0" w:color="auto"/>
              <w:bottom w:val="nil"/>
              <w:right w:val="single" w:sz="4" w:space="0" w:color="auto"/>
            </w:tcBorders>
            <w:noWrap/>
            <w:vAlign w:val="bottom"/>
          </w:tcPr>
          <w:p w14:paraId="2CE75EBE" w14:textId="77777777" w:rsidR="00113D31" w:rsidRPr="002A1D42" w:rsidRDefault="00113D31" w:rsidP="0060790C">
            <w:pPr>
              <w:jc w:val="center"/>
              <w:rPr>
                <w:rFonts w:cs="Times New Roman"/>
                <w:color w:val="000000"/>
                <w:sz w:val="20"/>
                <w:szCs w:val="20"/>
              </w:rPr>
            </w:pPr>
            <w:r>
              <w:rPr>
                <w:rFonts w:cs="Times New Roman"/>
                <w:color w:val="000000"/>
                <w:sz w:val="20"/>
                <w:szCs w:val="20"/>
              </w:rPr>
              <w:t>0</w:t>
            </w:r>
          </w:p>
        </w:tc>
        <w:tc>
          <w:tcPr>
            <w:tcW w:w="1134" w:type="dxa"/>
            <w:tcBorders>
              <w:top w:val="nil"/>
              <w:left w:val="single" w:sz="4" w:space="0" w:color="auto"/>
              <w:bottom w:val="nil"/>
              <w:right w:val="single" w:sz="4" w:space="0" w:color="auto"/>
            </w:tcBorders>
            <w:noWrap/>
            <w:vAlign w:val="bottom"/>
          </w:tcPr>
          <w:p w14:paraId="432A6D2C" w14:textId="77777777" w:rsidR="00113D31" w:rsidRPr="002A1D42" w:rsidRDefault="00113D31" w:rsidP="0060790C">
            <w:pPr>
              <w:jc w:val="center"/>
              <w:rPr>
                <w:rFonts w:cs="Times New Roman"/>
                <w:color w:val="000000"/>
                <w:sz w:val="20"/>
                <w:szCs w:val="20"/>
              </w:rPr>
            </w:pPr>
            <w:r>
              <w:rPr>
                <w:rFonts w:cs="Times New Roman"/>
                <w:color w:val="000000"/>
                <w:sz w:val="20"/>
                <w:szCs w:val="20"/>
              </w:rPr>
              <w:t>0</w:t>
            </w:r>
          </w:p>
        </w:tc>
      </w:tr>
      <w:tr w:rsidR="00113D31" w14:paraId="23584DBC" w14:textId="77777777" w:rsidTr="0060790C">
        <w:trPr>
          <w:trHeight w:val="300"/>
        </w:trPr>
        <w:tc>
          <w:tcPr>
            <w:tcW w:w="5253" w:type="dxa"/>
            <w:tcBorders>
              <w:top w:val="nil"/>
              <w:left w:val="single" w:sz="4" w:space="0" w:color="auto"/>
              <w:bottom w:val="nil"/>
              <w:right w:val="single" w:sz="4" w:space="0" w:color="auto"/>
            </w:tcBorders>
            <w:vAlign w:val="center"/>
            <w:hideMark/>
          </w:tcPr>
          <w:p w14:paraId="38631473" w14:textId="77777777" w:rsidR="00113D31" w:rsidRPr="002A1D42" w:rsidRDefault="00113D31" w:rsidP="0060790C">
            <w:pPr>
              <w:rPr>
                <w:rFonts w:cs="Times New Roman"/>
                <w:color w:val="000000"/>
                <w:sz w:val="20"/>
                <w:szCs w:val="20"/>
              </w:rPr>
            </w:pPr>
            <w:r w:rsidRPr="002A1D42">
              <w:rPr>
                <w:rFonts w:cs="Times New Roman"/>
                <w:color w:val="000000"/>
                <w:sz w:val="20"/>
                <w:szCs w:val="20"/>
              </w:rPr>
              <w:t>CHC inflation</w:t>
            </w:r>
          </w:p>
        </w:tc>
        <w:tc>
          <w:tcPr>
            <w:tcW w:w="1134" w:type="dxa"/>
            <w:tcBorders>
              <w:top w:val="nil"/>
              <w:left w:val="single" w:sz="4" w:space="0" w:color="auto"/>
              <w:bottom w:val="nil"/>
              <w:right w:val="single" w:sz="4" w:space="0" w:color="auto"/>
            </w:tcBorders>
            <w:noWrap/>
            <w:vAlign w:val="bottom"/>
            <w:hideMark/>
          </w:tcPr>
          <w:p w14:paraId="4C146049" w14:textId="77777777" w:rsidR="00113D31" w:rsidRPr="002A1D42" w:rsidRDefault="00113D31" w:rsidP="0060790C">
            <w:pPr>
              <w:jc w:val="center"/>
              <w:rPr>
                <w:rFonts w:cs="Times New Roman"/>
                <w:color w:val="000000"/>
                <w:sz w:val="20"/>
                <w:szCs w:val="20"/>
              </w:rPr>
            </w:pPr>
            <w:r w:rsidRPr="002A1D42">
              <w:rPr>
                <w:rFonts w:cs="Times New Roman"/>
                <w:color w:val="000000"/>
                <w:sz w:val="20"/>
                <w:szCs w:val="20"/>
              </w:rPr>
              <w:t>1.4</w:t>
            </w:r>
          </w:p>
        </w:tc>
        <w:tc>
          <w:tcPr>
            <w:tcW w:w="1134" w:type="dxa"/>
            <w:tcBorders>
              <w:top w:val="nil"/>
              <w:left w:val="single" w:sz="4" w:space="0" w:color="auto"/>
              <w:bottom w:val="nil"/>
              <w:right w:val="single" w:sz="4" w:space="0" w:color="auto"/>
            </w:tcBorders>
            <w:noWrap/>
            <w:vAlign w:val="bottom"/>
          </w:tcPr>
          <w:p w14:paraId="44BEA88F" w14:textId="77777777" w:rsidR="00113D31" w:rsidRPr="002A1D42" w:rsidRDefault="00113D31" w:rsidP="0060790C">
            <w:pPr>
              <w:jc w:val="center"/>
              <w:rPr>
                <w:rFonts w:cs="Times New Roman"/>
                <w:color w:val="000000"/>
                <w:sz w:val="20"/>
                <w:szCs w:val="20"/>
              </w:rPr>
            </w:pPr>
            <w:r>
              <w:rPr>
                <w:rFonts w:cs="Times New Roman"/>
                <w:color w:val="000000"/>
                <w:sz w:val="20"/>
                <w:szCs w:val="20"/>
              </w:rPr>
              <w:t>1.4</w:t>
            </w:r>
          </w:p>
        </w:tc>
        <w:tc>
          <w:tcPr>
            <w:tcW w:w="1134" w:type="dxa"/>
            <w:tcBorders>
              <w:top w:val="nil"/>
              <w:left w:val="single" w:sz="4" w:space="0" w:color="auto"/>
              <w:bottom w:val="nil"/>
              <w:right w:val="single" w:sz="4" w:space="0" w:color="auto"/>
            </w:tcBorders>
            <w:noWrap/>
            <w:vAlign w:val="bottom"/>
          </w:tcPr>
          <w:p w14:paraId="61556032" w14:textId="77777777" w:rsidR="00113D31" w:rsidRPr="002A1D42" w:rsidRDefault="00113D31" w:rsidP="0060790C">
            <w:pPr>
              <w:jc w:val="center"/>
              <w:rPr>
                <w:rFonts w:cs="Times New Roman"/>
                <w:color w:val="000000"/>
                <w:sz w:val="20"/>
                <w:szCs w:val="20"/>
              </w:rPr>
            </w:pPr>
            <w:r>
              <w:rPr>
                <w:rFonts w:cs="Times New Roman"/>
                <w:color w:val="000000"/>
                <w:sz w:val="20"/>
                <w:szCs w:val="20"/>
              </w:rPr>
              <w:t>1.4</w:t>
            </w:r>
          </w:p>
        </w:tc>
      </w:tr>
      <w:tr w:rsidR="00113D31" w14:paraId="34B4148A" w14:textId="77777777" w:rsidTr="0060790C">
        <w:trPr>
          <w:trHeight w:val="300"/>
        </w:trPr>
        <w:tc>
          <w:tcPr>
            <w:tcW w:w="5253" w:type="dxa"/>
            <w:tcBorders>
              <w:top w:val="nil"/>
              <w:left w:val="single" w:sz="4" w:space="0" w:color="auto"/>
              <w:bottom w:val="nil"/>
              <w:right w:val="single" w:sz="4" w:space="0" w:color="auto"/>
            </w:tcBorders>
            <w:vAlign w:val="center"/>
            <w:hideMark/>
          </w:tcPr>
          <w:p w14:paraId="0DAAEA89" w14:textId="77777777" w:rsidR="00113D31" w:rsidRPr="002A1D42" w:rsidRDefault="00113D31" w:rsidP="0060790C">
            <w:pPr>
              <w:rPr>
                <w:rFonts w:cs="Times New Roman"/>
                <w:color w:val="000000"/>
                <w:sz w:val="20"/>
                <w:szCs w:val="20"/>
              </w:rPr>
            </w:pPr>
            <w:r w:rsidRPr="002A1D42">
              <w:rPr>
                <w:rFonts w:cs="Times New Roman"/>
                <w:color w:val="000000"/>
                <w:sz w:val="20"/>
                <w:szCs w:val="20"/>
              </w:rPr>
              <w:t>NHSFNC inflation</w:t>
            </w:r>
          </w:p>
        </w:tc>
        <w:tc>
          <w:tcPr>
            <w:tcW w:w="1134" w:type="dxa"/>
            <w:tcBorders>
              <w:top w:val="nil"/>
              <w:left w:val="single" w:sz="4" w:space="0" w:color="auto"/>
              <w:bottom w:val="nil"/>
              <w:right w:val="single" w:sz="4" w:space="0" w:color="auto"/>
            </w:tcBorders>
            <w:noWrap/>
            <w:vAlign w:val="bottom"/>
            <w:hideMark/>
          </w:tcPr>
          <w:p w14:paraId="70F436F3" w14:textId="77777777" w:rsidR="00113D31" w:rsidRPr="002A1D42" w:rsidRDefault="00113D31" w:rsidP="0060790C">
            <w:pPr>
              <w:jc w:val="center"/>
              <w:rPr>
                <w:rFonts w:cs="Times New Roman"/>
                <w:color w:val="000000"/>
                <w:sz w:val="20"/>
                <w:szCs w:val="20"/>
              </w:rPr>
            </w:pPr>
            <w:r w:rsidRPr="002A1D42">
              <w:rPr>
                <w:rFonts w:cs="Times New Roman"/>
                <w:color w:val="000000"/>
                <w:sz w:val="20"/>
                <w:szCs w:val="20"/>
              </w:rPr>
              <w:t>0.3</w:t>
            </w:r>
          </w:p>
        </w:tc>
        <w:tc>
          <w:tcPr>
            <w:tcW w:w="1134" w:type="dxa"/>
            <w:tcBorders>
              <w:top w:val="nil"/>
              <w:left w:val="single" w:sz="4" w:space="0" w:color="auto"/>
              <w:bottom w:val="nil"/>
              <w:right w:val="single" w:sz="4" w:space="0" w:color="auto"/>
            </w:tcBorders>
            <w:noWrap/>
            <w:vAlign w:val="bottom"/>
          </w:tcPr>
          <w:p w14:paraId="63ECF66C" w14:textId="77777777" w:rsidR="00113D31" w:rsidRPr="002A1D42" w:rsidRDefault="00113D31" w:rsidP="0060790C">
            <w:pPr>
              <w:jc w:val="center"/>
              <w:rPr>
                <w:rFonts w:cs="Times New Roman"/>
                <w:color w:val="000000"/>
                <w:sz w:val="20"/>
                <w:szCs w:val="20"/>
              </w:rPr>
            </w:pPr>
            <w:r>
              <w:rPr>
                <w:rFonts w:cs="Times New Roman"/>
                <w:color w:val="000000"/>
                <w:sz w:val="20"/>
                <w:szCs w:val="20"/>
              </w:rPr>
              <w:t>0.3</w:t>
            </w:r>
          </w:p>
        </w:tc>
        <w:tc>
          <w:tcPr>
            <w:tcW w:w="1134" w:type="dxa"/>
            <w:tcBorders>
              <w:top w:val="nil"/>
              <w:left w:val="single" w:sz="4" w:space="0" w:color="auto"/>
              <w:bottom w:val="nil"/>
              <w:right w:val="single" w:sz="4" w:space="0" w:color="auto"/>
            </w:tcBorders>
            <w:noWrap/>
            <w:vAlign w:val="bottom"/>
          </w:tcPr>
          <w:p w14:paraId="14B667AD" w14:textId="77777777" w:rsidR="00113D31" w:rsidRPr="002A1D42" w:rsidRDefault="00113D31" w:rsidP="0060790C">
            <w:pPr>
              <w:jc w:val="center"/>
              <w:rPr>
                <w:rFonts w:cs="Times New Roman"/>
                <w:color w:val="000000"/>
                <w:sz w:val="20"/>
                <w:szCs w:val="20"/>
              </w:rPr>
            </w:pPr>
            <w:r>
              <w:rPr>
                <w:rFonts w:cs="Times New Roman"/>
                <w:color w:val="000000"/>
                <w:sz w:val="20"/>
                <w:szCs w:val="20"/>
              </w:rPr>
              <w:t>0.3</w:t>
            </w:r>
          </w:p>
        </w:tc>
      </w:tr>
      <w:tr w:rsidR="00113D31" w14:paraId="6EE78A56" w14:textId="77777777" w:rsidTr="0060790C">
        <w:trPr>
          <w:trHeight w:val="300"/>
        </w:trPr>
        <w:tc>
          <w:tcPr>
            <w:tcW w:w="5253" w:type="dxa"/>
            <w:tcBorders>
              <w:top w:val="nil"/>
              <w:left w:val="single" w:sz="4" w:space="0" w:color="auto"/>
              <w:bottom w:val="nil"/>
              <w:right w:val="single" w:sz="4" w:space="0" w:color="auto"/>
            </w:tcBorders>
            <w:vAlign w:val="center"/>
            <w:hideMark/>
          </w:tcPr>
          <w:p w14:paraId="7B84D0EA" w14:textId="77777777" w:rsidR="00113D31" w:rsidRPr="002A1D42" w:rsidRDefault="00113D31" w:rsidP="0060790C">
            <w:pPr>
              <w:rPr>
                <w:rFonts w:cs="Times New Roman"/>
                <w:color w:val="000000"/>
                <w:sz w:val="20"/>
                <w:szCs w:val="20"/>
              </w:rPr>
            </w:pPr>
            <w:r w:rsidRPr="002A1D42">
              <w:rPr>
                <w:rFonts w:cs="Times New Roman"/>
                <w:color w:val="000000"/>
                <w:sz w:val="20"/>
                <w:szCs w:val="20"/>
              </w:rPr>
              <w:t>Non-pay inflation</w:t>
            </w:r>
          </w:p>
        </w:tc>
        <w:tc>
          <w:tcPr>
            <w:tcW w:w="1134" w:type="dxa"/>
            <w:tcBorders>
              <w:top w:val="nil"/>
              <w:left w:val="single" w:sz="4" w:space="0" w:color="auto"/>
              <w:bottom w:val="nil"/>
              <w:right w:val="single" w:sz="4" w:space="0" w:color="auto"/>
            </w:tcBorders>
            <w:noWrap/>
            <w:vAlign w:val="bottom"/>
            <w:hideMark/>
          </w:tcPr>
          <w:p w14:paraId="314F9898" w14:textId="77777777" w:rsidR="00113D31" w:rsidRPr="002A1D42" w:rsidRDefault="00113D31" w:rsidP="0060790C">
            <w:pPr>
              <w:jc w:val="center"/>
              <w:rPr>
                <w:rFonts w:cs="Times New Roman"/>
                <w:color w:val="000000"/>
                <w:sz w:val="20"/>
                <w:szCs w:val="20"/>
              </w:rPr>
            </w:pPr>
            <w:r w:rsidRPr="002A1D42">
              <w:rPr>
                <w:rFonts w:cs="Times New Roman"/>
                <w:color w:val="000000"/>
                <w:sz w:val="20"/>
                <w:szCs w:val="20"/>
              </w:rPr>
              <w:t>2.</w:t>
            </w:r>
            <w:r>
              <w:rPr>
                <w:rFonts w:cs="Times New Roman"/>
                <w:color w:val="000000"/>
                <w:sz w:val="20"/>
                <w:szCs w:val="20"/>
              </w:rPr>
              <w:t>8</w:t>
            </w:r>
          </w:p>
        </w:tc>
        <w:tc>
          <w:tcPr>
            <w:tcW w:w="1134" w:type="dxa"/>
            <w:tcBorders>
              <w:top w:val="nil"/>
              <w:left w:val="single" w:sz="4" w:space="0" w:color="auto"/>
              <w:bottom w:val="nil"/>
              <w:right w:val="single" w:sz="4" w:space="0" w:color="auto"/>
            </w:tcBorders>
            <w:noWrap/>
            <w:vAlign w:val="bottom"/>
          </w:tcPr>
          <w:p w14:paraId="559DD529" w14:textId="77777777" w:rsidR="00113D31" w:rsidRPr="002A1D42" w:rsidRDefault="00113D31" w:rsidP="0060790C">
            <w:pPr>
              <w:jc w:val="center"/>
              <w:rPr>
                <w:rFonts w:cs="Times New Roman"/>
                <w:color w:val="000000"/>
                <w:sz w:val="20"/>
                <w:szCs w:val="20"/>
              </w:rPr>
            </w:pPr>
            <w:r>
              <w:rPr>
                <w:rFonts w:cs="Times New Roman"/>
                <w:color w:val="000000"/>
                <w:sz w:val="20"/>
                <w:szCs w:val="20"/>
              </w:rPr>
              <w:t>2.8</w:t>
            </w:r>
          </w:p>
        </w:tc>
        <w:tc>
          <w:tcPr>
            <w:tcW w:w="1134" w:type="dxa"/>
            <w:tcBorders>
              <w:top w:val="nil"/>
              <w:left w:val="single" w:sz="4" w:space="0" w:color="auto"/>
              <w:bottom w:val="nil"/>
              <w:right w:val="single" w:sz="4" w:space="0" w:color="auto"/>
            </w:tcBorders>
            <w:noWrap/>
            <w:vAlign w:val="bottom"/>
          </w:tcPr>
          <w:p w14:paraId="23076CD9" w14:textId="77777777" w:rsidR="00113D31" w:rsidRPr="002A1D42" w:rsidRDefault="00113D31" w:rsidP="0060790C">
            <w:pPr>
              <w:jc w:val="center"/>
              <w:rPr>
                <w:rFonts w:cs="Times New Roman"/>
                <w:color w:val="000000"/>
                <w:sz w:val="20"/>
                <w:szCs w:val="20"/>
              </w:rPr>
            </w:pPr>
            <w:r>
              <w:rPr>
                <w:rFonts w:cs="Times New Roman"/>
                <w:color w:val="000000"/>
                <w:sz w:val="20"/>
                <w:szCs w:val="20"/>
              </w:rPr>
              <w:t>2.8</w:t>
            </w:r>
          </w:p>
        </w:tc>
      </w:tr>
      <w:tr w:rsidR="00113D31" w14:paraId="452F7CA3" w14:textId="77777777" w:rsidTr="0060790C">
        <w:trPr>
          <w:trHeight w:val="300"/>
        </w:trPr>
        <w:tc>
          <w:tcPr>
            <w:tcW w:w="5253" w:type="dxa"/>
            <w:tcBorders>
              <w:top w:val="nil"/>
              <w:left w:val="single" w:sz="4" w:space="0" w:color="auto"/>
              <w:bottom w:val="nil"/>
              <w:right w:val="single" w:sz="4" w:space="0" w:color="auto"/>
            </w:tcBorders>
            <w:vAlign w:val="center"/>
          </w:tcPr>
          <w:p w14:paraId="43B2E659" w14:textId="77777777" w:rsidR="00113D31" w:rsidRPr="002A1D42" w:rsidRDefault="00113D31" w:rsidP="0060790C">
            <w:pPr>
              <w:rPr>
                <w:rFonts w:cs="Times New Roman"/>
                <w:color w:val="000000"/>
                <w:sz w:val="20"/>
                <w:szCs w:val="20"/>
              </w:rPr>
            </w:pPr>
            <w:r>
              <w:rPr>
                <w:rFonts w:cs="Times New Roman"/>
                <w:color w:val="000000"/>
                <w:sz w:val="20"/>
                <w:szCs w:val="20"/>
              </w:rPr>
              <w:t>LTA inflation – core 2%</w:t>
            </w:r>
          </w:p>
        </w:tc>
        <w:tc>
          <w:tcPr>
            <w:tcW w:w="1134" w:type="dxa"/>
            <w:tcBorders>
              <w:top w:val="nil"/>
              <w:left w:val="single" w:sz="4" w:space="0" w:color="auto"/>
              <w:bottom w:val="nil"/>
              <w:right w:val="single" w:sz="4" w:space="0" w:color="auto"/>
            </w:tcBorders>
            <w:noWrap/>
            <w:vAlign w:val="bottom"/>
          </w:tcPr>
          <w:p w14:paraId="413BCDC2" w14:textId="77777777" w:rsidR="00113D31" w:rsidRPr="002A1D42" w:rsidRDefault="00113D31" w:rsidP="0060790C">
            <w:pPr>
              <w:jc w:val="center"/>
              <w:rPr>
                <w:rFonts w:cs="Times New Roman"/>
                <w:color w:val="000000"/>
                <w:sz w:val="20"/>
                <w:szCs w:val="20"/>
              </w:rPr>
            </w:pPr>
            <w:r>
              <w:rPr>
                <w:rFonts w:cs="Times New Roman"/>
                <w:color w:val="000000"/>
                <w:sz w:val="20"/>
                <w:szCs w:val="20"/>
              </w:rPr>
              <w:t>2.6</w:t>
            </w:r>
          </w:p>
        </w:tc>
        <w:tc>
          <w:tcPr>
            <w:tcW w:w="1134" w:type="dxa"/>
            <w:tcBorders>
              <w:top w:val="nil"/>
              <w:left w:val="single" w:sz="4" w:space="0" w:color="auto"/>
              <w:bottom w:val="nil"/>
              <w:right w:val="single" w:sz="4" w:space="0" w:color="auto"/>
            </w:tcBorders>
            <w:noWrap/>
            <w:vAlign w:val="bottom"/>
          </w:tcPr>
          <w:p w14:paraId="2E5154C2" w14:textId="77777777" w:rsidR="00113D31" w:rsidRDefault="00113D31" w:rsidP="0060790C">
            <w:pPr>
              <w:jc w:val="center"/>
              <w:rPr>
                <w:rFonts w:cs="Times New Roman"/>
                <w:color w:val="000000"/>
                <w:sz w:val="20"/>
                <w:szCs w:val="20"/>
              </w:rPr>
            </w:pPr>
            <w:r>
              <w:rPr>
                <w:rFonts w:cs="Times New Roman"/>
                <w:color w:val="000000"/>
                <w:sz w:val="20"/>
                <w:szCs w:val="20"/>
              </w:rPr>
              <w:t>2.6</w:t>
            </w:r>
          </w:p>
        </w:tc>
        <w:tc>
          <w:tcPr>
            <w:tcW w:w="1134" w:type="dxa"/>
            <w:tcBorders>
              <w:top w:val="nil"/>
              <w:left w:val="single" w:sz="4" w:space="0" w:color="auto"/>
              <w:bottom w:val="nil"/>
              <w:right w:val="single" w:sz="4" w:space="0" w:color="auto"/>
            </w:tcBorders>
            <w:noWrap/>
            <w:vAlign w:val="bottom"/>
          </w:tcPr>
          <w:p w14:paraId="012D62AF" w14:textId="77777777" w:rsidR="00113D31" w:rsidRPr="002A1D42" w:rsidRDefault="00113D31" w:rsidP="0060790C">
            <w:pPr>
              <w:jc w:val="center"/>
              <w:rPr>
                <w:rFonts w:cs="Times New Roman"/>
                <w:color w:val="000000"/>
                <w:sz w:val="20"/>
                <w:szCs w:val="20"/>
              </w:rPr>
            </w:pPr>
            <w:r>
              <w:rPr>
                <w:rFonts w:cs="Times New Roman"/>
                <w:color w:val="000000"/>
                <w:sz w:val="20"/>
                <w:szCs w:val="20"/>
              </w:rPr>
              <w:t>2.6</w:t>
            </w:r>
          </w:p>
        </w:tc>
      </w:tr>
      <w:tr w:rsidR="00113D31" w14:paraId="12752325" w14:textId="77777777" w:rsidTr="0060790C">
        <w:trPr>
          <w:trHeight w:val="300"/>
        </w:trPr>
        <w:tc>
          <w:tcPr>
            <w:tcW w:w="5253" w:type="dxa"/>
            <w:tcBorders>
              <w:top w:val="nil"/>
              <w:left w:val="single" w:sz="4" w:space="0" w:color="auto"/>
              <w:bottom w:val="nil"/>
              <w:right w:val="single" w:sz="4" w:space="0" w:color="auto"/>
            </w:tcBorders>
            <w:vAlign w:val="center"/>
          </w:tcPr>
          <w:p w14:paraId="49CD415F" w14:textId="77777777" w:rsidR="00113D31" w:rsidRDefault="00113D31" w:rsidP="0060790C">
            <w:pPr>
              <w:rPr>
                <w:rFonts w:cs="Times New Roman"/>
                <w:color w:val="000000"/>
                <w:sz w:val="20"/>
                <w:szCs w:val="20"/>
              </w:rPr>
            </w:pPr>
            <w:r>
              <w:rPr>
                <w:rFonts w:cs="Times New Roman"/>
                <w:color w:val="000000"/>
                <w:sz w:val="20"/>
                <w:szCs w:val="20"/>
              </w:rPr>
              <w:t>LTA inflation – net impact of A4C pay awards</w:t>
            </w:r>
          </w:p>
        </w:tc>
        <w:tc>
          <w:tcPr>
            <w:tcW w:w="1134" w:type="dxa"/>
            <w:tcBorders>
              <w:top w:val="nil"/>
              <w:left w:val="single" w:sz="4" w:space="0" w:color="auto"/>
              <w:bottom w:val="nil"/>
              <w:right w:val="single" w:sz="4" w:space="0" w:color="auto"/>
            </w:tcBorders>
            <w:noWrap/>
            <w:vAlign w:val="bottom"/>
          </w:tcPr>
          <w:p w14:paraId="6251BBBE" w14:textId="77777777" w:rsidR="00113D31" w:rsidRDefault="00113D31" w:rsidP="0060790C">
            <w:pPr>
              <w:jc w:val="center"/>
              <w:rPr>
                <w:rFonts w:cs="Times New Roman"/>
                <w:color w:val="000000"/>
                <w:sz w:val="20"/>
                <w:szCs w:val="20"/>
              </w:rPr>
            </w:pPr>
            <w:r>
              <w:rPr>
                <w:rFonts w:cs="Times New Roman"/>
                <w:color w:val="000000"/>
                <w:sz w:val="20"/>
                <w:szCs w:val="20"/>
              </w:rPr>
              <w:t>0.4</w:t>
            </w:r>
          </w:p>
        </w:tc>
        <w:tc>
          <w:tcPr>
            <w:tcW w:w="1134" w:type="dxa"/>
            <w:tcBorders>
              <w:top w:val="nil"/>
              <w:left w:val="single" w:sz="4" w:space="0" w:color="auto"/>
              <w:bottom w:val="nil"/>
              <w:right w:val="single" w:sz="4" w:space="0" w:color="auto"/>
            </w:tcBorders>
            <w:noWrap/>
            <w:vAlign w:val="bottom"/>
          </w:tcPr>
          <w:p w14:paraId="749C46E1" w14:textId="77777777" w:rsidR="00113D31" w:rsidRDefault="00113D31" w:rsidP="0060790C">
            <w:pPr>
              <w:jc w:val="center"/>
              <w:rPr>
                <w:rFonts w:cs="Times New Roman"/>
                <w:color w:val="000000"/>
                <w:sz w:val="20"/>
                <w:szCs w:val="20"/>
              </w:rPr>
            </w:pPr>
            <w:r>
              <w:rPr>
                <w:rFonts w:cs="Times New Roman"/>
                <w:color w:val="000000"/>
                <w:sz w:val="20"/>
                <w:szCs w:val="20"/>
              </w:rPr>
              <w:t>0.4</w:t>
            </w:r>
          </w:p>
        </w:tc>
        <w:tc>
          <w:tcPr>
            <w:tcW w:w="1134" w:type="dxa"/>
            <w:tcBorders>
              <w:top w:val="nil"/>
              <w:left w:val="single" w:sz="4" w:space="0" w:color="auto"/>
              <w:bottom w:val="nil"/>
              <w:right w:val="single" w:sz="4" w:space="0" w:color="auto"/>
            </w:tcBorders>
            <w:noWrap/>
            <w:vAlign w:val="bottom"/>
          </w:tcPr>
          <w:p w14:paraId="2A58244B" w14:textId="77777777" w:rsidR="00113D31" w:rsidRDefault="00113D31" w:rsidP="0060790C">
            <w:pPr>
              <w:jc w:val="center"/>
              <w:rPr>
                <w:rFonts w:cs="Times New Roman"/>
                <w:color w:val="000000"/>
                <w:sz w:val="20"/>
                <w:szCs w:val="20"/>
              </w:rPr>
            </w:pPr>
            <w:r>
              <w:rPr>
                <w:rFonts w:cs="Times New Roman"/>
                <w:color w:val="000000"/>
                <w:sz w:val="20"/>
                <w:szCs w:val="20"/>
              </w:rPr>
              <w:t>0.4</w:t>
            </w:r>
          </w:p>
        </w:tc>
      </w:tr>
      <w:tr w:rsidR="00113D31" w14:paraId="64154C4A" w14:textId="77777777" w:rsidTr="0060790C">
        <w:trPr>
          <w:trHeight w:val="300"/>
        </w:trPr>
        <w:tc>
          <w:tcPr>
            <w:tcW w:w="5253" w:type="dxa"/>
            <w:tcBorders>
              <w:top w:val="single" w:sz="4" w:space="0" w:color="auto"/>
              <w:left w:val="single" w:sz="4" w:space="0" w:color="auto"/>
              <w:bottom w:val="single" w:sz="4" w:space="0" w:color="auto"/>
              <w:right w:val="single" w:sz="4" w:space="0" w:color="auto"/>
            </w:tcBorders>
            <w:vAlign w:val="center"/>
            <w:hideMark/>
          </w:tcPr>
          <w:p w14:paraId="32D20A60" w14:textId="77777777" w:rsidR="00113D31" w:rsidRPr="002A1D42" w:rsidRDefault="00113D31" w:rsidP="0060790C">
            <w:pPr>
              <w:rPr>
                <w:rFonts w:cs="Times New Roman"/>
                <w:b/>
                <w:bCs/>
                <w:color w:val="000000"/>
                <w:sz w:val="20"/>
                <w:szCs w:val="20"/>
              </w:rPr>
            </w:pPr>
            <w:r w:rsidRPr="002A1D42">
              <w:rPr>
                <w:rFonts w:cs="Times New Roman"/>
                <w:b/>
                <w:bCs/>
                <w:color w:val="000000"/>
                <w:sz w:val="20"/>
                <w:szCs w:val="20"/>
              </w:rPr>
              <w:t>Subtotal</w:t>
            </w:r>
          </w:p>
        </w:tc>
        <w:tc>
          <w:tcPr>
            <w:tcW w:w="1134" w:type="dxa"/>
            <w:tcBorders>
              <w:top w:val="single" w:sz="4" w:space="0" w:color="auto"/>
              <w:left w:val="single" w:sz="4" w:space="0" w:color="auto"/>
              <w:bottom w:val="single" w:sz="4" w:space="0" w:color="auto"/>
              <w:right w:val="single" w:sz="4" w:space="0" w:color="auto"/>
            </w:tcBorders>
            <w:noWrap/>
            <w:vAlign w:val="bottom"/>
            <w:hideMark/>
          </w:tcPr>
          <w:p w14:paraId="3EE4C6BD" w14:textId="77777777" w:rsidR="00113D31" w:rsidRPr="002A1D42" w:rsidRDefault="00113D31" w:rsidP="0060790C">
            <w:pPr>
              <w:jc w:val="center"/>
              <w:rPr>
                <w:rFonts w:cs="Times New Roman"/>
                <w:b/>
                <w:bCs/>
                <w:color w:val="000000"/>
                <w:sz w:val="20"/>
                <w:szCs w:val="20"/>
              </w:rPr>
            </w:pPr>
            <w:r w:rsidRPr="002A1D42">
              <w:rPr>
                <w:rFonts w:cs="Times New Roman"/>
                <w:b/>
                <w:bCs/>
                <w:color w:val="000000"/>
                <w:sz w:val="20"/>
                <w:szCs w:val="20"/>
              </w:rPr>
              <w:t>2</w:t>
            </w:r>
            <w:r>
              <w:rPr>
                <w:rFonts w:cs="Times New Roman"/>
                <w:b/>
                <w:bCs/>
                <w:color w:val="000000"/>
                <w:sz w:val="20"/>
                <w:szCs w:val="20"/>
              </w:rPr>
              <w:t>3.1</w:t>
            </w:r>
          </w:p>
        </w:tc>
        <w:tc>
          <w:tcPr>
            <w:tcW w:w="1134" w:type="dxa"/>
            <w:tcBorders>
              <w:top w:val="single" w:sz="4" w:space="0" w:color="auto"/>
              <w:left w:val="single" w:sz="4" w:space="0" w:color="auto"/>
              <w:bottom w:val="single" w:sz="4" w:space="0" w:color="auto"/>
              <w:right w:val="single" w:sz="4" w:space="0" w:color="auto"/>
            </w:tcBorders>
            <w:noWrap/>
            <w:vAlign w:val="bottom"/>
          </w:tcPr>
          <w:p w14:paraId="69A90D89" w14:textId="77777777" w:rsidR="00113D31" w:rsidRPr="002A1D42" w:rsidRDefault="00113D31" w:rsidP="0060790C">
            <w:pPr>
              <w:jc w:val="center"/>
              <w:rPr>
                <w:rFonts w:cs="Times New Roman"/>
                <w:b/>
                <w:bCs/>
                <w:color w:val="000000"/>
                <w:sz w:val="20"/>
                <w:szCs w:val="20"/>
              </w:rPr>
            </w:pPr>
            <w:r>
              <w:rPr>
                <w:rFonts w:cs="Times New Roman"/>
                <w:b/>
                <w:bCs/>
                <w:color w:val="000000"/>
                <w:sz w:val="20"/>
                <w:szCs w:val="20"/>
              </w:rPr>
              <w:t>23.1</w:t>
            </w:r>
          </w:p>
        </w:tc>
        <w:tc>
          <w:tcPr>
            <w:tcW w:w="1134" w:type="dxa"/>
            <w:tcBorders>
              <w:top w:val="single" w:sz="4" w:space="0" w:color="auto"/>
              <w:left w:val="single" w:sz="4" w:space="0" w:color="auto"/>
              <w:bottom w:val="single" w:sz="4" w:space="0" w:color="auto"/>
              <w:right w:val="single" w:sz="4" w:space="0" w:color="auto"/>
            </w:tcBorders>
            <w:noWrap/>
            <w:vAlign w:val="bottom"/>
          </w:tcPr>
          <w:p w14:paraId="1579288C" w14:textId="77777777" w:rsidR="00113D31" w:rsidRPr="002A1D42" w:rsidRDefault="00113D31" w:rsidP="0060790C">
            <w:pPr>
              <w:jc w:val="center"/>
              <w:rPr>
                <w:rFonts w:cs="Times New Roman"/>
                <w:b/>
                <w:bCs/>
                <w:color w:val="000000"/>
                <w:sz w:val="20"/>
                <w:szCs w:val="20"/>
              </w:rPr>
            </w:pPr>
            <w:r>
              <w:rPr>
                <w:rFonts w:cs="Times New Roman"/>
                <w:b/>
                <w:bCs/>
                <w:color w:val="000000"/>
                <w:sz w:val="20"/>
                <w:szCs w:val="20"/>
              </w:rPr>
              <w:t>22.7</w:t>
            </w:r>
          </w:p>
        </w:tc>
      </w:tr>
      <w:tr w:rsidR="00113D31" w14:paraId="3A65154A" w14:textId="77777777" w:rsidTr="0060790C">
        <w:trPr>
          <w:trHeight w:val="300"/>
        </w:trPr>
        <w:tc>
          <w:tcPr>
            <w:tcW w:w="5253" w:type="dxa"/>
            <w:tcBorders>
              <w:top w:val="nil"/>
              <w:left w:val="single" w:sz="4" w:space="0" w:color="auto"/>
              <w:bottom w:val="nil"/>
              <w:right w:val="single" w:sz="4" w:space="0" w:color="auto"/>
            </w:tcBorders>
            <w:vAlign w:val="center"/>
            <w:hideMark/>
          </w:tcPr>
          <w:p w14:paraId="201C8D06" w14:textId="77777777" w:rsidR="00113D31" w:rsidRPr="002A1D42" w:rsidRDefault="00113D31" w:rsidP="0060790C">
            <w:pPr>
              <w:rPr>
                <w:rFonts w:cs="Times New Roman"/>
                <w:b/>
                <w:bCs/>
                <w:color w:val="000000"/>
                <w:sz w:val="20"/>
                <w:szCs w:val="20"/>
              </w:rPr>
            </w:pPr>
            <w:r w:rsidRPr="002A1D42">
              <w:rPr>
                <w:rFonts w:cs="Times New Roman"/>
                <w:b/>
                <w:bCs/>
                <w:color w:val="000000"/>
                <w:sz w:val="20"/>
                <w:szCs w:val="20"/>
              </w:rPr>
              <w:t>Service and demand pressures</w:t>
            </w:r>
          </w:p>
        </w:tc>
        <w:tc>
          <w:tcPr>
            <w:tcW w:w="1134" w:type="dxa"/>
            <w:tcBorders>
              <w:top w:val="nil"/>
              <w:left w:val="single" w:sz="4" w:space="0" w:color="auto"/>
              <w:bottom w:val="nil"/>
              <w:right w:val="single" w:sz="4" w:space="0" w:color="auto"/>
            </w:tcBorders>
            <w:noWrap/>
            <w:vAlign w:val="center"/>
            <w:hideMark/>
          </w:tcPr>
          <w:p w14:paraId="025AE65E" w14:textId="77777777" w:rsidR="00113D31" w:rsidRPr="002A1D42" w:rsidRDefault="00113D31" w:rsidP="0060790C">
            <w:pPr>
              <w:jc w:val="left"/>
              <w:rPr>
                <w:rFonts w:ascii="Times New Roman" w:hAnsi="Times New Roman" w:cs="Times New Roman"/>
                <w:sz w:val="20"/>
                <w:szCs w:val="20"/>
              </w:rPr>
            </w:pPr>
          </w:p>
        </w:tc>
        <w:tc>
          <w:tcPr>
            <w:tcW w:w="1134" w:type="dxa"/>
            <w:tcBorders>
              <w:top w:val="nil"/>
              <w:left w:val="single" w:sz="4" w:space="0" w:color="auto"/>
              <w:bottom w:val="nil"/>
              <w:right w:val="single" w:sz="4" w:space="0" w:color="auto"/>
            </w:tcBorders>
            <w:noWrap/>
            <w:vAlign w:val="bottom"/>
            <w:hideMark/>
          </w:tcPr>
          <w:p w14:paraId="744446B0" w14:textId="77777777" w:rsidR="00113D31" w:rsidRPr="002A1D42" w:rsidRDefault="00113D31" w:rsidP="0060790C">
            <w:pPr>
              <w:jc w:val="left"/>
              <w:rPr>
                <w:rFonts w:ascii="Times New Roman" w:hAnsi="Times New Roman" w:cs="Times New Roman"/>
                <w:sz w:val="20"/>
                <w:szCs w:val="20"/>
              </w:rPr>
            </w:pPr>
          </w:p>
        </w:tc>
        <w:tc>
          <w:tcPr>
            <w:tcW w:w="1134" w:type="dxa"/>
            <w:tcBorders>
              <w:top w:val="nil"/>
              <w:left w:val="single" w:sz="4" w:space="0" w:color="auto"/>
              <w:bottom w:val="nil"/>
              <w:right w:val="single" w:sz="4" w:space="0" w:color="auto"/>
            </w:tcBorders>
            <w:noWrap/>
            <w:vAlign w:val="bottom"/>
            <w:hideMark/>
          </w:tcPr>
          <w:p w14:paraId="7A58C406" w14:textId="77777777" w:rsidR="00113D31" w:rsidRPr="002A1D42" w:rsidRDefault="00113D31" w:rsidP="0060790C">
            <w:pPr>
              <w:jc w:val="center"/>
              <w:rPr>
                <w:rFonts w:cs="Times New Roman"/>
                <w:color w:val="000000"/>
                <w:sz w:val="20"/>
                <w:szCs w:val="20"/>
              </w:rPr>
            </w:pPr>
            <w:r w:rsidRPr="002A1D42">
              <w:rPr>
                <w:rFonts w:cs="Times New Roman"/>
                <w:color w:val="000000"/>
                <w:sz w:val="20"/>
                <w:szCs w:val="20"/>
              </w:rPr>
              <w:t> </w:t>
            </w:r>
          </w:p>
        </w:tc>
      </w:tr>
      <w:tr w:rsidR="00113D31" w14:paraId="48686B76" w14:textId="77777777" w:rsidTr="0060790C">
        <w:trPr>
          <w:trHeight w:val="300"/>
        </w:trPr>
        <w:tc>
          <w:tcPr>
            <w:tcW w:w="5253" w:type="dxa"/>
            <w:tcBorders>
              <w:top w:val="nil"/>
              <w:left w:val="single" w:sz="4" w:space="0" w:color="auto"/>
              <w:bottom w:val="nil"/>
              <w:right w:val="single" w:sz="4" w:space="0" w:color="auto"/>
            </w:tcBorders>
            <w:vAlign w:val="center"/>
            <w:hideMark/>
          </w:tcPr>
          <w:p w14:paraId="52EE7C24" w14:textId="77777777" w:rsidR="00113D31" w:rsidRPr="002A1D42" w:rsidRDefault="00113D31" w:rsidP="0060790C">
            <w:pPr>
              <w:rPr>
                <w:rFonts w:cs="Times New Roman"/>
                <w:color w:val="000000"/>
                <w:sz w:val="20"/>
                <w:szCs w:val="20"/>
              </w:rPr>
            </w:pPr>
            <w:r w:rsidRPr="002A1D42">
              <w:rPr>
                <w:rFonts w:cs="Times New Roman"/>
                <w:color w:val="000000"/>
                <w:sz w:val="20"/>
                <w:szCs w:val="20"/>
              </w:rPr>
              <w:t>CHC growth</w:t>
            </w:r>
          </w:p>
        </w:tc>
        <w:tc>
          <w:tcPr>
            <w:tcW w:w="1134" w:type="dxa"/>
            <w:tcBorders>
              <w:top w:val="nil"/>
              <w:left w:val="single" w:sz="4" w:space="0" w:color="auto"/>
              <w:bottom w:val="nil"/>
              <w:right w:val="single" w:sz="4" w:space="0" w:color="auto"/>
            </w:tcBorders>
            <w:noWrap/>
            <w:vAlign w:val="bottom"/>
            <w:hideMark/>
          </w:tcPr>
          <w:p w14:paraId="221D5D20" w14:textId="77777777" w:rsidR="00113D31" w:rsidRPr="002A1D42" w:rsidRDefault="00113D31" w:rsidP="0060790C">
            <w:pPr>
              <w:jc w:val="center"/>
              <w:rPr>
                <w:rFonts w:cs="Times New Roman"/>
                <w:color w:val="000000"/>
                <w:sz w:val="20"/>
                <w:szCs w:val="20"/>
              </w:rPr>
            </w:pPr>
            <w:r>
              <w:rPr>
                <w:rFonts w:cs="Times New Roman"/>
                <w:color w:val="000000"/>
                <w:sz w:val="20"/>
                <w:szCs w:val="20"/>
              </w:rPr>
              <w:t>1.1</w:t>
            </w:r>
          </w:p>
        </w:tc>
        <w:tc>
          <w:tcPr>
            <w:tcW w:w="1134" w:type="dxa"/>
            <w:tcBorders>
              <w:top w:val="nil"/>
              <w:left w:val="single" w:sz="4" w:space="0" w:color="auto"/>
              <w:bottom w:val="nil"/>
              <w:right w:val="single" w:sz="4" w:space="0" w:color="auto"/>
            </w:tcBorders>
            <w:noWrap/>
            <w:vAlign w:val="bottom"/>
          </w:tcPr>
          <w:p w14:paraId="5B8A6B9E" w14:textId="77777777" w:rsidR="00113D31" w:rsidRPr="002A1D42" w:rsidRDefault="00113D31" w:rsidP="0060790C">
            <w:pPr>
              <w:jc w:val="center"/>
              <w:rPr>
                <w:rFonts w:cs="Times New Roman"/>
                <w:color w:val="000000"/>
                <w:sz w:val="20"/>
                <w:szCs w:val="20"/>
              </w:rPr>
            </w:pPr>
            <w:r>
              <w:rPr>
                <w:rFonts w:cs="Times New Roman"/>
                <w:color w:val="000000"/>
                <w:sz w:val="20"/>
                <w:szCs w:val="20"/>
              </w:rPr>
              <w:t>1.1</w:t>
            </w:r>
          </w:p>
        </w:tc>
        <w:tc>
          <w:tcPr>
            <w:tcW w:w="1134" w:type="dxa"/>
            <w:tcBorders>
              <w:top w:val="nil"/>
              <w:left w:val="single" w:sz="4" w:space="0" w:color="auto"/>
              <w:bottom w:val="nil"/>
              <w:right w:val="single" w:sz="4" w:space="0" w:color="auto"/>
            </w:tcBorders>
            <w:noWrap/>
            <w:vAlign w:val="bottom"/>
          </w:tcPr>
          <w:p w14:paraId="684F61D1" w14:textId="77777777" w:rsidR="00113D31" w:rsidRPr="002A1D42" w:rsidRDefault="00113D31" w:rsidP="0060790C">
            <w:pPr>
              <w:jc w:val="center"/>
              <w:rPr>
                <w:rFonts w:cs="Times New Roman"/>
                <w:color w:val="000000"/>
                <w:sz w:val="20"/>
                <w:szCs w:val="20"/>
              </w:rPr>
            </w:pPr>
            <w:r>
              <w:rPr>
                <w:rFonts w:cs="Times New Roman"/>
                <w:color w:val="000000"/>
                <w:sz w:val="20"/>
                <w:szCs w:val="20"/>
              </w:rPr>
              <w:t>1.1</w:t>
            </w:r>
          </w:p>
        </w:tc>
      </w:tr>
      <w:tr w:rsidR="00113D31" w14:paraId="3A8E4B17" w14:textId="77777777" w:rsidTr="0060790C">
        <w:trPr>
          <w:trHeight w:val="300"/>
        </w:trPr>
        <w:tc>
          <w:tcPr>
            <w:tcW w:w="5253" w:type="dxa"/>
            <w:tcBorders>
              <w:top w:val="nil"/>
              <w:left w:val="single" w:sz="4" w:space="0" w:color="auto"/>
              <w:bottom w:val="nil"/>
              <w:right w:val="single" w:sz="4" w:space="0" w:color="auto"/>
            </w:tcBorders>
            <w:vAlign w:val="center"/>
            <w:hideMark/>
          </w:tcPr>
          <w:p w14:paraId="68EF7438" w14:textId="77777777" w:rsidR="00113D31" w:rsidRPr="002A1D42" w:rsidRDefault="00113D31" w:rsidP="0060790C">
            <w:pPr>
              <w:rPr>
                <w:rFonts w:cs="Times New Roman"/>
                <w:color w:val="000000"/>
                <w:sz w:val="20"/>
                <w:szCs w:val="20"/>
              </w:rPr>
            </w:pPr>
            <w:r w:rsidRPr="002A1D42">
              <w:rPr>
                <w:rFonts w:cs="Times New Roman"/>
                <w:color w:val="000000"/>
                <w:sz w:val="20"/>
                <w:szCs w:val="20"/>
              </w:rPr>
              <w:t>Primary care prescribing</w:t>
            </w:r>
            <w:r>
              <w:rPr>
                <w:rFonts w:cs="Times New Roman"/>
                <w:color w:val="000000"/>
                <w:sz w:val="20"/>
                <w:szCs w:val="20"/>
              </w:rPr>
              <w:t xml:space="preserve"> </w:t>
            </w:r>
          </w:p>
        </w:tc>
        <w:tc>
          <w:tcPr>
            <w:tcW w:w="1134" w:type="dxa"/>
            <w:tcBorders>
              <w:top w:val="nil"/>
              <w:left w:val="single" w:sz="4" w:space="0" w:color="auto"/>
              <w:bottom w:val="nil"/>
              <w:right w:val="single" w:sz="4" w:space="0" w:color="auto"/>
            </w:tcBorders>
            <w:noWrap/>
            <w:vAlign w:val="bottom"/>
            <w:hideMark/>
          </w:tcPr>
          <w:p w14:paraId="454A66D4" w14:textId="77777777" w:rsidR="00113D31" w:rsidRPr="002A1D42" w:rsidRDefault="00113D31" w:rsidP="0060790C">
            <w:pPr>
              <w:jc w:val="center"/>
              <w:rPr>
                <w:rFonts w:cs="Times New Roman"/>
                <w:color w:val="000000"/>
                <w:sz w:val="20"/>
                <w:szCs w:val="20"/>
              </w:rPr>
            </w:pPr>
            <w:r>
              <w:rPr>
                <w:rFonts w:cs="Times New Roman"/>
                <w:color w:val="000000"/>
                <w:sz w:val="20"/>
                <w:szCs w:val="20"/>
              </w:rPr>
              <w:t>4.0</w:t>
            </w:r>
          </w:p>
        </w:tc>
        <w:tc>
          <w:tcPr>
            <w:tcW w:w="1134" w:type="dxa"/>
            <w:tcBorders>
              <w:top w:val="nil"/>
              <w:left w:val="single" w:sz="4" w:space="0" w:color="auto"/>
              <w:bottom w:val="nil"/>
              <w:right w:val="single" w:sz="4" w:space="0" w:color="auto"/>
            </w:tcBorders>
            <w:noWrap/>
            <w:vAlign w:val="bottom"/>
          </w:tcPr>
          <w:p w14:paraId="5257AEBA" w14:textId="77777777" w:rsidR="00113D31" w:rsidRPr="002A1D42" w:rsidRDefault="00113D31" w:rsidP="0060790C">
            <w:pPr>
              <w:jc w:val="center"/>
              <w:rPr>
                <w:rFonts w:cs="Times New Roman"/>
                <w:color w:val="000000"/>
                <w:sz w:val="20"/>
                <w:szCs w:val="20"/>
              </w:rPr>
            </w:pPr>
            <w:r>
              <w:rPr>
                <w:rFonts w:cs="Times New Roman"/>
                <w:color w:val="000000"/>
                <w:sz w:val="20"/>
                <w:szCs w:val="20"/>
              </w:rPr>
              <w:t>4.0</w:t>
            </w:r>
          </w:p>
        </w:tc>
        <w:tc>
          <w:tcPr>
            <w:tcW w:w="1134" w:type="dxa"/>
            <w:tcBorders>
              <w:top w:val="nil"/>
              <w:left w:val="single" w:sz="4" w:space="0" w:color="auto"/>
              <w:bottom w:val="nil"/>
              <w:right w:val="single" w:sz="4" w:space="0" w:color="auto"/>
            </w:tcBorders>
            <w:noWrap/>
            <w:vAlign w:val="bottom"/>
          </w:tcPr>
          <w:p w14:paraId="08D6FC00" w14:textId="77777777" w:rsidR="00113D31" w:rsidRPr="002A1D42" w:rsidRDefault="00113D31" w:rsidP="0060790C">
            <w:pPr>
              <w:jc w:val="center"/>
              <w:rPr>
                <w:rFonts w:cs="Times New Roman"/>
                <w:color w:val="000000"/>
                <w:sz w:val="20"/>
                <w:szCs w:val="20"/>
              </w:rPr>
            </w:pPr>
            <w:r>
              <w:rPr>
                <w:rFonts w:cs="Times New Roman"/>
                <w:color w:val="000000"/>
                <w:sz w:val="20"/>
                <w:szCs w:val="20"/>
              </w:rPr>
              <w:t>4.0</w:t>
            </w:r>
          </w:p>
        </w:tc>
      </w:tr>
      <w:tr w:rsidR="00113D31" w14:paraId="7E80D372" w14:textId="77777777" w:rsidTr="0060790C">
        <w:trPr>
          <w:trHeight w:val="300"/>
        </w:trPr>
        <w:tc>
          <w:tcPr>
            <w:tcW w:w="5253" w:type="dxa"/>
            <w:tcBorders>
              <w:top w:val="nil"/>
              <w:left w:val="single" w:sz="4" w:space="0" w:color="auto"/>
              <w:bottom w:val="nil"/>
              <w:right w:val="single" w:sz="4" w:space="0" w:color="auto"/>
            </w:tcBorders>
            <w:vAlign w:val="center"/>
            <w:hideMark/>
          </w:tcPr>
          <w:p w14:paraId="7FE388F1" w14:textId="77777777" w:rsidR="00113D31" w:rsidRPr="002A1D42" w:rsidRDefault="00113D31" w:rsidP="0060790C">
            <w:pPr>
              <w:rPr>
                <w:rFonts w:cs="Times New Roman"/>
                <w:color w:val="000000"/>
                <w:sz w:val="20"/>
                <w:szCs w:val="20"/>
              </w:rPr>
            </w:pPr>
            <w:r w:rsidRPr="002A1D42">
              <w:rPr>
                <w:rFonts w:cs="Times New Roman"/>
                <w:color w:val="000000"/>
                <w:sz w:val="20"/>
                <w:szCs w:val="20"/>
              </w:rPr>
              <w:t>Community pharmacy</w:t>
            </w:r>
          </w:p>
        </w:tc>
        <w:tc>
          <w:tcPr>
            <w:tcW w:w="1134" w:type="dxa"/>
            <w:tcBorders>
              <w:top w:val="nil"/>
              <w:left w:val="single" w:sz="4" w:space="0" w:color="auto"/>
              <w:bottom w:val="nil"/>
              <w:right w:val="single" w:sz="4" w:space="0" w:color="auto"/>
            </w:tcBorders>
            <w:noWrap/>
            <w:vAlign w:val="bottom"/>
            <w:hideMark/>
          </w:tcPr>
          <w:p w14:paraId="570992B7" w14:textId="77777777" w:rsidR="00113D31" w:rsidRPr="002A1D42" w:rsidRDefault="00113D31" w:rsidP="0060790C">
            <w:pPr>
              <w:jc w:val="center"/>
              <w:rPr>
                <w:rFonts w:cs="Times New Roman"/>
                <w:color w:val="000000"/>
                <w:sz w:val="20"/>
                <w:szCs w:val="20"/>
              </w:rPr>
            </w:pPr>
            <w:r w:rsidRPr="002A1D42">
              <w:rPr>
                <w:rFonts w:cs="Times New Roman"/>
                <w:color w:val="000000"/>
                <w:sz w:val="20"/>
                <w:szCs w:val="20"/>
              </w:rPr>
              <w:t>0</w:t>
            </w:r>
          </w:p>
        </w:tc>
        <w:tc>
          <w:tcPr>
            <w:tcW w:w="1134" w:type="dxa"/>
            <w:tcBorders>
              <w:top w:val="nil"/>
              <w:left w:val="single" w:sz="4" w:space="0" w:color="auto"/>
              <w:bottom w:val="nil"/>
              <w:right w:val="single" w:sz="4" w:space="0" w:color="auto"/>
            </w:tcBorders>
            <w:noWrap/>
            <w:vAlign w:val="bottom"/>
          </w:tcPr>
          <w:p w14:paraId="254E586A" w14:textId="77777777" w:rsidR="00113D31" w:rsidRPr="002A1D42" w:rsidRDefault="00113D31" w:rsidP="0060790C">
            <w:pPr>
              <w:jc w:val="center"/>
              <w:rPr>
                <w:rFonts w:cs="Times New Roman"/>
                <w:color w:val="000000"/>
                <w:sz w:val="20"/>
                <w:szCs w:val="20"/>
              </w:rPr>
            </w:pPr>
            <w:r w:rsidRPr="002A1D42">
              <w:rPr>
                <w:rFonts w:cs="Times New Roman"/>
                <w:color w:val="000000"/>
                <w:sz w:val="20"/>
                <w:szCs w:val="20"/>
              </w:rPr>
              <w:t>0</w:t>
            </w:r>
          </w:p>
        </w:tc>
        <w:tc>
          <w:tcPr>
            <w:tcW w:w="1134" w:type="dxa"/>
            <w:tcBorders>
              <w:top w:val="nil"/>
              <w:left w:val="single" w:sz="4" w:space="0" w:color="auto"/>
              <w:bottom w:val="nil"/>
              <w:right w:val="single" w:sz="4" w:space="0" w:color="auto"/>
            </w:tcBorders>
            <w:noWrap/>
            <w:vAlign w:val="bottom"/>
          </w:tcPr>
          <w:p w14:paraId="49A29D7E" w14:textId="77777777" w:rsidR="00113D31" w:rsidRPr="002A1D42" w:rsidRDefault="00113D31" w:rsidP="0060790C">
            <w:pPr>
              <w:jc w:val="center"/>
              <w:rPr>
                <w:rFonts w:cs="Times New Roman"/>
                <w:color w:val="000000"/>
                <w:sz w:val="20"/>
                <w:szCs w:val="20"/>
              </w:rPr>
            </w:pPr>
            <w:r w:rsidRPr="002A1D42">
              <w:rPr>
                <w:rFonts w:cs="Times New Roman"/>
                <w:color w:val="000000"/>
                <w:sz w:val="20"/>
                <w:szCs w:val="20"/>
              </w:rPr>
              <w:t>0</w:t>
            </w:r>
          </w:p>
        </w:tc>
      </w:tr>
      <w:tr w:rsidR="00113D31" w14:paraId="013AB38C" w14:textId="77777777" w:rsidTr="0060790C">
        <w:trPr>
          <w:trHeight w:val="300"/>
        </w:trPr>
        <w:tc>
          <w:tcPr>
            <w:tcW w:w="5253" w:type="dxa"/>
            <w:tcBorders>
              <w:top w:val="nil"/>
              <w:left w:val="single" w:sz="4" w:space="0" w:color="auto"/>
              <w:bottom w:val="nil"/>
              <w:right w:val="single" w:sz="4" w:space="0" w:color="auto"/>
            </w:tcBorders>
            <w:vAlign w:val="center"/>
            <w:hideMark/>
          </w:tcPr>
          <w:p w14:paraId="2F3CB31A" w14:textId="77777777" w:rsidR="00113D31" w:rsidRPr="001438CD" w:rsidRDefault="00113D31" w:rsidP="0060790C">
            <w:pPr>
              <w:rPr>
                <w:rFonts w:cs="Times New Roman"/>
                <w:color w:val="000000"/>
                <w:sz w:val="20"/>
                <w:szCs w:val="20"/>
              </w:rPr>
            </w:pPr>
            <w:r w:rsidRPr="001438CD">
              <w:rPr>
                <w:rFonts w:cs="Times New Roman"/>
                <w:color w:val="000000"/>
                <w:sz w:val="20"/>
                <w:szCs w:val="20"/>
              </w:rPr>
              <w:t>NICE</w:t>
            </w:r>
          </w:p>
          <w:p w14:paraId="46AFBB7F" w14:textId="77777777" w:rsidR="00113D31" w:rsidRPr="001438CD" w:rsidRDefault="00113D31" w:rsidP="0060790C">
            <w:pPr>
              <w:rPr>
                <w:rFonts w:cs="Times New Roman"/>
                <w:color w:val="000000"/>
                <w:sz w:val="20"/>
                <w:szCs w:val="20"/>
              </w:rPr>
            </w:pPr>
            <w:r w:rsidRPr="001438CD">
              <w:rPr>
                <w:rFonts w:cs="Times New Roman"/>
                <w:color w:val="000000"/>
                <w:sz w:val="20"/>
                <w:szCs w:val="20"/>
              </w:rPr>
              <w:t>Nurse Staffing Act</w:t>
            </w:r>
          </w:p>
        </w:tc>
        <w:tc>
          <w:tcPr>
            <w:tcW w:w="1134" w:type="dxa"/>
            <w:tcBorders>
              <w:top w:val="nil"/>
              <w:left w:val="single" w:sz="4" w:space="0" w:color="auto"/>
              <w:bottom w:val="nil"/>
              <w:right w:val="single" w:sz="4" w:space="0" w:color="auto"/>
            </w:tcBorders>
            <w:noWrap/>
            <w:vAlign w:val="bottom"/>
            <w:hideMark/>
          </w:tcPr>
          <w:p w14:paraId="5EB8C2D0" w14:textId="77777777" w:rsidR="00113D31" w:rsidRPr="001438CD" w:rsidRDefault="00113D31" w:rsidP="0060790C">
            <w:pPr>
              <w:jc w:val="center"/>
              <w:rPr>
                <w:rFonts w:cs="Times New Roman"/>
                <w:color w:val="000000"/>
                <w:sz w:val="20"/>
                <w:szCs w:val="20"/>
              </w:rPr>
            </w:pPr>
            <w:r w:rsidRPr="001438CD">
              <w:rPr>
                <w:rFonts w:cs="Times New Roman"/>
                <w:color w:val="000000"/>
                <w:sz w:val="20"/>
                <w:szCs w:val="20"/>
              </w:rPr>
              <w:t>3.</w:t>
            </w:r>
            <w:r>
              <w:rPr>
                <w:rFonts w:cs="Times New Roman"/>
                <w:color w:val="000000"/>
                <w:sz w:val="20"/>
                <w:szCs w:val="20"/>
              </w:rPr>
              <w:t>0</w:t>
            </w:r>
          </w:p>
          <w:p w14:paraId="711690EF" w14:textId="77777777" w:rsidR="00113D31" w:rsidRPr="001438CD" w:rsidRDefault="00113D31" w:rsidP="0060790C">
            <w:pPr>
              <w:jc w:val="center"/>
              <w:rPr>
                <w:rFonts w:cs="Times New Roman"/>
                <w:color w:val="000000"/>
                <w:sz w:val="20"/>
                <w:szCs w:val="20"/>
              </w:rPr>
            </w:pPr>
            <w:r>
              <w:rPr>
                <w:rFonts w:cs="Times New Roman"/>
                <w:color w:val="000000"/>
                <w:sz w:val="20"/>
                <w:szCs w:val="20"/>
              </w:rPr>
              <w:t>0</w:t>
            </w:r>
          </w:p>
        </w:tc>
        <w:tc>
          <w:tcPr>
            <w:tcW w:w="1134" w:type="dxa"/>
            <w:tcBorders>
              <w:top w:val="nil"/>
              <w:left w:val="single" w:sz="4" w:space="0" w:color="auto"/>
              <w:bottom w:val="nil"/>
              <w:right w:val="single" w:sz="4" w:space="0" w:color="auto"/>
            </w:tcBorders>
            <w:noWrap/>
            <w:vAlign w:val="bottom"/>
          </w:tcPr>
          <w:p w14:paraId="09C305D5" w14:textId="77777777" w:rsidR="00113D31" w:rsidRPr="001438CD" w:rsidRDefault="00113D31" w:rsidP="0060790C">
            <w:pPr>
              <w:jc w:val="center"/>
              <w:rPr>
                <w:rFonts w:cs="Times New Roman"/>
                <w:color w:val="000000"/>
                <w:sz w:val="20"/>
                <w:szCs w:val="20"/>
              </w:rPr>
            </w:pPr>
            <w:r w:rsidRPr="001438CD">
              <w:rPr>
                <w:rFonts w:cs="Times New Roman"/>
                <w:color w:val="000000"/>
                <w:sz w:val="20"/>
                <w:szCs w:val="20"/>
              </w:rPr>
              <w:t>3.</w:t>
            </w:r>
            <w:r>
              <w:rPr>
                <w:rFonts w:cs="Times New Roman"/>
                <w:color w:val="000000"/>
                <w:sz w:val="20"/>
                <w:szCs w:val="20"/>
              </w:rPr>
              <w:t>0</w:t>
            </w:r>
          </w:p>
          <w:p w14:paraId="19C36A2A" w14:textId="77777777" w:rsidR="00113D31" w:rsidRPr="001438CD" w:rsidRDefault="00113D31" w:rsidP="0060790C">
            <w:pPr>
              <w:jc w:val="center"/>
              <w:rPr>
                <w:rFonts w:cs="Times New Roman"/>
                <w:color w:val="000000"/>
                <w:sz w:val="20"/>
                <w:szCs w:val="20"/>
              </w:rPr>
            </w:pPr>
            <w:r>
              <w:rPr>
                <w:rFonts w:cs="Times New Roman"/>
                <w:color w:val="000000"/>
                <w:sz w:val="20"/>
                <w:szCs w:val="20"/>
              </w:rPr>
              <w:t>0</w:t>
            </w:r>
          </w:p>
        </w:tc>
        <w:tc>
          <w:tcPr>
            <w:tcW w:w="1134" w:type="dxa"/>
            <w:tcBorders>
              <w:top w:val="nil"/>
              <w:left w:val="single" w:sz="4" w:space="0" w:color="auto"/>
              <w:bottom w:val="nil"/>
              <w:right w:val="single" w:sz="4" w:space="0" w:color="auto"/>
            </w:tcBorders>
            <w:noWrap/>
            <w:vAlign w:val="bottom"/>
          </w:tcPr>
          <w:p w14:paraId="78CC800E" w14:textId="77777777" w:rsidR="00113D31" w:rsidRPr="001438CD" w:rsidRDefault="00113D31" w:rsidP="0060790C">
            <w:pPr>
              <w:jc w:val="center"/>
              <w:rPr>
                <w:rFonts w:cs="Times New Roman"/>
                <w:color w:val="000000"/>
                <w:sz w:val="20"/>
                <w:szCs w:val="20"/>
              </w:rPr>
            </w:pPr>
            <w:r w:rsidRPr="001438CD">
              <w:rPr>
                <w:rFonts w:cs="Times New Roman"/>
                <w:color w:val="000000"/>
                <w:sz w:val="20"/>
                <w:szCs w:val="20"/>
              </w:rPr>
              <w:t>3.</w:t>
            </w:r>
            <w:r>
              <w:rPr>
                <w:rFonts w:cs="Times New Roman"/>
                <w:color w:val="000000"/>
                <w:sz w:val="20"/>
                <w:szCs w:val="20"/>
              </w:rPr>
              <w:t>0</w:t>
            </w:r>
          </w:p>
          <w:p w14:paraId="58599F22" w14:textId="77777777" w:rsidR="00113D31" w:rsidRPr="001438CD" w:rsidRDefault="00113D31" w:rsidP="0060790C">
            <w:pPr>
              <w:jc w:val="center"/>
              <w:rPr>
                <w:rFonts w:cs="Times New Roman"/>
                <w:color w:val="000000"/>
                <w:sz w:val="20"/>
                <w:szCs w:val="20"/>
              </w:rPr>
            </w:pPr>
            <w:r>
              <w:rPr>
                <w:rFonts w:cs="Times New Roman"/>
                <w:color w:val="000000"/>
                <w:sz w:val="20"/>
                <w:szCs w:val="20"/>
              </w:rPr>
              <w:t>0</w:t>
            </w:r>
          </w:p>
        </w:tc>
      </w:tr>
      <w:tr w:rsidR="00113D31" w14:paraId="655F38B2" w14:textId="77777777" w:rsidTr="0060790C">
        <w:trPr>
          <w:trHeight w:val="300"/>
        </w:trPr>
        <w:tc>
          <w:tcPr>
            <w:tcW w:w="5253" w:type="dxa"/>
            <w:tcBorders>
              <w:top w:val="nil"/>
              <w:left w:val="single" w:sz="4" w:space="0" w:color="auto"/>
              <w:bottom w:val="nil"/>
              <w:right w:val="single" w:sz="4" w:space="0" w:color="auto"/>
            </w:tcBorders>
            <w:vAlign w:val="center"/>
            <w:hideMark/>
          </w:tcPr>
          <w:p w14:paraId="4406AD51" w14:textId="77777777" w:rsidR="00113D31" w:rsidRPr="002A1D42" w:rsidRDefault="00113D31" w:rsidP="0060790C">
            <w:pPr>
              <w:rPr>
                <w:rFonts w:cs="Times New Roman"/>
                <w:color w:val="000000"/>
                <w:sz w:val="20"/>
                <w:szCs w:val="20"/>
              </w:rPr>
            </w:pPr>
            <w:r w:rsidRPr="002A1D42">
              <w:rPr>
                <w:rFonts w:cs="Times New Roman"/>
                <w:color w:val="000000"/>
                <w:sz w:val="20"/>
                <w:szCs w:val="20"/>
              </w:rPr>
              <w:t>Internal cost/demand/service pressures</w:t>
            </w:r>
          </w:p>
        </w:tc>
        <w:tc>
          <w:tcPr>
            <w:tcW w:w="1134" w:type="dxa"/>
            <w:tcBorders>
              <w:top w:val="nil"/>
              <w:left w:val="single" w:sz="4" w:space="0" w:color="auto"/>
              <w:bottom w:val="nil"/>
              <w:right w:val="single" w:sz="4" w:space="0" w:color="auto"/>
            </w:tcBorders>
            <w:noWrap/>
            <w:vAlign w:val="bottom"/>
            <w:hideMark/>
          </w:tcPr>
          <w:p w14:paraId="4F33E3C1" w14:textId="77777777" w:rsidR="00113D31" w:rsidRPr="002A1D42" w:rsidRDefault="00113D31" w:rsidP="0060790C">
            <w:pPr>
              <w:jc w:val="center"/>
              <w:rPr>
                <w:rFonts w:cs="Times New Roman"/>
                <w:color w:val="000000"/>
                <w:sz w:val="20"/>
                <w:szCs w:val="20"/>
              </w:rPr>
            </w:pPr>
            <w:r>
              <w:rPr>
                <w:rFonts w:cs="Times New Roman"/>
                <w:color w:val="000000"/>
                <w:sz w:val="20"/>
                <w:szCs w:val="20"/>
              </w:rPr>
              <w:t>4.5</w:t>
            </w:r>
          </w:p>
        </w:tc>
        <w:tc>
          <w:tcPr>
            <w:tcW w:w="1134" w:type="dxa"/>
            <w:tcBorders>
              <w:top w:val="nil"/>
              <w:left w:val="single" w:sz="4" w:space="0" w:color="auto"/>
              <w:bottom w:val="nil"/>
              <w:right w:val="single" w:sz="4" w:space="0" w:color="auto"/>
            </w:tcBorders>
            <w:noWrap/>
            <w:vAlign w:val="bottom"/>
          </w:tcPr>
          <w:p w14:paraId="14B53490" w14:textId="77777777" w:rsidR="00113D31" w:rsidRPr="002A1D42" w:rsidRDefault="00113D31" w:rsidP="0060790C">
            <w:pPr>
              <w:jc w:val="center"/>
              <w:rPr>
                <w:rFonts w:cs="Times New Roman"/>
                <w:color w:val="000000"/>
                <w:sz w:val="20"/>
                <w:szCs w:val="20"/>
              </w:rPr>
            </w:pPr>
            <w:r>
              <w:rPr>
                <w:rFonts w:cs="Times New Roman"/>
                <w:color w:val="000000"/>
                <w:sz w:val="20"/>
                <w:szCs w:val="20"/>
              </w:rPr>
              <w:t>4.5</w:t>
            </w:r>
          </w:p>
        </w:tc>
        <w:tc>
          <w:tcPr>
            <w:tcW w:w="1134" w:type="dxa"/>
            <w:tcBorders>
              <w:top w:val="nil"/>
              <w:left w:val="single" w:sz="4" w:space="0" w:color="auto"/>
              <w:bottom w:val="nil"/>
              <w:right w:val="single" w:sz="4" w:space="0" w:color="auto"/>
            </w:tcBorders>
            <w:noWrap/>
            <w:vAlign w:val="bottom"/>
          </w:tcPr>
          <w:p w14:paraId="06AE3CCD" w14:textId="77777777" w:rsidR="00113D31" w:rsidRPr="002A1D42" w:rsidRDefault="00113D31" w:rsidP="0060790C">
            <w:pPr>
              <w:jc w:val="center"/>
              <w:rPr>
                <w:rFonts w:cs="Times New Roman"/>
                <w:color w:val="000000"/>
                <w:sz w:val="20"/>
                <w:szCs w:val="20"/>
              </w:rPr>
            </w:pPr>
            <w:r>
              <w:rPr>
                <w:rFonts w:cs="Times New Roman"/>
                <w:color w:val="000000"/>
                <w:sz w:val="20"/>
                <w:szCs w:val="20"/>
              </w:rPr>
              <w:t>4.5</w:t>
            </w:r>
          </w:p>
        </w:tc>
      </w:tr>
      <w:tr w:rsidR="00113D31" w14:paraId="31C1D209" w14:textId="77777777" w:rsidTr="0060790C">
        <w:trPr>
          <w:trHeight w:val="300"/>
        </w:trPr>
        <w:tc>
          <w:tcPr>
            <w:tcW w:w="5253" w:type="dxa"/>
            <w:tcBorders>
              <w:top w:val="nil"/>
              <w:left w:val="single" w:sz="4" w:space="0" w:color="auto"/>
              <w:bottom w:val="nil"/>
              <w:right w:val="single" w:sz="4" w:space="0" w:color="auto"/>
            </w:tcBorders>
            <w:vAlign w:val="center"/>
            <w:hideMark/>
          </w:tcPr>
          <w:p w14:paraId="110EF5A9" w14:textId="77777777" w:rsidR="00113D31" w:rsidRPr="002A1D42" w:rsidRDefault="00113D31" w:rsidP="0060790C">
            <w:pPr>
              <w:rPr>
                <w:rFonts w:cs="Times New Roman"/>
                <w:color w:val="000000"/>
                <w:sz w:val="20"/>
                <w:szCs w:val="20"/>
              </w:rPr>
            </w:pPr>
            <w:r w:rsidRPr="002A1D42">
              <w:rPr>
                <w:rFonts w:cs="Times New Roman"/>
                <w:color w:val="000000"/>
                <w:sz w:val="20"/>
                <w:szCs w:val="20"/>
              </w:rPr>
              <w:t>Claims WRP</w:t>
            </w:r>
          </w:p>
        </w:tc>
        <w:tc>
          <w:tcPr>
            <w:tcW w:w="1134" w:type="dxa"/>
            <w:tcBorders>
              <w:top w:val="nil"/>
              <w:left w:val="single" w:sz="4" w:space="0" w:color="auto"/>
              <w:bottom w:val="nil"/>
              <w:right w:val="single" w:sz="4" w:space="0" w:color="auto"/>
            </w:tcBorders>
            <w:noWrap/>
            <w:vAlign w:val="bottom"/>
            <w:hideMark/>
          </w:tcPr>
          <w:p w14:paraId="05F30494" w14:textId="77777777" w:rsidR="00113D31" w:rsidRPr="002A1D42" w:rsidRDefault="00113D31" w:rsidP="0060790C">
            <w:pPr>
              <w:jc w:val="center"/>
              <w:rPr>
                <w:rFonts w:cs="Times New Roman"/>
                <w:color w:val="000000"/>
                <w:sz w:val="20"/>
                <w:szCs w:val="20"/>
              </w:rPr>
            </w:pPr>
            <w:r>
              <w:rPr>
                <w:rFonts w:cs="Times New Roman"/>
                <w:color w:val="000000"/>
                <w:sz w:val="20"/>
                <w:szCs w:val="20"/>
              </w:rPr>
              <w:t>1.0</w:t>
            </w:r>
          </w:p>
        </w:tc>
        <w:tc>
          <w:tcPr>
            <w:tcW w:w="1134" w:type="dxa"/>
            <w:tcBorders>
              <w:top w:val="nil"/>
              <w:left w:val="single" w:sz="4" w:space="0" w:color="auto"/>
              <w:bottom w:val="nil"/>
              <w:right w:val="single" w:sz="4" w:space="0" w:color="auto"/>
            </w:tcBorders>
            <w:noWrap/>
            <w:vAlign w:val="bottom"/>
          </w:tcPr>
          <w:p w14:paraId="57034D5F" w14:textId="77777777" w:rsidR="00113D31" w:rsidRPr="002A1D42" w:rsidRDefault="00113D31" w:rsidP="0060790C">
            <w:pPr>
              <w:jc w:val="center"/>
              <w:rPr>
                <w:rFonts w:cs="Times New Roman"/>
                <w:color w:val="000000"/>
                <w:sz w:val="20"/>
                <w:szCs w:val="20"/>
              </w:rPr>
            </w:pPr>
            <w:r>
              <w:rPr>
                <w:rFonts w:cs="Times New Roman"/>
                <w:color w:val="000000"/>
                <w:sz w:val="20"/>
                <w:szCs w:val="20"/>
              </w:rPr>
              <w:t>1.0</w:t>
            </w:r>
          </w:p>
        </w:tc>
        <w:tc>
          <w:tcPr>
            <w:tcW w:w="1134" w:type="dxa"/>
            <w:tcBorders>
              <w:top w:val="nil"/>
              <w:left w:val="single" w:sz="4" w:space="0" w:color="auto"/>
              <w:bottom w:val="nil"/>
              <w:right w:val="single" w:sz="4" w:space="0" w:color="auto"/>
            </w:tcBorders>
            <w:noWrap/>
            <w:vAlign w:val="bottom"/>
          </w:tcPr>
          <w:p w14:paraId="34BC2AC7" w14:textId="77777777" w:rsidR="00113D31" w:rsidRPr="002A1D42" w:rsidRDefault="00113D31" w:rsidP="0060790C">
            <w:pPr>
              <w:jc w:val="center"/>
              <w:rPr>
                <w:rFonts w:cs="Times New Roman"/>
                <w:color w:val="000000"/>
                <w:sz w:val="20"/>
                <w:szCs w:val="20"/>
              </w:rPr>
            </w:pPr>
            <w:r>
              <w:rPr>
                <w:rFonts w:cs="Times New Roman"/>
                <w:color w:val="000000"/>
                <w:sz w:val="20"/>
                <w:szCs w:val="20"/>
              </w:rPr>
              <w:t>1.0</w:t>
            </w:r>
          </w:p>
        </w:tc>
      </w:tr>
      <w:tr w:rsidR="00113D31" w14:paraId="24A33459" w14:textId="77777777" w:rsidTr="0060790C">
        <w:trPr>
          <w:trHeight w:val="300"/>
        </w:trPr>
        <w:tc>
          <w:tcPr>
            <w:tcW w:w="5253" w:type="dxa"/>
            <w:tcBorders>
              <w:top w:val="nil"/>
              <w:left w:val="single" w:sz="4" w:space="0" w:color="auto"/>
              <w:bottom w:val="nil"/>
              <w:right w:val="single" w:sz="4" w:space="0" w:color="auto"/>
            </w:tcBorders>
            <w:vAlign w:val="center"/>
          </w:tcPr>
          <w:p w14:paraId="73A37085" w14:textId="77777777" w:rsidR="00113D31" w:rsidRPr="002A1D42" w:rsidRDefault="00113D31" w:rsidP="0060790C">
            <w:pPr>
              <w:rPr>
                <w:rFonts w:cs="Times New Roman"/>
                <w:color w:val="000000"/>
                <w:sz w:val="20"/>
                <w:szCs w:val="20"/>
              </w:rPr>
            </w:pPr>
            <w:r>
              <w:rPr>
                <w:rFonts w:cs="Times New Roman"/>
                <w:color w:val="000000"/>
                <w:sz w:val="20"/>
                <w:szCs w:val="20"/>
              </w:rPr>
              <w:t>WHSCC demand and cost pressures</w:t>
            </w:r>
          </w:p>
        </w:tc>
        <w:tc>
          <w:tcPr>
            <w:tcW w:w="1134" w:type="dxa"/>
            <w:tcBorders>
              <w:top w:val="nil"/>
              <w:left w:val="single" w:sz="4" w:space="0" w:color="auto"/>
              <w:bottom w:val="nil"/>
              <w:right w:val="single" w:sz="4" w:space="0" w:color="auto"/>
            </w:tcBorders>
            <w:noWrap/>
            <w:vAlign w:val="bottom"/>
          </w:tcPr>
          <w:p w14:paraId="60208292" w14:textId="77777777" w:rsidR="00113D31" w:rsidRDefault="00113D31" w:rsidP="0060790C">
            <w:pPr>
              <w:jc w:val="center"/>
              <w:rPr>
                <w:rFonts w:cs="Times New Roman"/>
                <w:color w:val="000000"/>
                <w:sz w:val="20"/>
                <w:szCs w:val="20"/>
              </w:rPr>
            </w:pPr>
            <w:r>
              <w:rPr>
                <w:rFonts w:cs="Times New Roman"/>
                <w:color w:val="000000"/>
                <w:sz w:val="20"/>
                <w:szCs w:val="20"/>
              </w:rPr>
              <w:t>3.0</w:t>
            </w:r>
          </w:p>
        </w:tc>
        <w:tc>
          <w:tcPr>
            <w:tcW w:w="1134" w:type="dxa"/>
            <w:tcBorders>
              <w:top w:val="nil"/>
              <w:left w:val="single" w:sz="4" w:space="0" w:color="auto"/>
              <w:bottom w:val="nil"/>
              <w:right w:val="single" w:sz="4" w:space="0" w:color="auto"/>
            </w:tcBorders>
            <w:noWrap/>
            <w:vAlign w:val="bottom"/>
          </w:tcPr>
          <w:p w14:paraId="5A3DF660" w14:textId="77777777" w:rsidR="00113D31" w:rsidRDefault="00113D31" w:rsidP="0060790C">
            <w:pPr>
              <w:jc w:val="center"/>
              <w:rPr>
                <w:rFonts w:cs="Times New Roman"/>
                <w:color w:val="000000"/>
                <w:sz w:val="20"/>
                <w:szCs w:val="20"/>
              </w:rPr>
            </w:pPr>
            <w:r>
              <w:rPr>
                <w:rFonts w:cs="Times New Roman"/>
                <w:color w:val="000000"/>
                <w:sz w:val="20"/>
                <w:szCs w:val="20"/>
              </w:rPr>
              <w:t>3.0</w:t>
            </w:r>
          </w:p>
        </w:tc>
        <w:tc>
          <w:tcPr>
            <w:tcW w:w="1134" w:type="dxa"/>
            <w:tcBorders>
              <w:top w:val="nil"/>
              <w:left w:val="single" w:sz="4" w:space="0" w:color="auto"/>
              <w:bottom w:val="nil"/>
              <w:right w:val="single" w:sz="4" w:space="0" w:color="auto"/>
            </w:tcBorders>
            <w:noWrap/>
            <w:vAlign w:val="bottom"/>
          </w:tcPr>
          <w:p w14:paraId="1621AAD4" w14:textId="77777777" w:rsidR="00113D31" w:rsidRDefault="00113D31" w:rsidP="0060790C">
            <w:pPr>
              <w:jc w:val="center"/>
              <w:rPr>
                <w:rFonts w:cs="Times New Roman"/>
                <w:color w:val="000000"/>
                <w:sz w:val="20"/>
                <w:szCs w:val="20"/>
              </w:rPr>
            </w:pPr>
            <w:r>
              <w:rPr>
                <w:rFonts w:cs="Times New Roman"/>
                <w:color w:val="000000"/>
                <w:sz w:val="20"/>
                <w:szCs w:val="20"/>
              </w:rPr>
              <w:t>3.0</w:t>
            </w:r>
          </w:p>
        </w:tc>
      </w:tr>
      <w:tr w:rsidR="00113D31" w14:paraId="36503553" w14:textId="77777777" w:rsidTr="0060790C">
        <w:trPr>
          <w:trHeight w:val="300"/>
        </w:trPr>
        <w:tc>
          <w:tcPr>
            <w:tcW w:w="5253" w:type="dxa"/>
            <w:tcBorders>
              <w:top w:val="nil"/>
              <w:left w:val="single" w:sz="4" w:space="0" w:color="auto"/>
              <w:bottom w:val="nil"/>
              <w:right w:val="single" w:sz="4" w:space="0" w:color="auto"/>
            </w:tcBorders>
            <w:vAlign w:val="center"/>
          </w:tcPr>
          <w:p w14:paraId="241C100D" w14:textId="77777777" w:rsidR="00113D31" w:rsidRDefault="00113D31" w:rsidP="0060790C">
            <w:pPr>
              <w:rPr>
                <w:rFonts w:cs="Times New Roman"/>
                <w:color w:val="000000"/>
                <w:sz w:val="20"/>
                <w:szCs w:val="20"/>
              </w:rPr>
            </w:pPr>
            <w:r>
              <w:rPr>
                <w:rFonts w:cs="Times New Roman"/>
                <w:color w:val="000000"/>
                <w:sz w:val="20"/>
                <w:szCs w:val="20"/>
              </w:rPr>
              <w:t>EASC demand and cost pressures</w:t>
            </w:r>
          </w:p>
        </w:tc>
        <w:tc>
          <w:tcPr>
            <w:tcW w:w="1134" w:type="dxa"/>
            <w:tcBorders>
              <w:top w:val="nil"/>
              <w:left w:val="single" w:sz="4" w:space="0" w:color="auto"/>
              <w:bottom w:val="nil"/>
              <w:right w:val="single" w:sz="4" w:space="0" w:color="auto"/>
            </w:tcBorders>
            <w:noWrap/>
            <w:vAlign w:val="bottom"/>
          </w:tcPr>
          <w:p w14:paraId="63A094C4" w14:textId="77777777" w:rsidR="00113D31" w:rsidRDefault="00113D31" w:rsidP="0060790C">
            <w:pPr>
              <w:jc w:val="center"/>
              <w:rPr>
                <w:rFonts w:cs="Times New Roman"/>
                <w:color w:val="000000"/>
                <w:sz w:val="20"/>
                <w:szCs w:val="20"/>
              </w:rPr>
            </w:pPr>
            <w:r>
              <w:rPr>
                <w:rFonts w:cs="Times New Roman"/>
                <w:color w:val="000000"/>
                <w:sz w:val="20"/>
                <w:szCs w:val="20"/>
              </w:rPr>
              <w:t>0.3</w:t>
            </w:r>
          </w:p>
        </w:tc>
        <w:tc>
          <w:tcPr>
            <w:tcW w:w="1134" w:type="dxa"/>
            <w:tcBorders>
              <w:top w:val="nil"/>
              <w:left w:val="single" w:sz="4" w:space="0" w:color="auto"/>
              <w:bottom w:val="nil"/>
              <w:right w:val="single" w:sz="4" w:space="0" w:color="auto"/>
            </w:tcBorders>
            <w:noWrap/>
            <w:vAlign w:val="bottom"/>
          </w:tcPr>
          <w:p w14:paraId="22781F70" w14:textId="77777777" w:rsidR="00113D31" w:rsidRDefault="00113D31" w:rsidP="0060790C">
            <w:pPr>
              <w:jc w:val="center"/>
              <w:rPr>
                <w:rFonts w:cs="Times New Roman"/>
                <w:color w:val="000000"/>
                <w:sz w:val="20"/>
                <w:szCs w:val="20"/>
              </w:rPr>
            </w:pPr>
            <w:r>
              <w:rPr>
                <w:rFonts w:cs="Times New Roman"/>
                <w:color w:val="000000"/>
                <w:sz w:val="20"/>
                <w:szCs w:val="20"/>
              </w:rPr>
              <w:t>0.3</w:t>
            </w:r>
          </w:p>
        </w:tc>
        <w:tc>
          <w:tcPr>
            <w:tcW w:w="1134" w:type="dxa"/>
            <w:tcBorders>
              <w:top w:val="nil"/>
              <w:left w:val="single" w:sz="4" w:space="0" w:color="auto"/>
              <w:bottom w:val="nil"/>
              <w:right w:val="single" w:sz="4" w:space="0" w:color="auto"/>
            </w:tcBorders>
            <w:noWrap/>
            <w:vAlign w:val="bottom"/>
          </w:tcPr>
          <w:p w14:paraId="755AC54E" w14:textId="77777777" w:rsidR="00113D31" w:rsidRDefault="00113D31" w:rsidP="0060790C">
            <w:pPr>
              <w:jc w:val="center"/>
              <w:rPr>
                <w:rFonts w:cs="Times New Roman"/>
                <w:color w:val="000000"/>
                <w:sz w:val="20"/>
                <w:szCs w:val="20"/>
              </w:rPr>
            </w:pPr>
            <w:r>
              <w:rPr>
                <w:rFonts w:cs="Times New Roman"/>
                <w:color w:val="000000"/>
                <w:sz w:val="20"/>
                <w:szCs w:val="20"/>
              </w:rPr>
              <w:t>0.3</w:t>
            </w:r>
          </w:p>
        </w:tc>
      </w:tr>
      <w:tr w:rsidR="00113D31" w14:paraId="12796004" w14:textId="77777777" w:rsidTr="0060790C">
        <w:trPr>
          <w:trHeight w:val="300"/>
        </w:trPr>
        <w:tc>
          <w:tcPr>
            <w:tcW w:w="5253" w:type="dxa"/>
            <w:tcBorders>
              <w:top w:val="single" w:sz="4" w:space="0" w:color="auto"/>
              <w:left w:val="single" w:sz="4" w:space="0" w:color="auto"/>
              <w:bottom w:val="single" w:sz="4" w:space="0" w:color="auto"/>
              <w:right w:val="single" w:sz="4" w:space="0" w:color="auto"/>
            </w:tcBorders>
            <w:vAlign w:val="center"/>
            <w:hideMark/>
          </w:tcPr>
          <w:p w14:paraId="3E1A91E3" w14:textId="77777777" w:rsidR="00113D31" w:rsidRPr="002A1D42" w:rsidRDefault="00113D31" w:rsidP="0060790C">
            <w:pPr>
              <w:rPr>
                <w:rFonts w:cs="Times New Roman"/>
                <w:b/>
                <w:bCs/>
                <w:color w:val="000000"/>
                <w:sz w:val="20"/>
                <w:szCs w:val="20"/>
              </w:rPr>
            </w:pPr>
            <w:r w:rsidRPr="002A1D42">
              <w:rPr>
                <w:rFonts w:cs="Times New Roman"/>
                <w:b/>
                <w:bCs/>
                <w:color w:val="000000"/>
                <w:sz w:val="20"/>
                <w:szCs w:val="20"/>
              </w:rPr>
              <w:t>Subtotal</w:t>
            </w:r>
          </w:p>
        </w:tc>
        <w:tc>
          <w:tcPr>
            <w:tcW w:w="1134" w:type="dxa"/>
            <w:tcBorders>
              <w:top w:val="single" w:sz="4" w:space="0" w:color="auto"/>
              <w:left w:val="single" w:sz="4" w:space="0" w:color="auto"/>
              <w:bottom w:val="single" w:sz="4" w:space="0" w:color="auto"/>
              <w:right w:val="single" w:sz="4" w:space="0" w:color="auto"/>
            </w:tcBorders>
            <w:noWrap/>
            <w:vAlign w:val="bottom"/>
            <w:hideMark/>
          </w:tcPr>
          <w:p w14:paraId="1C5B780D" w14:textId="77777777" w:rsidR="00113D31" w:rsidRPr="002A1D42" w:rsidRDefault="00113D31" w:rsidP="0060790C">
            <w:pPr>
              <w:jc w:val="center"/>
              <w:rPr>
                <w:rFonts w:cs="Times New Roman"/>
                <w:b/>
                <w:bCs/>
                <w:color w:val="000000"/>
                <w:sz w:val="20"/>
                <w:szCs w:val="20"/>
              </w:rPr>
            </w:pPr>
            <w:r>
              <w:rPr>
                <w:rFonts w:cs="Times New Roman"/>
                <w:b/>
                <w:bCs/>
                <w:color w:val="000000"/>
                <w:sz w:val="20"/>
                <w:szCs w:val="20"/>
              </w:rPr>
              <w:t>16.9</w:t>
            </w:r>
          </w:p>
        </w:tc>
        <w:tc>
          <w:tcPr>
            <w:tcW w:w="1134" w:type="dxa"/>
            <w:tcBorders>
              <w:top w:val="single" w:sz="4" w:space="0" w:color="auto"/>
              <w:left w:val="single" w:sz="4" w:space="0" w:color="auto"/>
              <w:bottom w:val="single" w:sz="4" w:space="0" w:color="auto"/>
              <w:right w:val="single" w:sz="4" w:space="0" w:color="auto"/>
            </w:tcBorders>
            <w:noWrap/>
            <w:vAlign w:val="bottom"/>
          </w:tcPr>
          <w:p w14:paraId="7C19423E" w14:textId="77777777" w:rsidR="00113D31" w:rsidRPr="002A1D42" w:rsidRDefault="00113D31" w:rsidP="0060790C">
            <w:pPr>
              <w:jc w:val="center"/>
              <w:rPr>
                <w:rFonts w:cs="Times New Roman"/>
                <w:b/>
                <w:bCs/>
                <w:color w:val="000000"/>
                <w:sz w:val="20"/>
                <w:szCs w:val="20"/>
              </w:rPr>
            </w:pPr>
            <w:r>
              <w:rPr>
                <w:rFonts w:cs="Times New Roman"/>
                <w:b/>
                <w:bCs/>
                <w:color w:val="000000"/>
                <w:sz w:val="20"/>
                <w:szCs w:val="20"/>
              </w:rPr>
              <w:t>16.9</w:t>
            </w:r>
          </w:p>
        </w:tc>
        <w:tc>
          <w:tcPr>
            <w:tcW w:w="1134" w:type="dxa"/>
            <w:tcBorders>
              <w:top w:val="single" w:sz="4" w:space="0" w:color="auto"/>
              <w:left w:val="single" w:sz="4" w:space="0" w:color="auto"/>
              <w:bottom w:val="single" w:sz="4" w:space="0" w:color="auto"/>
              <w:right w:val="single" w:sz="4" w:space="0" w:color="auto"/>
            </w:tcBorders>
            <w:noWrap/>
            <w:vAlign w:val="bottom"/>
          </w:tcPr>
          <w:p w14:paraId="700F3537" w14:textId="77777777" w:rsidR="00113D31" w:rsidRPr="002A1D42" w:rsidRDefault="00113D31" w:rsidP="0060790C">
            <w:pPr>
              <w:jc w:val="center"/>
              <w:rPr>
                <w:rFonts w:cs="Times New Roman"/>
                <w:b/>
                <w:bCs/>
                <w:color w:val="000000"/>
                <w:sz w:val="20"/>
                <w:szCs w:val="20"/>
              </w:rPr>
            </w:pPr>
            <w:r>
              <w:rPr>
                <w:rFonts w:cs="Times New Roman"/>
                <w:b/>
                <w:bCs/>
                <w:color w:val="000000"/>
                <w:sz w:val="20"/>
                <w:szCs w:val="20"/>
              </w:rPr>
              <w:t>16.9</w:t>
            </w:r>
          </w:p>
        </w:tc>
      </w:tr>
      <w:tr w:rsidR="00113D31" w14:paraId="72A355CE" w14:textId="77777777" w:rsidTr="0060790C">
        <w:trPr>
          <w:trHeight w:val="300"/>
        </w:trPr>
        <w:tc>
          <w:tcPr>
            <w:tcW w:w="5253" w:type="dxa"/>
            <w:tcBorders>
              <w:top w:val="nil"/>
              <w:left w:val="single" w:sz="4" w:space="0" w:color="auto"/>
              <w:bottom w:val="nil"/>
              <w:right w:val="single" w:sz="4" w:space="0" w:color="auto"/>
            </w:tcBorders>
            <w:vAlign w:val="center"/>
          </w:tcPr>
          <w:p w14:paraId="5565359F" w14:textId="77777777" w:rsidR="00113D31" w:rsidRPr="002A1D42" w:rsidRDefault="00113D31" w:rsidP="0060790C">
            <w:pPr>
              <w:rPr>
                <w:rFonts w:cs="Times New Roman"/>
                <w:bCs/>
                <w:color w:val="000000"/>
                <w:sz w:val="20"/>
                <w:szCs w:val="20"/>
              </w:rPr>
            </w:pPr>
          </w:p>
        </w:tc>
        <w:tc>
          <w:tcPr>
            <w:tcW w:w="1134" w:type="dxa"/>
            <w:tcBorders>
              <w:top w:val="nil"/>
              <w:left w:val="single" w:sz="4" w:space="0" w:color="auto"/>
              <w:bottom w:val="nil"/>
              <w:right w:val="single" w:sz="4" w:space="0" w:color="auto"/>
            </w:tcBorders>
            <w:noWrap/>
            <w:vAlign w:val="center"/>
          </w:tcPr>
          <w:p w14:paraId="26C6E922" w14:textId="77777777" w:rsidR="00113D31" w:rsidRPr="002A1D42" w:rsidRDefault="00113D31" w:rsidP="0060790C">
            <w:pPr>
              <w:jc w:val="center"/>
              <w:rPr>
                <w:rFonts w:cs="Times New Roman"/>
                <w:color w:val="000000"/>
                <w:sz w:val="20"/>
                <w:szCs w:val="20"/>
              </w:rPr>
            </w:pPr>
          </w:p>
        </w:tc>
        <w:tc>
          <w:tcPr>
            <w:tcW w:w="1134" w:type="dxa"/>
            <w:tcBorders>
              <w:top w:val="nil"/>
              <w:left w:val="single" w:sz="4" w:space="0" w:color="auto"/>
              <w:bottom w:val="nil"/>
              <w:right w:val="single" w:sz="4" w:space="0" w:color="auto"/>
            </w:tcBorders>
            <w:noWrap/>
            <w:vAlign w:val="bottom"/>
          </w:tcPr>
          <w:p w14:paraId="37EA850F" w14:textId="77777777" w:rsidR="00113D31" w:rsidRPr="002A1D42" w:rsidRDefault="00113D31" w:rsidP="0060790C">
            <w:pPr>
              <w:jc w:val="center"/>
              <w:rPr>
                <w:rFonts w:cs="Times New Roman"/>
                <w:color w:val="000000"/>
                <w:sz w:val="20"/>
                <w:szCs w:val="20"/>
              </w:rPr>
            </w:pPr>
          </w:p>
        </w:tc>
        <w:tc>
          <w:tcPr>
            <w:tcW w:w="1134" w:type="dxa"/>
            <w:tcBorders>
              <w:top w:val="nil"/>
              <w:left w:val="single" w:sz="4" w:space="0" w:color="auto"/>
              <w:bottom w:val="nil"/>
              <w:right w:val="single" w:sz="4" w:space="0" w:color="auto"/>
            </w:tcBorders>
            <w:noWrap/>
            <w:vAlign w:val="bottom"/>
          </w:tcPr>
          <w:p w14:paraId="3AFF63C5" w14:textId="77777777" w:rsidR="00113D31" w:rsidRPr="002A1D42" w:rsidRDefault="00113D31" w:rsidP="0060790C">
            <w:pPr>
              <w:jc w:val="center"/>
              <w:rPr>
                <w:rFonts w:cs="Times New Roman"/>
                <w:color w:val="000000"/>
                <w:sz w:val="20"/>
                <w:szCs w:val="20"/>
              </w:rPr>
            </w:pPr>
          </w:p>
        </w:tc>
      </w:tr>
      <w:tr w:rsidR="00113D31" w14:paraId="46672633" w14:textId="77777777" w:rsidTr="0060790C">
        <w:trPr>
          <w:trHeight w:val="315"/>
        </w:trPr>
        <w:tc>
          <w:tcPr>
            <w:tcW w:w="5253" w:type="dxa"/>
            <w:tcBorders>
              <w:top w:val="single" w:sz="4" w:space="0" w:color="auto"/>
              <w:left w:val="single" w:sz="4" w:space="0" w:color="auto"/>
              <w:bottom w:val="single" w:sz="4" w:space="0" w:color="auto"/>
              <w:right w:val="single" w:sz="4" w:space="0" w:color="auto"/>
            </w:tcBorders>
            <w:vAlign w:val="center"/>
            <w:hideMark/>
          </w:tcPr>
          <w:p w14:paraId="7F1FA67C" w14:textId="77777777" w:rsidR="00113D31" w:rsidRPr="001C1B6D" w:rsidRDefault="00113D31" w:rsidP="0060790C">
            <w:pPr>
              <w:rPr>
                <w:rFonts w:cs="Times New Roman"/>
                <w:b/>
                <w:bCs/>
                <w:color w:val="000000"/>
                <w:sz w:val="20"/>
                <w:szCs w:val="20"/>
              </w:rPr>
            </w:pPr>
            <w:r w:rsidRPr="001C1B6D">
              <w:rPr>
                <w:rFonts w:cs="Times New Roman"/>
                <w:b/>
                <w:bCs/>
                <w:color w:val="000000"/>
                <w:sz w:val="20"/>
                <w:szCs w:val="20"/>
              </w:rPr>
              <w:t>Total</w:t>
            </w:r>
          </w:p>
        </w:tc>
        <w:tc>
          <w:tcPr>
            <w:tcW w:w="1134" w:type="dxa"/>
            <w:tcBorders>
              <w:top w:val="single" w:sz="4" w:space="0" w:color="auto"/>
              <w:left w:val="single" w:sz="4" w:space="0" w:color="auto"/>
              <w:bottom w:val="single" w:sz="4" w:space="0" w:color="auto"/>
              <w:right w:val="single" w:sz="4" w:space="0" w:color="auto"/>
            </w:tcBorders>
            <w:noWrap/>
            <w:vAlign w:val="bottom"/>
            <w:hideMark/>
          </w:tcPr>
          <w:p w14:paraId="7C42DD8D" w14:textId="77777777" w:rsidR="00113D31" w:rsidRPr="001C1B6D" w:rsidRDefault="00113D31" w:rsidP="0060790C">
            <w:pPr>
              <w:jc w:val="center"/>
              <w:rPr>
                <w:rFonts w:cs="Times New Roman"/>
                <w:b/>
                <w:bCs/>
                <w:color w:val="000000"/>
                <w:sz w:val="20"/>
                <w:szCs w:val="20"/>
              </w:rPr>
            </w:pPr>
            <w:r>
              <w:rPr>
                <w:rFonts w:cs="Times New Roman"/>
                <w:b/>
                <w:bCs/>
                <w:color w:val="000000"/>
                <w:sz w:val="20"/>
                <w:szCs w:val="20"/>
              </w:rPr>
              <w:t>40.0</w:t>
            </w:r>
          </w:p>
        </w:tc>
        <w:tc>
          <w:tcPr>
            <w:tcW w:w="1134" w:type="dxa"/>
            <w:tcBorders>
              <w:top w:val="single" w:sz="4" w:space="0" w:color="auto"/>
              <w:left w:val="single" w:sz="4" w:space="0" w:color="auto"/>
              <w:bottom w:val="single" w:sz="4" w:space="0" w:color="auto"/>
              <w:right w:val="single" w:sz="4" w:space="0" w:color="auto"/>
            </w:tcBorders>
            <w:noWrap/>
            <w:vAlign w:val="bottom"/>
            <w:hideMark/>
          </w:tcPr>
          <w:p w14:paraId="2C3A69D4" w14:textId="77777777" w:rsidR="00113D31" w:rsidRPr="001C1B6D" w:rsidRDefault="00113D31" w:rsidP="0060790C">
            <w:pPr>
              <w:jc w:val="center"/>
              <w:rPr>
                <w:rFonts w:cs="Times New Roman"/>
                <w:b/>
                <w:bCs/>
                <w:color w:val="000000"/>
                <w:sz w:val="20"/>
                <w:szCs w:val="20"/>
              </w:rPr>
            </w:pPr>
            <w:r>
              <w:rPr>
                <w:rFonts w:cs="Times New Roman"/>
                <w:b/>
                <w:bCs/>
                <w:color w:val="000000"/>
                <w:sz w:val="20"/>
                <w:szCs w:val="20"/>
              </w:rPr>
              <w:t>40.0</w:t>
            </w:r>
          </w:p>
        </w:tc>
        <w:tc>
          <w:tcPr>
            <w:tcW w:w="1134" w:type="dxa"/>
            <w:tcBorders>
              <w:top w:val="single" w:sz="4" w:space="0" w:color="auto"/>
              <w:left w:val="single" w:sz="4" w:space="0" w:color="auto"/>
              <w:bottom w:val="single" w:sz="4" w:space="0" w:color="auto"/>
              <w:right w:val="single" w:sz="4" w:space="0" w:color="auto"/>
            </w:tcBorders>
            <w:noWrap/>
            <w:vAlign w:val="bottom"/>
            <w:hideMark/>
          </w:tcPr>
          <w:p w14:paraId="57FAAA61" w14:textId="77777777" w:rsidR="00113D31" w:rsidRPr="001C1B6D" w:rsidRDefault="00113D31" w:rsidP="0060790C">
            <w:pPr>
              <w:jc w:val="center"/>
              <w:rPr>
                <w:rFonts w:cs="Times New Roman"/>
                <w:b/>
                <w:bCs/>
                <w:color w:val="000000"/>
                <w:sz w:val="20"/>
                <w:szCs w:val="20"/>
              </w:rPr>
            </w:pPr>
            <w:r w:rsidRPr="001C1B6D">
              <w:rPr>
                <w:rFonts w:cs="Times New Roman"/>
                <w:b/>
                <w:bCs/>
                <w:color w:val="000000"/>
                <w:sz w:val="20"/>
                <w:szCs w:val="20"/>
              </w:rPr>
              <w:t>3</w:t>
            </w:r>
            <w:r>
              <w:rPr>
                <w:rFonts w:cs="Times New Roman"/>
                <w:b/>
                <w:bCs/>
                <w:color w:val="000000"/>
                <w:sz w:val="20"/>
                <w:szCs w:val="20"/>
              </w:rPr>
              <w:t>9.6</w:t>
            </w:r>
          </w:p>
        </w:tc>
      </w:tr>
    </w:tbl>
    <w:p w14:paraId="7E315FFE" w14:textId="77777777" w:rsidR="00113D31" w:rsidRDefault="00113D31" w:rsidP="00113D31"/>
    <w:p w14:paraId="473CA1F0" w14:textId="77777777" w:rsidR="00113D31" w:rsidRDefault="00113D31" w:rsidP="00113D31">
      <w:r>
        <w:t>The basis for the above estimates is outlined below.</w:t>
      </w:r>
    </w:p>
    <w:p w14:paraId="7C1D4807" w14:textId="77777777" w:rsidR="00113D31" w:rsidRDefault="00113D31" w:rsidP="00113D31">
      <w:pPr>
        <w:spacing w:after="160" w:line="259" w:lineRule="auto"/>
        <w:jc w:val="left"/>
      </w:pPr>
      <w:r>
        <w:br w:type="page"/>
      </w:r>
    </w:p>
    <w:p w14:paraId="0A613E91" w14:textId="77777777" w:rsidR="00113D31" w:rsidRPr="005D244A" w:rsidRDefault="00113D31" w:rsidP="00113D31">
      <w:pPr>
        <w:pStyle w:val="Heading3"/>
        <w:ind w:left="1146" w:hanging="720"/>
      </w:pPr>
      <w:r>
        <w:lastRenderedPageBreak/>
        <w:t>Pay C</w:t>
      </w:r>
      <w:r w:rsidRPr="005D244A">
        <w:t xml:space="preserve">ost </w:t>
      </w:r>
      <w:r>
        <w:t>I</w:t>
      </w:r>
      <w:r w:rsidRPr="005D244A">
        <w:t>nflation</w:t>
      </w:r>
    </w:p>
    <w:tbl>
      <w:tblPr>
        <w:tblW w:w="8840" w:type="dxa"/>
        <w:tblInd w:w="103" w:type="dxa"/>
        <w:tblLook w:val="04A0" w:firstRow="1" w:lastRow="0" w:firstColumn="1" w:lastColumn="0" w:noHBand="0" w:noVBand="1"/>
      </w:tblPr>
      <w:tblGrid>
        <w:gridCol w:w="5480"/>
        <w:gridCol w:w="1120"/>
        <w:gridCol w:w="1120"/>
        <w:gridCol w:w="1120"/>
      </w:tblGrid>
      <w:tr w:rsidR="00113D31" w14:paraId="4E7DF94F" w14:textId="77777777" w:rsidTr="0060790C">
        <w:trPr>
          <w:trHeight w:val="300"/>
        </w:trPr>
        <w:tc>
          <w:tcPr>
            <w:tcW w:w="5480" w:type="dxa"/>
            <w:tcBorders>
              <w:top w:val="single" w:sz="4" w:space="0" w:color="auto"/>
              <w:left w:val="single" w:sz="4" w:space="0" w:color="auto"/>
              <w:bottom w:val="nil"/>
              <w:right w:val="single" w:sz="4" w:space="0" w:color="auto"/>
            </w:tcBorders>
            <w:shd w:val="clear" w:color="auto" w:fill="DBE5F1" w:themeFill="accent1" w:themeFillTint="33"/>
            <w:vAlign w:val="center"/>
            <w:hideMark/>
          </w:tcPr>
          <w:p w14:paraId="4FA9E444" w14:textId="77777777" w:rsidR="00113D31" w:rsidRPr="002A1D42" w:rsidRDefault="00113D31" w:rsidP="0060790C">
            <w:pPr>
              <w:rPr>
                <w:rFonts w:cs="Times New Roman"/>
                <w:b/>
                <w:bCs/>
                <w:color w:val="000000"/>
                <w:sz w:val="20"/>
                <w:szCs w:val="20"/>
              </w:rPr>
            </w:pPr>
            <w:r w:rsidRPr="002A1D42">
              <w:rPr>
                <w:rFonts w:cs="Times New Roman"/>
                <w:b/>
                <w:bCs/>
                <w:color w:val="000000"/>
                <w:sz w:val="20"/>
                <w:szCs w:val="20"/>
              </w:rPr>
              <w:t>Pay rises and incremental drift</w:t>
            </w:r>
          </w:p>
        </w:tc>
        <w:tc>
          <w:tcPr>
            <w:tcW w:w="1120" w:type="dxa"/>
            <w:tcBorders>
              <w:top w:val="single" w:sz="4" w:space="0" w:color="auto"/>
              <w:left w:val="single" w:sz="4" w:space="0" w:color="auto"/>
              <w:bottom w:val="nil"/>
              <w:right w:val="single" w:sz="4" w:space="0" w:color="auto"/>
            </w:tcBorders>
            <w:shd w:val="clear" w:color="auto" w:fill="DBE5F1" w:themeFill="accent1" w:themeFillTint="33"/>
            <w:vAlign w:val="center"/>
            <w:hideMark/>
          </w:tcPr>
          <w:p w14:paraId="43A6E942" w14:textId="77777777" w:rsidR="00113D31" w:rsidRPr="002A1D42" w:rsidRDefault="00113D31" w:rsidP="0060790C">
            <w:pPr>
              <w:jc w:val="center"/>
              <w:rPr>
                <w:rFonts w:cs="Times New Roman"/>
                <w:b/>
                <w:bCs/>
                <w:color w:val="000000"/>
                <w:sz w:val="20"/>
                <w:szCs w:val="20"/>
              </w:rPr>
            </w:pPr>
            <w:r>
              <w:rPr>
                <w:rFonts w:cs="Times New Roman"/>
                <w:b/>
                <w:bCs/>
                <w:color w:val="000000"/>
                <w:sz w:val="20"/>
                <w:szCs w:val="20"/>
              </w:rPr>
              <w:t>20</w:t>
            </w:r>
            <w:r w:rsidRPr="002A1D42">
              <w:rPr>
                <w:rFonts w:cs="Times New Roman"/>
                <w:b/>
                <w:bCs/>
                <w:color w:val="000000"/>
                <w:sz w:val="20"/>
                <w:szCs w:val="20"/>
              </w:rPr>
              <w:t>/2</w:t>
            </w:r>
            <w:r>
              <w:rPr>
                <w:rFonts w:cs="Times New Roman"/>
                <w:b/>
                <w:bCs/>
                <w:color w:val="000000"/>
                <w:sz w:val="20"/>
                <w:szCs w:val="20"/>
              </w:rPr>
              <w:t>1</w:t>
            </w:r>
          </w:p>
        </w:tc>
        <w:tc>
          <w:tcPr>
            <w:tcW w:w="1120" w:type="dxa"/>
            <w:tcBorders>
              <w:top w:val="single" w:sz="4" w:space="0" w:color="auto"/>
              <w:left w:val="single" w:sz="4" w:space="0" w:color="auto"/>
              <w:bottom w:val="nil"/>
              <w:right w:val="single" w:sz="4" w:space="0" w:color="auto"/>
            </w:tcBorders>
            <w:shd w:val="clear" w:color="auto" w:fill="DBE5F1" w:themeFill="accent1" w:themeFillTint="33"/>
            <w:vAlign w:val="center"/>
            <w:hideMark/>
          </w:tcPr>
          <w:p w14:paraId="754F59AC" w14:textId="77777777" w:rsidR="00113D31" w:rsidRPr="002A1D42" w:rsidRDefault="00113D31" w:rsidP="0060790C">
            <w:pPr>
              <w:jc w:val="center"/>
              <w:rPr>
                <w:rFonts w:cs="Times New Roman"/>
                <w:b/>
                <w:bCs/>
                <w:color w:val="000000"/>
                <w:sz w:val="20"/>
                <w:szCs w:val="20"/>
              </w:rPr>
            </w:pPr>
            <w:r w:rsidRPr="002A1D42">
              <w:rPr>
                <w:rFonts w:cs="Times New Roman"/>
                <w:b/>
                <w:bCs/>
                <w:color w:val="000000"/>
                <w:sz w:val="20"/>
                <w:szCs w:val="20"/>
              </w:rPr>
              <w:t>2</w:t>
            </w:r>
            <w:r>
              <w:rPr>
                <w:rFonts w:cs="Times New Roman"/>
                <w:b/>
                <w:bCs/>
                <w:color w:val="000000"/>
                <w:sz w:val="20"/>
                <w:szCs w:val="20"/>
              </w:rPr>
              <w:t>1</w:t>
            </w:r>
            <w:r w:rsidRPr="002A1D42">
              <w:rPr>
                <w:rFonts w:cs="Times New Roman"/>
                <w:b/>
                <w:bCs/>
                <w:color w:val="000000"/>
                <w:sz w:val="20"/>
                <w:szCs w:val="20"/>
              </w:rPr>
              <w:t>/2</w:t>
            </w:r>
            <w:r>
              <w:rPr>
                <w:rFonts w:cs="Times New Roman"/>
                <w:b/>
                <w:bCs/>
                <w:color w:val="000000"/>
                <w:sz w:val="20"/>
                <w:szCs w:val="20"/>
              </w:rPr>
              <w:t>2</w:t>
            </w:r>
          </w:p>
        </w:tc>
        <w:tc>
          <w:tcPr>
            <w:tcW w:w="1120" w:type="dxa"/>
            <w:tcBorders>
              <w:top w:val="single" w:sz="4" w:space="0" w:color="auto"/>
              <w:left w:val="single" w:sz="4" w:space="0" w:color="auto"/>
              <w:bottom w:val="nil"/>
              <w:right w:val="single" w:sz="4" w:space="0" w:color="auto"/>
            </w:tcBorders>
            <w:shd w:val="clear" w:color="auto" w:fill="DBE5F1" w:themeFill="accent1" w:themeFillTint="33"/>
            <w:vAlign w:val="center"/>
            <w:hideMark/>
          </w:tcPr>
          <w:p w14:paraId="00300D61" w14:textId="77777777" w:rsidR="00113D31" w:rsidRPr="002A1D42" w:rsidRDefault="00113D31" w:rsidP="0060790C">
            <w:pPr>
              <w:jc w:val="center"/>
              <w:rPr>
                <w:rFonts w:cs="Times New Roman"/>
                <w:b/>
                <w:bCs/>
                <w:color w:val="000000"/>
                <w:sz w:val="20"/>
                <w:szCs w:val="20"/>
              </w:rPr>
            </w:pPr>
            <w:r w:rsidRPr="002A1D42">
              <w:rPr>
                <w:rFonts w:cs="Times New Roman"/>
                <w:b/>
                <w:bCs/>
                <w:color w:val="000000"/>
                <w:sz w:val="20"/>
                <w:szCs w:val="20"/>
              </w:rPr>
              <w:t>2</w:t>
            </w:r>
            <w:r>
              <w:rPr>
                <w:rFonts w:cs="Times New Roman"/>
                <w:b/>
                <w:bCs/>
                <w:color w:val="000000"/>
                <w:sz w:val="20"/>
                <w:szCs w:val="20"/>
              </w:rPr>
              <w:t>2</w:t>
            </w:r>
            <w:r w:rsidRPr="002A1D42">
              <w:rPr>
                <w:rFonts w:cs="Times New Roman"/>
                <w:b/>
                <w:bCs/>
                <w:color w:val="000000"/>
                <w:sz w:val="20"/>
                <w:szCs w:val="20"/>
              </w:rPr>
              <w:t>/2</w:t>
            </w:r>
            <w:r>
              <w:rPr>
                <w:rFonts w:cs="Times New Roman"/>
                <w:b/>
                <w:bCs/>
                <w:color w:val="000000"/>
                <w:sz w:val="20"/>
                <w:szCs w:val="20"/>
              </w:rPr>
              <w:t>3</w:t>
            </w:r>
          </w:p>
        </w:tc>
      </w:tr>
      <w:tr w:rsidR="00113D31" w14:paraId="0E3585DE" w14:textId="77777777" w:rsidTr="0060790C">
        <w:trPr>
          <w:trHeight w:val="300"/>
        </w:trPr>
        <w:tc>
          <w:tcPr>
            <w:tcW w:w="5480" w:type="dxa"/>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51D238F2" w14:textId="77777777" w:rsidR="00113D31" w:rsidRPr="002A1D42" w:rsidRDefault="00113D31" w:rsidP="0060790C">
            <w:pPr>
              <w:jc w:val="center"/>
              <w:rPr>
                <w:rFonts w:cs="Times New Roman"/>
                <w:color w:val="000000"/>
                <w:sz w:val="20"/>
                <w:szCs w:val="20"/>
              </w:rPr>
            </w:pPr>
            <w:r w:rsidRPr="002A1D42">
              <w:rPr>
                <w:rFonts w:cs="Times New Roman"/>
                <w:color w:val="000000"/>
                <w:sz w:val="20"/>
                <w:szCs w:val="20"/>
              </w:rPr>
              <w:t> </w:t>
            </w:r>
          </w:p>
        </w:tc>
        <w:tc>
          <w:tcPr>
            <w:tcW w:w="1120" w:type="dxa"/>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08DF7DB3" w14:textId="77777777" w:rsidR="00113D31" w:rsidRPr="002A1D42" w:rsidRDefault="00113D31" w:rsidP="0060790C">
            <w:pPr>
              <w:jc w:val="center"/>
              <w:rPr>
                <w:rFonts w:cs="Times New Roman"/>
                <w:b/>
                <w:bCs/>
                <w:color w:val="000000"/>
                <w:sz w:val="20"/>
                <w:szCs w:val="20"/>
              </w:rPr>
            </w:pPr>
            <w:r w:rsidRPr="002A1D42">
              <w:rPr>
                <w:rFonts w:cs="Times New Roman"/>
                <w:b/>
                <w:bCs/>
                <w:color w:val="000000"/>
                <w:sz w:val="20"/>
                <w:szCs w:val="20"/>
              </w:rPr>
              <w:t>£m</w:t>
            </w:r>
          </w:p>
        </w:tc>
        <w:tc>
          <w:tcPr>
            <w:tcW w:w="1120" w:type="dxa"/>
            <w:tcBorders>
              <w:top w:val="nil"/>
              <w:left w:val="single" w:sz="4" w:space="0" w:color="auto"/>
              <w:bottom w:val="single" w:sz="4" w:space="0" w:color="auto"/>
              <w:right w:val="single" w:sz="4" w:space="0" w:color="auto"/>
            </w:tcBorders>
            <w:shd w:val="clear" w:color="auto" w:fill="DBE5F1" w:themeFill="accent1" w:themeFillTint="33"/>
            <w:noWrap/>
            <w:vAlign w:val="bottom"/>
            <w:hideMark/>
          </w:tcPr>
          <w:p w14:paraId="00E5F115" w14:textId="77777777" w:rsidR="00113D31" w:rsidRPr="002A1D42" w:rsidRDefault="00113D31" w:rsidP="0060790C">
            <w:pPr>
              <w:jc w:val="center"/>
              <w:rPr>
                <w:rFonts w:cs="Times New Roman"/>
                <w:b/>
                <w:bCs/>
                <w:color w:val="000000"/>
                <w:sz w:val="20"/>
                <w:szCs w:val="20"/>
              </w:rPr>
            </w:pPr>
            <w:r w:rsidRPr="002A1D42">
              <w:rPr>
                <w:rFonts w:cs="Times New Roman"/>
                <w:b/>
                <w:bCs/>
                <w:color w:val="000000"/>
                <w:sz w:val="20"/>
                <w:szCs w:val="20"/>
              </w:rPr>
              <w:t>£m</w:t>
            </w:r>
          </w:p>
        </w:tc>
        <w:tc>
          <w:tcPr>
            <w:tcW w:w="1120" w:type="dxa"/>
            <w:tcBorders>
              <w:top w:val="nil"/>
              <w:left w:val="single" w:sz="4" w:space="0" w:color="auto"/>
              <w:bottom w:val="single" w:sz="4" w:space="0" w:color="auto"/>
              <w:right w:val="single" w:sz="4" w:space="0" w:color="auto"/>
            </w:tcBorders>
            <w:shd w:val="clear" w:color="auto" w:fill="DBE5F1" w:themeFill="accent1" w:themeFillTint="33"/>
            <w:noWrap/>
            <w:vAlign w:val="bottom"/>
            <w:hideMark/>
          </w:tcPr>
          <w:p w14:paraId="105E56D3" w14:textId="77777777" w:rsidR="00113D31" w:rsidRPr="002A1D42" w:rsidRDefault="00113D31" w:rsidP="0060790C">
            <w:pPr>
              <w:jc w:val="center"/>
              <w:rPr>
                <w:rFonts w:cs="Times New Roman"/>
                <w:b/>
                <w:bCs/>
                <w:color w:val="000000"/>
                <w:sz w:val="20"/>
                <w:szCs w:val="20"/>
              </w:rPr>
            </w:pPr>
            <w:r w:rsidRPr="002A1D42">
              <w:rPr>
                <w:rFonts w:cs="Times New Roman"/>
                <w:b/>
                <w:bCs/>
                <w:color w:val="000000"/>
                <w:sz w:val="20"/>
                <w:szCs w:val="20"/>
              </w:rPr>
              <w:t>£m</w:t>
            </w:r>
          </w:p>
        </w:tc>
      </w:tr>
      <w:tr w:rsidR="00113D31" w14:paraId="35CCBF92" w14:textId="77777777" w:rsidTr="0060790C">
        <w:trPr>
          <w:trHeight w:val="300"/>
        </w:trPr>
        <w:tc>
          <w:tcPr>
            <w:tcW w:w="5480" w:type="dxa"/>
            <w:tcBorders>
              <w:top w:val="nil"/>
              <w:left w:val="single" w:sz="4" w:space="0" w:color="auto"/>
              <w:bottom w:val="nil"/>
              <w:right w:val="single" w:sz="4" w:space="0" w:color="auto"/>
            </w:tcBorders>
            <w:vAlign w:val="center"/>
            <w:hideMark/>
          </w:tcPr>
          <w:p w14:paraId="365D50E1" w14:textId="77777777" w:rsidR="00113D31" w:rsidRPr="002A1D42" w:rsidRDefault="00113D31" w:rsidP="0060790C">
            <w:pPr>
              <w:rPr>
                <w:rFonts w:cs="Times New Roman"/>
                <w:b/>
                <w:bCs/>
                <w:color w:val="000000"/>
                <w:sz w:val="20"/>
                <w:szCs w:val="20"/>
              </w:rPr>
            </w:pPr>
            <w:r w:rsidRPr="002A1D42">
              <w:rPr>
                <w:rFonts w:cs="Times New Roman"/>
                <w:b/>
                <w:bCs/>
                <w:color w:val="000000"/>
                <w:sz w:val="20"/>
                <w:szCs w:val="20"/>
              </w:rPr>
              <w:t> </w:t>
            </w:r>
          </w:p>
        </w:tc>
        <w:tc>
          <w:tcPr>
            <w:tcW w:w="1120" w:type="dxa"/>
            <w:tcBorders>
              <w:top w:val="nil"/>
              <w:left w:val="single" w:sz="4" w:space="0" w:color="auto"/>
              <w:bottom w:val="nil"/>
              <w:right w:val="single" w:sz="4" w:space="0" w:color="auto"/>
            </w:tcBorders>
            <w:noWrap/>
            <w:vAlign w:val="center"/>
            <w:hideMark/>
          </w:tcPr>
          <w:p w14:paraId="34F4A4EA" w14:textId="77777777" w:rsidR="00113D31" w:rsidRPr="002A1D42" w:rsidRDefault="00113D31" w:rsidP="0060790C">
            <w:pPr>
              <w:jc w:val="left"/>
              <w:rPr>
                <w:rFonts w:ascii="Times New Roman" w:hAnsi="Times New Roman" w:cs="Times New Roman"/>
                <w:sz w:val="20"/>
                <w:szCs w:val="20"/>
              </w:rPr>
            </w:pPr>
          </w:p>
        </w:tc>
        <w:tc>
          <w:tcPr>
            <w:tcW w:w="1120" w:type="dxa"/>
            <w:tcBorders>
              <w:top w:val="nil"/>
              <w:left w:val="single" w:sz="4" w:space="0" w:color="auto"/>
              <w:bottom w:val="nil"/>
              <w:right w:val="single" w:sz="4" w:space="0" w:color="auto"/>
            </w:tcBorders>
            <w:noWrap/>
            <w:vAlign w:val="bottom"/>
            <w:hideMark/>
          </w:tcPr>
          <w:p w14:paraId="286766A6" w14:textId="77777777" w:rsidR="00113D31" w:rsidRPr="002A1D42" w:rsidRDefault="00113D31" w:rsidP="0060790C">
            <w:pPr>
              <w:jc w:val="left"/>
              <w:rPr>
                <w:rFonts w:ascii="Times New Roman" w:hAnsi="Times New Roman" w:cs="Times New Roman"/>
                <w:sz w:val="20"/>
                <w:szCs w:val="20"/>
              </w:rPr>
            </w:pPr>
          </w:p>
        </w:tc>
        <w:tc>
          <w:tcPr>
            <w:tcW w:w="1120" w:type="dxa"/>
            <w:tcBorders>
              <w:top w:val="nil"/>
              <w:left w:val="single" w:sz="4" w:space="0" w:color="auto"/>
              <w:bottom w:val="nil"/>
              <w:right w:val="single" w:sz="4" w:space="0" w:color="auto"/>
            </w:tcBorders>
            <w:noWrap/>
            <w:vAlign w:val="bottom"/>
            <w:hideMark/>
          </w:tcPr>
          <w:p w14:paraId="21D9A647" w14:textId="77777777" w:rsidR="00113D31" w:rsidRPr="002A1D42" w:rsidRDefault="00113D31" w:rsidP="0060790C">
            <w:pPr>
              <w:rPr>
                <w:rFonts w:cs="Times New Roman"/>
                <w:color w:val="000000"/>
                <w:sz w:val="20"/>
                <w:szCs w:val="20"/>
              </w:rPr>
            </w:pPr>
            <w:r w:rsidRPr="002A1D42">
              <w:rPr>
                <w:rFonts w:cs="Times New Roman"/>
                <w:color w:val="000000"/>
                <w:sz w:val="20"/>
                <w:szCs w:val="20"/>
              </w:rPr>
              <w:t> </w:t>
            </w:r>
          </w:p>
        </w:tc>
      </w:tr>
      <w:tr w:rsidR="00113D31" w14:paraId="134B5E0C" w14:textId="77777777" w:rsidTr="0060790C">
        <w:trPr>
          <w:trHeight w:val="300"/>
        </w:trPr>
        <w:tc>
          <w:tcPr>
            <w:tcW w:w="5480" w:type="dxa"/>
            <w:tcBorders>
              <w:top w:val="nil"/>
              <w:left w:val="single" w:sz="4" w:space="0" w:color="auto"/>
              <w:bottom w:val="nil"/>
              <w:right w:val="single" w:sz="4" w:space="0" w:color="auto"/>
            </w:tcBorders>
            <w:vAlign w:val="center"/>
            <w:hideMark/>
          </w:tcPr>
          <w:p w14:paraId="0ADE0C59" w14:textId="77777777" w:rsidR="00113D31" w:rsidRPr="002A1D42" w:rsidRDefault="00113D31" w:rsidP="0060790C">
            <w:pPr>
              <w:rPr>
                <w:rFonts w:cs="Times New Roman"/>
                <w:color w:val="000000"/>
                <w:sz w:val="20"/>
                <w:szCs w:val="20"/>
              </w:rPr>
            </w:pPr>
            <w:r w:rsidRPr="002A1D42">
              <w:rPr>
                <w:rFonts w:cs="Times New Roman"/>
                <w:color w:val="000000"/>
                <w:sz w:val="20"/>
                <w:szCs w:val="20"/>
              </w:rPr>
              <w:t xml:space="preserve">Wage awards </w:t>
            </w:r>
          </w:p>
        </w:tc>
        <w:tc>
          <w:tcPr>
            <w:tcW w:w="1120" w:type="dxa"/>
            <w:tcBorders>
              <w:top w:val="nil"/>
              <w:left w:val="single" w:sz="4" w:space="0" w:color="auto"/>
              <w:bottom w:val="nil"/>
              <w:right w:val="single" w:sz="4" w:space="0" w:color="auto"/>
            </w:tcBorders>
            <w:noWrap/>
            <w:vAlign w:val="bottom"/>
            <w:hideMark/>
          </w:tcPr>
          <w:p w14:paraId="038C70AD" w14:textId="77777777" w:rsidR="00113D31" w:rsidRPr="002A1D42" w:rsidRDefault="00113D31" w:rsidP="0060790C">
            <w:pPr>
              <w:jc w:val="center"/>
              <w:rPr>
                <w:rFonts w:cs="Times New Roman"/>
                <w:color w:val="000000"/>
                <w:sz w:val="20"/>
                <w:szCs w:val="20"/>
              </w:rPr>
            </w:pPr>
            <w:r w:rsidRPr="002A1D42">
              <w:rPr>
                <w:rFonts w:cs="Times New Roman"/>
                <w:color w:val="000000"/>
                <w:sz w:val="20"/>
                <w:szCs w:val="20"/>
              </w:rPr>
              <w:t>10.5</w:t>
            </w:r>
          </w:p>
        </w:tc>
        <w:tc>
          <w:tcPr>
            <w:tcW w:w="1120" w:type="dxa"/>
            <w:tcBorders>
              <w:top w:val="nil"/>
              <w:left w:val="single" w:sz="4" w:space="0" w:color="auto"/>
              <w:bottom w:val="nil"/>
              <w:right w:val="single" w:sz="4" w:space="0" w:color="auto"/>
            </w:tcBorders>
            <w:noWrap/>
            <w:vAlign w:val="bottom"/>
          </w:tcPr>
          <w:p w14:paraId="3DCB551F" w14:textId="77777777" w:rsidR="00113D31" w:rsidRPr="002A1D42" w:rsidRDefault="00113D31" w:rsidP="0060790C">
            <w:pPr>
              <w:jc w:val="center"/>
              <w:rPr>
                <w:rFonts w:cs="Times New Roman"/>
                <w:color w:val="000000"/>
                <w:sz w:val="20"/>
                <w:szCs w:val="20"/>
              </w:rPr>
            </w:pPr>
            <w:r w:rsidRPr="002A1D42">
              <w:rPr>
                <w:rFonts w:cs="Times New Roman"/>
                <w:color w:val="000000"/>
                <w:sz w:val="20"/>
                <w:szCs w:val="20"/>
              </w:rPr>
              <w:t>10.5</w:t>
            </w:r>
          </w:p>
        </w:tc>
        <w:tc>
          <w:tcPr>
            <w:tcW w:w="1120" w:type="dxa"/>
            <w:tcBorders>
              <w:top w:val="nil"/>
              <w:left w:val="single" w:sz="4" w:space="0" w:color="auto"/>
              <w:bottom w:val="nil"/>
              <w:right w:val="single" w:sz="4" w:space="0" w:color="auto"/>
            </w:tcBorders>
            <w:noWrap/>
            <w:vAlign w:val="bottom"/>
          </w:tcPr>
          <w:p w14:paraId="3C8D498C" w14:textId="77777777" w:rsidR="00113D31" w:rsidRPr="002A1D42" w:rsidRDefault="00113D31" w:rsidP="0060790C">
            <w:pPr>
              <w:jc w:val="center"/>
              <w:rPr>
                <w:rFonts w:cs="Times New Roman"/>
                <w:color w:val="000000"/>
                <w:sz w:val="20"/>
                <w:szCs w:val="20"/>
              </w:rPr>
            </w:pPr>
            <w:r w:rsidRPr="002A1D42">
              <w:rPr>
                <w:rFonts w:cs="Times New Roman"/>
                <w:color w:val="000000"/>
                <w:sz w:val="20"/>
                <w:szCs w:val="20"/>
              </w:rPr>
              <w:t>10.5</w:t>
            </w:r>
          </w:p>
        </w:tc>
      </w:tr>
      <w:tr w:rsidR="00113D31" w14:paraId="61D29C4B" w14:textId="77777777" w:rsidTr="0060790C">
        <w:trPr>
          <w:trHeight w:val="300"/>
        </w:trPr>
        <w:tc>
          <w:tcPr>
            <w:tcW w:w="5480" w:type="dxa"/>
            <w:tcBorders>
              <w:top w:val="nil"/>
              <w:left w:val="single" w:sz="4" w:space="0" w:color="auto"/>
              <w:bottom w:val="nil"/>
              <w:right w:val="single" w:sz="4" w:space="0" w:color="auto"/>
            </w:tcBorders>
            <w:vAlign w:val="center"/>
            <w:hideMark/>
          </w:tcPr>
          <w:p w14:paraId="4D63B233" w14:textId="77777777" w:rsidR="00113D31" w:rsidRPr="002A1D42" w:rsidRDefault="00113D31" w:rsidP="0060790C">
            <w:pPr>
              <w:rPr>
                <w:rFonts w:cs="Times New Roman"/>
                <w:color w:val="000000"/>
                <w:sz w:val="20"/>
                <w:szCs w:val="20"/>
              </w:rPr>
            </w:pPr>
            <w:r w:rsidRPr="002A1D42">
              <w:rPr>
                <w:rFonts w:cs="Times New Roman"/>
                <w:color w:val="000000"/>
                <w:sz w:val="20"/>
                <w:szCs w:val="20"/>
              </w:rPr>
              <w:t>A4C incremental drift</w:t>
            </w:r>
          </w:p>
        </w:tc>
        <w:tc>
          <w:tcPr>
            <w:tcW w:w="1120" w:type="dxa"/>
            <w:tcBorders>
              <w:top w:val="nil"/>
              <w:left w:val="single" w:sz="4" w:space="0" w:color="auto"/>
              <w:bottom w:val="nil"/>
              <w:right w:val="single" w:sz="4" w:space="0" w:color="auto"/>
            </w:tcBorders>
            <w:noWrap/>
            <w:vAlign w:val="bottom"/>
            <w:hideMark/>
          </w:tcPr>
          <w:p w14:paraId="04B81F14" w14:textId="77777777" w:rsidR="00113D31" w:rsidRPr="002A1D42" w:rsidRDefault="00113D31" w:rsidP="0060790C">
            <w:pPr>
              <w:jc w:val="center"/>
              <w:rPr>
                <w:rFonts w:cs="Times New Roman"/>
                <w:color w:val="000000"/>
                <w:sz w:val="20"/>
                <w:szCs w:val="20"/>
              </w:rPr>
            </w:pPr>
            <w:r w:rsidRPr="002A1D42">
              <w:rPr>
                <w:rFonts w:cs="Times New Roman"/>
                <w:color w:val="000000"/>
                <w:sz w:val="20"/>
                <w:szCs w:val="20"/>
              </w:rPr>
              <w:t>0.</w:t>
            </w:r>
            <w:r>
              <w:rPr>
                <w:rFonts w:cs="Times New Roman"/>
                <w:color w:val="000000"/>
                <w:sz w:val="20"/>
                <w:szCs w:val="20"/>
              </w:rPr>
              <w:t>8</w:t>
            </w:r>
          </w:p>
        </w:tc>
        <w:tc>
          <w:tcPr>
            <w:tcW w:w="1120" w:type="dxa"/>
            <w:tcBorders>
              <w:top w:val="nil"/>
              <w:left w:val="single" w:sz="4" w:space="0" w:color="auto"/>
              <w:bottom w:val="nil"/>
              <w:right w:val="single" w:sz="4" w:space="0" w:color="auto"/>
            </w:tcBorders>
            <w:noWrap/>
            <w:vAlign w:val="bottom"/>
          </w:tcPr>
          <w:p w14:paraId="268CFFDC" w14:textId="77777777" w:rsidR="00113D31" w:rsidRPr="002A1D42" w:rsidRDefault="00113D31" w:rsidP="0060790C">
            <w:pPr>
              <w:jc w:val="center"/>
              <w:rPr>
                <w:rFonts w:cs="Times New Roman"/>
                <w:color w:val="000000"/>
                <w:sz w:val="20"/>
                <w:szCs w:val="20"/>
              </w:rPr>
            </w:pPr>
            <w:r w:rsidRPr="002A1D42">
              <w:rPr>
                <w:rFonts w:cs="Times New Roman"/>
                <w:color w:val="000000"/>
                <w:sz w:val="20"/>
                <w:szCs w:val="20"/>
              </w:rPr>
              <w:t>0.</w:t>
            </w:r>
            <w:r>
              <w:rPr>
                <w:rFonts w:cs="Times New Roman"/>
                <w:color w:val="000000"/>
                <w:sz w:val="20"/>
                <w:szCs w:val="20"/>
              </w:rPr>
              <w:t>7</w:t>
            </w:r>
          </w:p>
        </w:tc>
        <w:tc>
          <w:tcPr>
            <w:tcW w:w="1120" w:type="dxa"/>
            <w:tcBorders>
              <w:top w:val="nil"/>
              <w:left w:val="single" w:sz="4" w:space="0" w:color="auto"/>
              <w:bottom w:val="nil"/>
              <w:right w:val="single" w:sz="4" w:space="0" w:color="auto"/>
            </w:tcBorders>
            <w:noWrap/>
            <w:vAlign w:val="bottom"/>
          </w:tcPr>
          <w:p w14:paraId="0A405A3D" w14:textId="77777777" w:rsidR="00113D31" w:rsidRPr="002A1D42" w:rsidRDefault="00113D31" w:rsidP="0060790C">
            <w:pPr>
              <w:jc w:val="center"/>
              <w:rPr>
                <w:rFonts w:cs="Times New Roman"/>
                <w:color w:val="000000"/>
                <w:sz w:val="20"/>
                <w:szCs w:val="20"/>
              </w:rPr>
            </w:pPr>
            <w:r w:rsidRPr="002A1D42">
              <w:rPr>
                <w:rFonts w:cs="Times New Roman"/>
                <w:color w:val="000000"/>
                <w:sz w:val="20"/>
                <w:szCs w:val="20"/>
              </w:rPr>
              <w:t>0.</w:t>
            </w:r>
            <w:r>
              <w:rPr>
                <w:rFonts w:cs="Times New Roman"/>
                <w:color w:val="000000"/>
                <w:sz w:val="20"/>
                <w:szCs w:val="20"/>
              </w:rPr>
              <w:t>3</w:t>
            </w:r>
          </w:p>
        </w:tc>
      </w:tr>
      <w:tr w:rsidR="00113D31" w14:paraId="659A289C" w14:textId="77777777" w:rsidTr="0060790C">
        <w:trPr>
          <w:trHeight w:val="300"/>
        </w:trPr>
        <w:tc>
          <w:tcPr>
            <w:tcW w:w="5480" w:type="dxa"/>
            <w:tcBorders>
              <w:top w:val="nil"/>
              <w:left w:val="single" w:sz="4" w:space="0" w:color="auto"/>
              <w:bottom w:val="nil"/>
              <w:right w:val="single" w:sz="4" w:space="0" w:color="auto"/>
            </w:tcBorders>
            <w:vAlign w:val="center"/>
          </w:tcPr>
          <w:p w14:paraId="67C2C3AF" w14:textId="77777777" w:rsidR="00113D31" w:rsidRPr="002A1D42" w:rsidRDefault="00113D31" w:rsidP="0060790C">
            <w:pPr>
              <w:rPr>
                <w:rFonts w:cs="Times New Roman"/>
                <w:color w:val="000000"/>
                <w:sz w:val="20"/>
                <w:szCs w:val="20"/>
              </w:rPr>
            </w:pPr>
            <w:r>
              <w:rPr>
                <w:rFonts w:cs="Times New Roman"/>
                <w:color w:val="000000"/>
                <w:sz w:val="20"/>
                <w:szCs w:val="20"/>
              </w:rPr>
              <w:t>Medical and dental pay</w:t>
            </w:r>
          </w:p>
        </w:tc>
        <w:tc>
          <w:tcPr>
            <w:tcW w:w="1120" w:type="dxa"/>
            <w:tcBorders>
              <w:top w:val="nil"/>
              <w:left w:val="single" w:sz="4" w:space="0" w:color="auto"/>
              <w:bottom w:val="nil"/>
              <w:right w:val="single" w:sz="4" w:space="0" w:color="auto"/>
            </w:tcBorders>
            <w:noWrap/>
            <w:vAlign w:val="bottom"/>
          </w:tcPr>
          <w:p w14:paraId="35D9F3A1" w14:textId="77777777" w:rsidR="00113D31" w:rsidRPr="002A1D42" w:rsidRDefault="00113D31" w:rsidP="0060790C">
            <w:pPr>
              <w:jc w:val="center"/>
              <w:rPr>
                <w:rFonts w:cs="Times New Roman"/>
                <w:color w:val="000000"/>
                <w:sz w:val="20"/>
                <w:szCs w:val="20"/>
              </w:rPr>
            </w:pPr>
            <w:r>
              <w:rPr>
                <w:rFonts w:cs="Times New Roman"/>
                <w:color w:val="000000"/>
                <w:sz w:val="20"/>
                <w:szCs w:val="20"/>
              </w:rPr>
              <w:t>3.0</w:t>
            </w:r>
          </w:p>
        </w:tc>
        <w:tc>
          <w:tcPr>
            <w:tcW w:w="1120" w:type="dxa"/>
            <w:tcBorders>
              <w:top w:val="nil"/>
              <w:left w:val="single" w:sz="4" w:space="0" w:color="auto"/>
              <w:bottom w:val="nil"/>
              <w:right w:val="single" w:sz="4" w:space="0" w:color="auto"/>
            </w:tcBorders>
            <w:noWrap/>
            <w:vAlign w:val="bottom"/>
          </w:tcPr>
          <w:p w14:paraId="05644647" w14:textId="77777777" w:rsidR="00113D31" w:rsidRPr="002A1D42" w:rsidRDefault="00113D31" w:rsidP="0060790C">
            <w:pPr>
              <w:jc w:val="center"/>
              <w:rPr>
                <w:rFonts w:cs="Times New Roman"/>
                <w:color w:val="000000"/>
                <w:sz w:val="20"/>
                <w:szCs w:val="20"/>
              </w:rPr>
            </w:pPr>
            <w:r>
              <w:rPr>
                <w:rFonts w:cs="Times New Roman"/>
                <w:color w:val="000000"/>
                <w:sz w:val="20"/>
                <w:szCs w:val="20"/>
              </w:rPr>
              <w:t>3.0</w:t>
            </w:r>
          </w:p>
        </w:tc>
        <w:tc>
          <w:tcPr>
            <w:tcW w:w="1120" w:type="dxa"/>
            <w:tcBorders>
              <w:top w:val="nil"/>
              <w:left w:val="single" w:sz="4" w:space="0" w:color="auto"/>
              <w:bottom w:val="nil"/>
              <w:right w:val="single" w:sz="4" w:space="0" w:color="auto"/>
            </w:tcBorders>
            <w:noWrap/>
            <w:vAlign w:val="bottom"/>
          </w:tcPr>
          <w:p w14:paraId="72E8BCA6" w14:textId="77777777" w:rsidR="00113D31" w:rsidRPr="002A1D42" w:rsidRDefault="00113D31" w:rsidP="0060790C">
            <w:pPr>
              <w:jc w:val="center"/>
              <w:rPr>
                <w:rFonts w:cs="Times New Roman"/>
                <w:color w:val="000000"/>
                <w:sz w:val="20"/>
                <w:szCs w:val="20"/>
              </w:rPr>
            </w:pPr>
            <w:r>
              <w:rPr>
                <w:rFonts w:cs="Times New Roman"/>
                <w:color w:val="000000"/>
                <w:sz w:val="20"/>
                <w:szCs w:val="20"/>
              </w:rPr>
              <w:t>3.0</w:t>
            </w:r>
          </w:p>
        </w:tc>
      </w:tr>
      <w:tr w:rsidR="00113D31" w14:paraId="39FDE197" w14:textId="77777777" w:rsidTr="0060790C">
        <w:trPr>
          <w:trHeight w:val="300"/>
        </w:trPr>
        <w:tc>
          <w:tcPr>
            <w:tcW w:w="5480" w:type="dxa"/>
            <w:tcBorders>
              <w:top w:val="nil"/>
              <w:left w:val="single" w:sz="4" w:space="0" w:color="auto"/>
              <w:bottom w:val="nil"/>
              <w:right w:val="single" w:sz="4" w:space="0" w:color="auto"/>
            </w:tcBorders>
            <w:vAlign w:val="center"/>
            <w:hideMark/>
          </w:tcPr>
          <w:p w14:paraId="6614CFB2" w14:textId="77777777" w:rsidR="00113D31" w:rsidRPr="002A1D42" w:rsidRDefault="00113D31" w:rsidP="0060790C">
            <w:pPr>
              <w:rPr>
                <w:rFonts w:cs="Times New Roman"/>
                <w:color w:val="000000"/>
                <w:sz w:val="20"/>
                <w:szCs w:val="20"/>
              </w:rPr>
            </w:pPr>
            <w:r w:rsidRPr="002A1D42">
              <w:rPr>
                <w:rFonts w:cs="Times New Roman"/>
                <w:color w:val="000000"/>
                <w:sz w:val="20"/>
                <w:szCs w:val="20"/>
              </w:rPr>
              <w:t>Medical and dental incremental drift</w:t>
            </w:r>
          </w:p>
        </w:tc>
        <w:tc>
          <w:tcPr>
            <w:tcW w:w="1120" w:type="dxa"/>
            <w:tcBorders>
              <w:top w:val="nil"/>
              <w:left w:val="single" w:sz="4" w:space="0" w:color="auto"/>
              <w:bottom w:val="nil"/>
              <w:right w:val="single" w:sz="4" w:space="0" w:color="auto"/>
            </w:tcBorders>
            <w:noWrap/>
            <w:vAlign w:val="bottom"/>
            <w:hideMark/>
          </w:tcPr>
          <w:p w14:paraId="4770D680" w14:textId="77777777" w:rsidR="00113D31" w:rsidRPr="002A1D42" w:rsidRDefault="00113D31" w:rsidP="0060790C">
            <w:pPr>
              <w:jc w:val="center"/>
              <w:rPr>
                <w:rFonts w:cs="Times New Roman"/>
                <w:color w:val="000000"/>
                <w:sz w:val="20"/>
                <w:szCs w:val="20"/>
              </w:rPr>
            </w:pPr>
            <w:r w:rsidRPr="002A1D42">
              <w:rPr>
                <w:rFonts w:cs="Times New Roman"/>
                <w:color w:val="000000"/>
                <w:sz w:val="20"/>
                <w:szCs w:val="20"/>
              </w:rPr>
              <w:t>0.3</w:t>
            </w:r>
          </w:p>
        </w:tc>
        <w:tc>
          <w:tcPr>
            <w:tcW w:w="1120" w:type="dxa"/>
            <w:tcBorders>
              <w:top w:val="nil"/>
              <w:left w:val="single" w:sz="4" w:space="0" w:color="auto"/>
              <w:bottom w:val="nil"/>
              <w:right w:val="single" w:sz="4" w:space="0" w:color="auto"/>
            </w:tcBorders>
            <w:noWrap/>
            <w:vAlign w:val="bottom"/>
          </w:tcPr>
          <w:p w14:paraId="4EE1C97C" w14:textId="77777777" w:rsidR="00113D31" w:rsidRPr="002A1D42" w:rsidRDefault="00113D31" w:rsidP="0060790C">
            <w:pPr>
              <w:jc w:val="center"/>
              <w:rPr>
                <w:rFonts w:cs="Times New Roman"/>
                <w:color w:val="000000"/>
                <w:sz w:val="20"/>
                <w:szCs w:val="20"/>
              </w:rPr>
            </w:pPr>
            <w:r w:rsidRPr="002A1D42">
              <w:rPr>
                <w:rFonts w:cs="Times New Roman"/>
                <w:color w:val="000000"/>
                <w:sz w:val="20"/>
                <w:szCs w:val="20"/>
              </w:rPr>
              <w:t>0.3</w:t>
            </w:r>
          </w:p>
        </w:tc>
        <w:tc>
          <w:tcPr>
            <w:tcW w:w="1120" w:type="dxa"/>
            <w:tcBorders>
              <w:top w:val="nil"/>
              <w:left w:val="single" w:sz="4" w:space="0" w:color="auto"/>
              <w:bottom w:val="nil"/>
              <w:right w:val="single" w:sz="4" w:space="0" w:color="auto"/>
            </w:tcBorders>
            <w:noWrap/>
            <w:vAlign w:val="bottom"/>
          </w:tcPr>
          <w:p w14:paraId="46FB83D8" w14:textId="77777777" w:rsidR="00113D31" w:rsidRPr="002A1D42" w:rsidRDefault="00113D31" w:rsidP="0060790C">
            <w:pPr>
              <w:jc w:val="center"/>
              <w:rPr>
                <w:rFonts w:cs="Times New Roman"/>
                <w:color w:val="000000"/>
                <w:sz w:val="20"/>
                <w:szCs w:val="20"/>
              </w:rPr>
            </w:pPr>
            <w:r w:rsidRPr="002A1D42">
              <w:rPr>
                <w:rFonts w:cs="Times New Roman"/>
                <w:color w:val="000000"/>
                <w:sz w:val="20"/>
                <w:szCs w:val="20"/>
              </w:rPr>
              <w:t>0.3</w:t>
            </w:r>
          </w:p>
        </w:tc>
      </w:tr>
      <w:tr w:rsidR="00113D31" w14:paraId="69BCAA63" w14:textId="77777777" w:rsidTr="0060790C">
        <w:trPr>
          <w:trHeight w:val="300"/>
        </w:trPr>
        <w:tc>
          <w:tcPr>
            <w:tcW w:w="5480" w:type="dxa"/>
            <w:tcBorders>
              <w:top w:val="nil"/>
              <w:left w:val="single" w:sz="4" w:space="0" w:color="auto"/>
              <w:bottom w:val="nil"/>
              <w:right w:val="single" w:sz="4" w:space="0" w:color="auto"/>
            </w:tcBorders>
            <w:vAlign w:val="center"/>
            <w:hideMark/>
          </w:tcPr>
          <w:p w14:paraId="5BC43BD0" w14:textId="77777777" w:rsidR="00113D31" w:rsidRPr="002A1D42" w:rsidRDefault="00113D31" w:rsidP="0060790C">
            <w:pPr>
              <w:rPr>
                <w:rFonts w:cs="Times New Roman"/>
                <w:color w:val="000000"/>
                <w:sz w:val="20"/>
                <w:szCs w:val="20"/>
              </w:rPr>
            </w:pPr>
            <w:r w:rsidRPr="002A1D42">
              <w:rPr>
                <w:rFonts w:cs="Times New Roman"/>
                <w:color w:val="000000"/>
                <w:sz w:val="20"/>
                <w:szCs w:val="20"/>
              </w:rPr>
              <w:t>Consultant commitment awards</w:t>
            </w:r>
          </w:p>
        </w:tc>
        <w:tc>
          <w:tcPr>
            <w:tcW w:w="1120" w:type="dxa"/>
            <w:tcBorders>
              <w:top w:val="nil"/>
              <w:left w:val="single" w:sz="4" w:space="0" w:color="auto"/>
              <w:bottom w:val="nil"/>
              <w:right w:val="single" w:sz="4" w:space="0" w:color="auto"/>
            </w:tcBorders>
            <w:noWrap/>
            <w:vAlign w:val="bottom"/>
            <w:hideMark/>
          </w:tcPr>
          <w:p w14:paraId="1237923A" w14:textId="77777777" w:rsidR="00113D31" w:rsidRPr="002A1D42" w:rsidRDefault="00113D31" w:rsidP="0060790C">
            <w:pPr>
              <w:jc w:val="center"/>
              <w:rPr>
                <w:rFonts w:cs="Times New Roman"/>
                <w:color w:val="000000"/>
                <w:sz w:val="20"/>
                <w:szCs w:val="20"/>
              </w:rPr>
            </w:pPr>
            <w:r w:rsidRPr="002A1D42">
              <w:rPr>
                <w:rFonts w:cs="Times New Roman"/>
                <w:color w:val="000000"/>
                <w:sz w:val="20"/>
                <w:szCs w:val="20"/>
              </w:rPr>
              <w:t>0.3</w:t>
            </w:r>
          </w:p>
        </w:tc>
        <w:tc>
          <w:tcPr>
            <w:tcW w:w="1120" w:type="dxa"/>
            <w:tcBorders>
              <w:top w:val="nil"/>
              <w:left w:val="single" w:sz="4" w:space="0" w:color="auto"/>
              <w:bottom w:val="nil"/>
              <w:right w:val="single" w:sz="4" w:space="0" w:color="auto"/>
            </w:tcBorders>
            <w:noWrap/>
            <w:vAlign w:val="bottom"/>
          </w:tcPr>
          <w:p w14:paraId="78F1719D" w14:textId="77777777" w:rsidR="00113D31" w:rsidRPr="002A1D42" w:rsidRDefault="00113D31" w:rsidP="0060790C">
            <w:pPr>
              <w:jc w:val="center"/>
              <w:rPr>
                <w:rFonts w:cs="Times New Roman"/>
                <w:color w:val="000000"/>
                <w:sz w:val="20"/>
                <w:szCs w:val="20"/>
              </w:rPr>
            </w:pPr>
            <w:r w:rsidRPr="002A1D42">
              <w:rPr>
                <w:rFonts w:cs="Times New Roman"/>
                <w:color w:val="000000"/>
                <w:sz w:val="20"/>
                <w:szCs w:val="20"/>
              </w:rPr>
              <w:t>0.3</w:t>
            </w:r>
          </w:p>
        </w:tc>
        <w:tc>
          <w:tcPr>
            <w:tcW w:w="1120" w:type="dxa"/>
            <w:tcBorders>
              <w:top w:val="nil"/>
              <w:left w:val="single" w:sz="4" w:space="0" w:color="auto"/>
              <w:bottom w:val="nil"/>
              <w:right w:val="single" w:sz="4" w:space="0" w:color="auto"/>
            </w:tcBorders>
            <w:noWrap/>
            <w:vAlign w:val="bottom"/>
          </w:tcPr>
          <w:p w14:paraId="61A09D3A" w14:textId="77777777" w:rsidR="00113D31" w:rsidRPr="002A1D42" w:rsidRDefault="00113D31" w:rsidP="0060790C">
            <w:pPr>
              <w:jc w:val="center"/>
              <w:rPr>
                <w:rFonts w:cs="Times New Roman"/>
                <w:color w:val="000000"/>
                <w:sz w:val="20"/>
                <w:szCs w:val="20"/>
              </w:rPr>
            </w:pPr>
            <w:r w:rsidRPr="002A1D42">
              <w:rPr>
                <w:rFonts w:cs="Times New Roman"/>
                <w:color w:val="000000"/>
                <w:sz w:val="20"/>
                <w:szCs w:val="20"/>
              </w:rPr>
              <w:t>0.3</w:t>
            </w:r>
          </w:p>
        </w:tc>
      </w:tr>
      <w:tr w:rsidR="00113D31" w14:paraId="46C467B8" w14:textId="77777777" w:rsidTr="0060790C">
        <w:trPr>
          <w:trHeight w:val="300"/>
        </w:trPr>
        <w:tc>
          <w:tcPr>
            <w:tcW w:w="5480" w:type="dxa"/>
            <w:tcBorders>
              <w:top w:val="nil"/>
              <w:left w:val="single" w:sz="4" w:space="0" w:color="auto"/>
              <w:bottom w:val="nil"/>
              <w:right w:val="single" w:sz="4" w:space="0" w:color="auto"/>
            </w:tcBorders>
            <w:vAlign w:val="center"/>
          </w:tcPr>
          <w:p w14:paraId="05E17C86" w14:textId="77777777" w:rsidR="00113D31" w:rsidRPr="002A1D42" w:rsidRDefault="00113D31" w:rsidP="0060790C">
            <w:pPr>
              <w:rPr>
                <w:rFonts w:cs="Times New Roman"/>
                <w:color w:val="000000"/>
                <w:sz w:val="20"/>
                <w:szCs w:val="20"/>
              </w:rPr>
            </w:pPr>
            <w:r w:rsidRPr="002A1D42">
              <w:rPr>
                <w:rFonts w:cs="Times New Roman"/>
                <w:color w:val="000000"/>
                <w:sz w:val="20"/>
                <w:szCs w:val="20"/>
              </w:rPr>
              <w:t>Estimated inflation on external agency costs @2%</w:t>
            </w:r>
          </w:p>
        </w:tc>
        <w:tc>
          <w:tcPr>
            <w:tcW w:w="1120" w:type="dxa"/>
            <w:tcBorders>
              <w:top w:val="nil"/>
              <w:left w:val="single" w:sz="4" w:space="0" w:color="auto"/>
              <w:bottom w:val="nil"/>
              <w:right w:val="single" w:sz="4" w:space="0" w:color="auto"/>
            </w:tcBorders>
            <w:noWrap/>
            <w:vAlign w:val="bottom"/>
          </w:tcPr>
          <w:p w14:paraId="3672CB04" w14:textId="77777777" w:rsidR="00113D31" w:rsidRPr="002A1D42" w:rsidRDefault="00113D31" w:rsidP="0060790C">
            <w:pPr>
              <w:jc w:val="center"/>
              <w:rPr>
                <w:rFonts w:cs="Times New Roman"/>
                <w:color w:val="000000"/>
                <w:sz w:val="20"/>
                <w:szCs w:val="20"/>
              </w:rPr>
            </w:pPr>
            <w:r w:rsidRPr="002A1D42">
              <w:rPr>
                <w:rFonts w:cs="Times New Roman"/>
                <w:color w:val="000000"/>
                <w:sz w:val="20"/>
                <w:szCs w:val="20"/>
              </w:rPr>
              <w:t>0.</w:t>
            </w:r>
            <w:r>
              <w:rPr>
                <w:rFonts w:cs="Times New Roman"/>
                <w:color w:val="000000"/>
                <w:sz w:val="20"/>
                <w:szCs w:val="20"/>
              </w:rPr>
              <w:t>8</w:t>
            </w:r>
          </w:p>
        </w:tc>
        <w:tc>
          <w:tcPr>
            <w:tcW w:w="1120" w:type="dxa"/>
            <w:tcBorders>
              <w:top w:val="nil"/>
              <w:left w:val="single" w:sz="4" w:space="0" w:color="auto"/>
              <w:bottom w:val="nil"/>
              <w:right w:val="single" w:sz="4" w:space="0" w:color="auto"/>
            </w:tcBorders>
            <w:noWrap/>
            <w:vAlign w:val="bottom"/>
          </w:tcPr>
          <w:p w14:paraId="6CE323FA" w14:textId="77777777" w:rsidR="00113D31" w:rsidRPr="002A1D42" w:rsidRDefault="00113D31" w:rsidP="0060790C">
            <w:pPr>
              <w:jc w:val="center"/>
              <w:rPr>
                <w:rFonts w:cs="Times New Roman"/>
                <w:color w:val="000000"/>
                <w:sz w:val="20"/>
                <w:szCs w:val="20"/>
              </w:rPr>
            </w:pPr>
            <w:r w:rsidRPr="002A1D42">
              <w:rPr>
                <w:rFonts w:cs="Times New Roman"/>
                <w:color w:val="000000"/>
                <w:sz w:val="20"/>
                <w:szCs w:val="20"/>
              </w:rPr>
              <w:t>0.</w:t>
            </w:r>
            <w:r>
              <w:rPr>
                <w:rFonts w:cs="Times New Roman"/>
                <w:color w:val="000000"/>
                <w:sz w:val="20"/>
                <w:szCs w:val="20"/>
              </w:rPr>
              <w:t>8</w:t>
            </w:r>
          </w:p>
        </w:tc>
        <w:tc>
          <w:tcPr>
            <w:tcW w:w="1120" w:type="dxa"/>
            <w:tcBorders>
              <w:top w:val="nil"/>
              <w:left w:val="single" w:sz="4" w:space="0" w:color="auto"/>
              <w:bottom w:val="nil"/>
              <w:right w:val="single" w:sz="4" w:space="0" w:color="auto"/>
            </w:tcBorders>
            <w:noWrap/>
            <w:vAlign w:val="bottom"/>
          </w:tcPr>
          <w:p w14:paraId="60E8319E" w14:textId="77777777" w:rsidR="00113D31" w:rsidRPr="002A1D42" w:rsidRDefault="00113D31" w:rsidP="0060790C">
            <w:pPr>
              <w:jc w:val="center"/>
              <w:rPr>
                <w:rFonts w:cs="Times New Roman"/>
                <w:color w:val="000000"/>
                <w:sz w:val="20"/>
                <w:szCs w:val="20"/>
              </w:rPr>
            </w:pPr>
            <w:r w:rsidRPr="002A1D42">
              <w:rPr>
                <w:rFonts w:cs="Times New Roman"/>
                <w:color w:val="000000"/>
                <w:sz w:val="20"/>
                <w:szCs w:val="20"/>
              </w:rPr>
              <w:t>0.</w:t>
            </w:r>
            <w:r>
              <w:rPr>
                <w:rFonts w:cs="Times New Roman"/>
                <w:color w:val="000000"/>
                <w:sz w:val="20"/>
                <w:szCs w:val="20"/>
              </w:rPr>
              <w:t>8</w:t>
            </w:r>
          </w:p>
        </w:tc>
      </w:tr>
      <w:tr w:rsidR="00113D31" w14:paraId="43931B0B" w14:textId="77777777" w:rsidTr="0060790C">
        <w:trPr>
          <w:trHeight w:val="300"/>
        </w:trPr>
        <w:tc>
          <w:tcPr>
            <w:tcW w:w="5480" w:type="dxa"/>
            <w:tcBorders>
              <w:top w:val="single" w:sz="4" w:space="0" w:color="auto"/>
              <w:left w:val="single" w:sz="4" w:space="0" w:color="auto"/>
              <w:bottom w:val="single" w:sz="4" w:space="0" w:color="auto"/>
              <w:right w:val="single" w:sz="4" w:space="0" w:color="auto"/>
            </w:tcBorders>
            <w:vAlign w:val="center"/>
            <w:hideMark/>
          </w:tcPr>
          <w:p w14:paraId="77CBD834" w14:textId="77777777" w:rsidR="00113D31" w:rsidRPr="002A1D42" w:rsidRDefault="00113D31" w:rsidP="0060790C">
            <w:pPr>
              <w:rPr>
                <w:b/>
                <w:bCs/>
                <w:color w:val="000000"/>
                <w:sz w:val="20"/>
                <w:szCs w:val="20"/>
              </w:rPr>
            </w:pPr>
            <w:r w:rsidRPr="002A1D42">
              <w:rPr>
                <w:b/>
                <w:bCs/>
                <w:color w:val="000000"/>
                <w:sz w:val="20"/>
                <w:szCs w:val="20"/>
              </w:rPr>
              <w:t>Total</w:t>
            </w:r>
          </w:p>
        </w:tc>
        <w:tc>
          <w:tcPr>
            <w:tcW w:w="1120" w:type="dxa"/>
            <w:tcBorders>
              <w:top w:val="single" w:sz="4" w:space="0" w:color="auto"/>
              <w:left w:val="single" w:sz="4" w:space="0" w:color="auto"/>
              <w:bottom w:val="single" w:sz="4" w:space="0" w:color="auto"/>
              <w:right w:val="single" w:sz="4" w:space="0" w:color="auto"/>
            </w:tcBorders>
            <w:noWrap/>
            <w:vAlign w:val="bottom"/>
            <w:hideMark/>
          </w:tcPr>
          <w:p w14:paraId="62324557" w14:textId="77777777" w:rsidR="00113D31" w:rsidRPr="002A1D42" w:rsidRDefault="00113D31" w:rsidP="0060790C">
            <w:pPr>
              <w:jc w:val="center"/>
              <w:rPr>
                <w:b/>
                <w:bCs/>
                <w:color w:val="000000"/>
                <w:sz w:val="20"/>
                <w:szCs w:val="20"/>
              </w:rPr>
            </w:pPr>
            <w:r w:rsidRPr="002A1D42">
              <w:rPr>
                <w:b/>
                <w:bCs/>
                <w:color w:val="000000"/>
                <w:sz w:val="20"/>
                <w:szCs w:val="20"/>
              </w:rPr>
              <w:t>1</w:t>
            </w:r>
            <w:r>
              <w:rPr>
                <w:b/>
                <w:bCs/>
                <w:color w:val="000000"/>
                <w:sz w:val="20"/>
                <w:szCs w:val="20"/>
              </w:rPr>
              <w:t>5.7</w:t>
            </w:r>
          </w:p>
        </w:tc>
        <w:tc>
          <w:tcPr>
            <w:tcW w:w="1120" w:type="dxa"/>
            <w:tcBorders>
              <w:top w:val="single" w:sz="4" w:space="0" w:color="auto"/>
              <w:left w:val="single" w:sz="4" w:space="0" w:color="auto"/>
              <w:bottom w:val="single" w:sz="4" w:space="0" w:color="auto"/>
              <w:right w:val="single" w:sz="4" w:space="0" w:color="auto"/>
            </w:tcBorders>
            <w:noWrap/>
            <w:vAlign w:val="bottom"/>
          </w:tcPr>
          <w:p w14:paraId="3D9AFD96" w14:textId="77777777" w:rsidR="00113D31" w:rsidRPr="002A1D42" w:rsidRDefault="00113D31" w:rsidP="0060790C">
            <w:pPr>
              <w:jc w:val="center"/>
              <w:rPr>
                <w:b/>
                <w:bCs/>
                <w:color w:val="000000"/>
                <w:sz w:val="20"/>
                <w:szCs w:val="20"/>
              </w:rPr>
            </w:pPr>
            <w:r>
              <w:rPr>
                <w:b/>
                <w:bCs/>
                <w:color w:val="000000"/>
                <w:sz w:val="20"/>
                <w:szCs w:val="20"/>
              </w:rPr>
              <w:t>15.6</w:t>
            </w:r>
          </w:p>
        </w:tc>
        <w:tc>
          <w:tcPr>
            <w:tcW w:w="1120" w:type="dxa"/>
            <w:tcBorders>
              <w:top w:val="single" w:sz="4" w:space="0" w:color="auto"/>
              <w:left w:val="single" w:sz="4" w:space="0" w:color="auto"/>
              <w:bottom w:val="single" w:sz="4" w:space="0" w:color="auto"/>
              <w:right w:val="single" w:sz="4" w:space="0" w:color="auto"/>
            </w:tcBorders>
            <w:noWrap/>
            <w:vAlign w:val="bottom"/>
          </w:tcPr>
          <w:p w14:paraId="7DFF3B4E" w14:textId="77777777" w:rsidR="00113D31" w:rsidRPr="002A1D42" w:rsidRDefault="00113D31" w:rsidP="0060790C">
            <w:pPr>
              <w:jc w:val="center"/>
              <w:rPr>
                <w:b/>
                <w:bCs/>
                <w:color w:val="000000"/>
                <w:sz w:val="20"/>
                <w:szCs w:val="20"/>
              </w:rPr>
            </w:pPr>
            <w:r>
              <w:rPr>
                <w:b/>
                <w:bCs/>
                <w:color w:val="000000"/>
                <w:sz w:val="20"/>
                <w:szCs w:val="20"/>
              </w:rPr>
              <w:t>15.2</w:t>
            </w:r>
          </w:p>
        </w:tc>
      </w:tr>
    </w:tbl>
    <w:p w14:paraId="7D814AA3" w14:textId="77777777" w:rsidR="00113D31" w:rsidRDefault="00113D31" w:rsidP="00113D31"/>
    <w:p w14:paraId="641940A8" w14:textId="77777777" w:rsidR="00113D31" w:rsidRDefault="00113D31" w:rsidP="00113D31">
      <w:r w:rsidRPr="00176626">
        <w:t xml:space="preserve">Pay cost pressures have been assessed to remain </w:t>
      </w:r>
      <w:r>
        <w:t xml:space="preserve">broadly </w:t>
      </w:r>
      <w:r w:rsidRPr="00176626">
        <w:t>stable o</w:t>
      </w:r>
      <w:r>
        <w:t>ver the three years of the plan.</w:t>
      </w:r>
    </w:p>
    <w:p w14:paraId="37D2472C" w14:textId="77777777" w:rsidR="00113D31" w:rsidRPr="004A3885" w:rsidRDefault="00113D31" w:rsidP="00E334A5">
      <w:pPr>
        <w:pStyle w:val="Heading3"/>
      </w:pPr>
      <w:r w:rsidRPr="004A3885">
        <w:t>Continui</w:t>
      </w:r>
      <w:r w:rsidRPr="00E334A5">
        <w:t>n</w:t>
      </w:r>
      <w:r w:rsidRPr="004A3885">
        <w:t xml:space="preserve">g </w:t>
      </w:r>
      <w:r w:rsidRPr="00E334A5">
        <w:t>Health</w:t>
      </w:r>
      <w:r w:rsidRPr="004A3885">
        <w:t xml:space="preserve"> Care (CHC) and NHS Funded Nursing Care (FNC)</w:t>
      </w:r>
    </w:p>
    <w:p w14:paraId="19012A2B" w14:textId="77777777" w:rsidR="00113D31" w:rsidRDefault="00113D31" w:rsidP="00113D31">
      <w:r w:rsidRPr="00FB75DD">
        <w:t>Cwm Taf currently spend</w:t>
      </w:r>
      <w:r>
        <w:t>s</w:t>
      </w:r>
      <w:r w:rsidRPr="00FB75DD">
        <w:t xml:space="preserve"> circa £50m per annum on external CHC placements. The anticipated cost increases for each year of the </w:t>
      </w:r>
      <w:r>
        <w:t>p</w:t>
      </w:r>
      <w:r w:rsidRPr="00FB75DD">
        <w:t>lan have been based on average price inflation of circa 3% per annum (£1.4m) and volume growth of circa 2.0% per annum (£1.1m).</w:t>
      </w:r>
      <w:r>
        <w:t xml:space="preserve"> The</w:t>
      </w:r>
      <w:r w:rsidRPr="00FB75DD">
        <w:t xml:space="preserve"> </w:t>
      </w:r>
      <w:r>
        <w:t>p</w:t>
      </w:r>
      <w:r w:rsidRPr="00FB75DD">
        <w:t>lan also includes £0.3m per annum for NHSFNC price inflation.</w:t>
      </w:r>
    </w:p>
    <w:p w14:paraId="5CBB7C86" w14:textId="77777777" w:rsidR="00113D31" w:rsidRDefault="00113D31" w:rsidP="00113D31">
      <w:pPr>
        <w:pStyle w:val="NormalBullet"/>
        <w:numPr>
          <w:ilvl w:val="0"/>
          <w:numId w:val="0"/>
        </w:numPr>
        <w:rPr>
          <w:highlight w:val="green"/>
        </w:rPr>
      </w:pPr>
    </w:p>
    <w:p w14:paraId="1FA516C5" w14:textId="77777777" w:rsidR="00113D31" w:rsidRPr="00E334A5" w:rsidRDefault="00113D31" w:rsidP="00113D31">
      <w:pPr>
        <w:pStyle w:val="NormalBullet"/>
        <w:numPr>
          <w:ilvl w:val="0"/>
          <w:numId w:val="0"/>
        </w:numPr>
        <w:rPr>
          <w:color w:val="943634" w:themeColor="accent2" w:themeShade="BF"/>
        </w:rPr>
      </w:pPr>
      <w:r w:rsidRPr="00E334A5">
        <w:rPr>
          <w:color w:val="943634" w:themeColor="accent2" w:themeShade="BF"/>
        </w:rPr>
        <w:t>Further engagement is needed with the service on the planning assumptions.</w:t>
      </w:r>
    </w:p>
    <w:p w14:paraId="1B67413C" w14:textId="77777777" w:rsidR="00113D31" w:rsidRPr="002E4AC2" w:rsidRDefault="00113D31" w:rsidP="00E334A5">
      <w:pPr>
        <w:pStyle w:val="Heading3"/>
      </w:pPr>
      <w:r>
        <w:t xml:space="preserve">Non Pay </w:t>
      </w:r>
      <w:r w:rsidRPr="00E334A5">
        <w:t>Inflation</w:t>
      </w:r>
    </w:p>
    <w:p w14:paraId="633E6114" w14:textId="77777777" w:rsidR="00113D31" w:rsidRPr="00CB01A3" w:rsidRDefault="00113D31" w:rsidP="00113D31">
      <w:r w:rsidRPr="00BE41B3">
        <w:t>As at November 201</w:t>
      </w:r>
      <w:r>
        <w:t>9</w:t>
      </w:r>
      <w:r w:rsidRPr="00BE41B3">
        <w:t xml:space="preserve"> the consumer price index (CPI) was reporting </w:t>
      </w:r>
      <w:r w:rsidRPr="007C0F93">
        <w:t>1.5% inflation</w:t>
      </w:r>
      <w:r w:rsidRPr="00BE41B3">
        <w:t xml:space="preserve"> with the retail price index reporting </w:t>
      </w:r>
      <w:r w:rsidRPr="007C0F93">
        <w:t>2.1% inflation</w:t>
      </w:r>
      <w:r w:rsidRPr="00BE41B3">
        <w:t xml:space="preserve"> (RPI). The </w:t>
      </w:r>
      <w:r>
        <w:t>p</w:t>
      </w:r>
      <w:r w:rsidRPr="00BE41B3">
        <w:t>lan includes a non</w:t>
      </w:r>
      <w:r>
        <w:t>-</w:t>
      </w:r>
      <w:r w:rsidRPr="00BE41B3">
        <w:t>pay inflation estimate</w:t>
      </w:r>
      <w:r w:rsidRPr="00CB01A3">
        <w:t xml:space="preserve"> of £2.</w:t>
      </w:r>
      <w:r>
        <w:t>8</w:t>
      </w:r>
      <w:r w:rsidRPr="00CB01A3">
        <w:t xml:space="preserve">m </w:t>
      </w:r>
      <w:r w:rsidRPr="00CE15C7">
        <w:t>(circa 2.6%) per annum</w:t>
      </w:r>
      <w:r w:rsidRPr="00CB01A3">
        <w:t xml:space="preserve"> over the 3 year term. No material allowance has been made for the potential price rises resulting from changes in exchange rates or the impact of Brexit which represents a potential risk to the Plan.  </w:t>
      </w:r>
    </w:p>
    <w:p w14:paraId="6B1F24A3" w14:textId="77777777" w:rsidR="00113D31" w:rsidRPr="005D244A" w:rsidRDefault="00113D31" w:rsidP="00E334A5">
      <w:pPr>
        <w:pStyle w:val="Heading3"/>
      </w:pPr>
      <w:r>
        <w:t xml:space="preserve">LTA </w:t>
      </w:r>
      <w:r w:rsidRPr="00E334A5">
        <w:t>Inflation</w:t>
      </w:r>
    </w:p>
    <w:p w14:paraId="24CD8265" w14:textId="77777777" w:rsidR="00113D31" w:rsidRPr="007C0D75" w:rsidRDefault="00113D31" w:rsidP="00113D31">
      <w:r w:rsidRPr="007C0D75">
        <w:t xml:space="preserve">Provision has been made for a 2% per annum tariff increase on all income and expenditure LTAs over the three years of the </w:t>
      </w:r>
      <w:r>
        <w:t>p</w:t>
      </w:r>
      <w:r w:rsidRPr="007C0D75">
        <w:t xml:space="preserve">lan at a net cost of £2.6m per annum. </w:t>
      </w:r>
    </w:p>
    <w:p w14:paraId="7B1015DC" w14:textId="77777777" w:rsidR="00113D31" w:rsidRPr="005D244A" w:rsidRDefault="00113D31" w:rsidP="00E334A5">
      <w:pPr>
        <w:pStyle w:val="Heading3"/>
      </w:pPr>
      <w:r>
        <w:t>Primary Care P</w:t>
      </w:r>
      <w:r w:rsidRPr="005D244A">
        <w:t>rescribing</w:t>
      </w:r>
    </w:p>
    <w:p w14:paraId="33238977" w14:textId="77777777" w:rsidR="00113D31" w:rsidRDefault="00113D31" w:rsidP="00113D31">
      <w:r w:rsidRPr="0077298C">
        <w:t xml:space="preserve">The financial plan assumes growth in primary care prescribing costs of £4m per annum over the next three years, which is </w:t>
      </w:r>
      <w:r>
        <w:t xml:space="preserve">higher than in previous years but </w:t>
      </w:r>
      <w:r w:rsidRPr="0077298C">
        <w:t xml:space="preserve">in line with the current growth being experienced in 2019/20. This growth is matched with a corresponding savings target of £4m per annum which reflects the planning assumption that growth will be managed through a combination of directorate savings plans and price reductions on Category M drugs. </w:t>
      </w:r>
    </w:p>
    <w:p w14:paraId="755D6D79" w14:textId="77777777" w:rsidR="00113D31" w:rsidRDefault="00113D31" w:rsidP="00113D31"/>
    <w:p w14:paraId="1C3DB398" w14:textId="77777777" w:rsidR="00113D31" w:rsidRPr="00E334A5" w:rsidRDefault="00113D31" w:rsidP="00113D31">
      <w:pPr>
        <w:pStyle w:val="NormalBullet"/>
        <w:numPr>
          <w:ilvl w:val="0"/>
          <w:numId w:val="0"/>
        </w:numPr>
        <w:rPr>
          <w:color w:val="943634" w:themeColor="accent2" w:themeShade="BF"/>
        </w:rPr>
      </w:pPr>
      <w:r w:rsidRPr="00E334A5">
        <w:rPr>
          <w:color w:val="943634" w:themeColor="accent2" w:themeShade="BF"/>
        </w:rPr>
        <w:t>Further engagement is needed with the service on these growth and savings assumptions.</w:t>
      </w:r>
    </w:p>
    <w:p w14:paraId="061F92C8" w14:textId="77777777" w:rsidR="00113D31" w:rsidRPr="005D244A" w:rsidRDefault="00113D31" w:rsidP="00E334A5">
      <w:pPr>
        <w:pStyle w:val="Heading3"/>
      </w:pPr>
      <w:r w:rsidRPr="005D244A">
        <w:t>Community Pharmacy</w:t>
      </w:r>
    </w:p>
    <w:p w14:paraId="044EBDDB" w14:textId="77777777" w:rsidR="00113D31" w:rsidRPr="00CB01A3" w:rsidRDefault="00113D31" w:rsidP="00113D31">
      <w:r w:rsidRPr="00CB01A3">
        <w:t xml:space="preserve">The financial plan does not make any provision for growth in community pharmacy expenditure costs over the next three years. </w:t>
      </w:r>
    </w:p>
    <w:p w14:paraId="5BD61AB4" w14:textId="77777777" w:rsidR="00113D31" w:rsidRPr="005D244A" w:rsidRDefault="00113D31" w:rsidP="00E334A5">
      <w:pPr>
        <w:pStyle w:val="Heading3"/>
      </w:pPr>
      <w:r>
        <w:t>NICE and New H</w:t>
      </w:r>
      <w:r w:rsidRPr="005D244A">
        <w:t xml:space="preserve">igh </w:t>
      </w:r>
      <w:r>
        <w:t>Cost Drugs (I</w:t>
      </w:r>
      <w:r w:rsidRPr="005D244A">
        <w:t xml:space="preserve">ncluding Hep C) </w:t>
      </w:r>
    </w:p>
    <w:p w14:paraId="3FCB424F" w14:textId="77777777" w:rsidR="00113D31" w:rsidRDefault="00113D31" w:rsidP="00113D31">
      <w:r w:rsidRPr="00CB01A3">
        <w:t xml:space="preserve">The cost of NICE technical appraisals and nationally adopted high cost drugs has been a significant cost pressure in recent years. </w:t>
      </w:r>
      <w:r>
        <w:t xml:space="preserve">The latest planning assumption is </w:t>
      </w:r>
      <w:r w:rsidRPr="00CB01A3">
        <w:t>an annual increase of £3.</w:t>
      </w:r>
      <w:r>
        <w:t>0</w:t>
      </w:r>
      <w:r w:rsidRPr="00CB01A3">
        <w:t>m for each year of the plan</w:t>
      </w:r>
      <w:r>
        <w:t xml:space="preserve"> as follows</w:t>
      </w:r>
      <w:r w:rsidRPr="00CB01A3">
        <w:t>:</w:t>
      </w:r>
    </w:p>
    <w:p w14:paraId="73BB9F25" w14:textId="77777777" w:rsidR="00113D31" w:rsidRPr="00640A72" w:rsidRDefault="00113D31" w:rsidP="003B1653">
      <w:pPr>
        <w:pStyle w:val="NormalBullet"/>
        <w:numPr>
          <w:ilvl w:val="0"/>
          <w:numId w:val="31"/>
        </w:numPr>
        <w:ind w:left="357" w:hanging="357"/>
      </w:pPr>
      <w:r w:rsidRPr="00640A72">
        <w:t xml:space="preserve">Internal NICE growth </w:t>
      </w:r>
      <w:r>
        <w:t xml:space="preserve">within CTM </w:t>
      </w:r>
      <w:r w:rsidRPr="00640A72">
        <w:t xml:space="preserve"> (£</w:t>
      </w:r>
      <w:r>
        <w:t>1.5m</w:t>
      </w:r>
      <w:r w:rsidRPr="00640A72">
        <w:t>)</w:t>
      </w:r>
    </w:p>
    <w:p w14:paraId="7FD55575" w14:textId="77777777" w:rsidR="00113D31" w:rsidRDefault="00113D31" w:rsidP="003B1653">
      <w:pPr>
        <w:pStyle w:val="NormalBullet"/>
        <w:numPr>
          <w:ilvl w:val="0"/>
          <w:numId w:val="31"/>
        </w:numPr>
        <w:ind w:left="357" w:hanging="357"/>
      </w:pPr>
      <w:r w:rsidRPr="00640A72">
        <w:t>Anticipated financial impact of growth in NICE and other high cost drugs for C</w:t>
      </w:r>
      <w:r>
        <w:t xml:space="preserve">TM </w:t>
      </w:r>
      <w:r w:rsidRPr="00640A72">
        <w:t>residents at Velindre Trust and other Health Boards (£1.</w:t>
      </w:r>
      <w:r>
        <w:t>5</w:t>
      </w:r>
      <w:r w:rsidRPr="00640A72">
        <w:t>m).</w:t>
      </w:r>
    </w:p>
    <w:p w14:paraId="363C75FF" w14:textId="77777777" w:rsidR="00113D31" w:rsidRDefault="00113D31" w:rsidP="00113D31">
      <w:pPr>
        <w:pStyle w:val="NormalBullet"/>
        <w:numPr>
          <w:ilvl w:val="0"/>
          <w:numId w:val="0"/>
        </w:numPr>
      </w:pPr>
    </w:p>
    <w:p w14:paraId="4887814B" w14:textId="77777777" w:rsidR="00113D31" w:rsidRPr="00E334A5" w:rsidRDefault="00113D31" w:rsidP="00113D31">
      <w:pPr>
        <w:pStyle w:val="NormalBullet"/>
        <w:numPr>
          <w:ilvl w:val="0"/>
          <w:numId w:val="0"/>
        </w:numPr>
        <w:rPr>
          <w:color w:val="943634" w:themeColor="accent2" w:themeShade="BF"/>
        </w:rPr>
      </w:pPr>
      <w:r w:rsidRPr="00E334A5">
        <w:rPr>
          <w:color w:val="943634" w:themeColor="accent2" w:themeShade="BF"/>
        </w:rPr>
        <w:t>Further engagement is needed with the service on these planning assumptions.</w:t>
      </w:r>
    </w:p>
    <w:p w14:paraId="1177E2EE" w14:textId="77777777" w:rsidR="00113D31" w:rsidRPr="005D244A" w:rsidRDefault="00113D31" w:rsidP="00E334A5">
      <w:pPr>
        <w:pStyle w:val="Heading3"/>
      </w:pPr>
      <w:r w:rsidRPr="005D244A">
        <w:t>Loc</w:t>
      </w:r>
      <w:r>
        <w:t>al C</w:t>
      </w:r>
      <w:r w:rsidRPr="005D244A">
        <w:t xml:space="preserve">ost, </w:t>
      </w:r>
      <w:r>
        <w:t xml:space="preserve">Demand and </w:t>
      </w:r>
      <w:r w:rsidRPr="00E334A5">
        <w:t>Service</w:t>
      </w:r>
      <w:r>
        <w:t xml:space="preserve"> Pr</w:t>
      </w:r>
      <w:r w:rsidRPr="005D244A">
        <w:t xml:space="preserve">essures </w:t>
      </w:r>
    </w:p>
    <w:p w14:paraId="3F497F48" w14:textId="77777777" w:rsidR="00113D31" w:rsidRDefault="00113D31" w:rsidP="00113D31">
      <w:r w:rsidRPr="007E11D1">
        <w:t>A £</w:t>
      </w:r>
      <w:r>
        <w:t>4.5m</w:t>
      </w:r>
      <w:r w:rsidRPr="007E11D1">
        <w:t xml:space="preserve"> provision has been made in the financial plan for 20</w:t>
      </w:r>
      <w:r>
        <w:t>20</w:t>
      </w:r>
      <w:r w:rsidRPr="007E11D1">
        <w:t>/2</w:t>
      </w:r>
      <w:r>
        <w:t>1</w:t>
      </w:r>
      <w:r w:rsidRPr="007E11D1">
        <w:t xml:space="preserve"> to cover local cost, demand and service pressures.</w:t>
      </w:r>
      <w:r>
        <w:t xml:space="preserve"> </w:t>
      </w:r>
      <w:r w:rsidRPr="007E11D1">
        <w:t>The key areas are summarised below:</w:t>
      </w:r>
    </w:p>
    <w:p w14:paraId="01A4B731" w14:textId="77777777" w:rsidR="00113D31" w:rsidRDefault="00113D31" w:rsidP="00113D31"/>
    <w:tbl>
      <w:tblPr>
        <w:tblStyle w:val="TableGrid"/>
        <w:tblW w:w="9968" w:type="dxa"/>
        <w:jc w:val="center"/>
        <w:tblLook w:val="04A0" w:firstRow="1" w:lastRow="0" w:firstColumn="1" w:lastColumn="0" w:noHBand="0" w:noVBand="1"/>
      </w:tblPr>
      <w:tblGrid>
        <w:gridCol w:w="6086"/>
        <w:gridCol w:w="1261"/>
        <w:gridCol w:w="1261"/>
        <w:gridCol w:w="1360"/>
      </w:tblGrid>
      <w:tr w:rsidR="00113D31" w:rsidRPr="00113F86" w14:paraId="47EAB80A" w14:textId="77777777" w:rsidTr="0060790C">
        <w:trPr>
          <w:trHeight w:val="533"/>
          <w:jc w:val="center"/>
        </w:trPr>
        <w:tc>
          <w:tcPr>
            <w:tcW w:w="6086"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14:paraId="27147199" w14:textId="77777777" w:rsidR="00113D31" w:rsidRPr="00113F86" w:rsidRDefault="00113D31" w:rsidP="0060790C">
            <w:pPr>
              <w:rPr>
                <w:rFonts w:cs="Arial"/>
                <w:b/>
              </w:rPr>
            </w:pPr>
          </w:p>
          <w:p w14:paraId="5656C729" w14:textId="77777777" w:rsidR="00113D31" w:rsidRPr="00113F86" w:rsidRDefault="00113D31" w:rsidP="0060790C">
            <w:pPr>
              <w:rPr>
                <w:rFonts w:cs="Arial"/>
                <w:b/>
              </w:rPr>
            </w:pPr>
          </w:p>
        </w:tc>
        <w:tc>
          <w:tcPr>
            <w:tcW w:w="1261"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14:paraId="5A23474C" w14:textId="77777777" w:rsidR="00113D31" w:rsidRPr="00113F86" w:rsidRDefault="00113D31" w:rsidP="0060790C">
            <w:pPr>
              <w:jc w:val="center"/>
              <w:rPr>
                <w:rFonts w:cs="Arial"/>
                <w:b/>
              </w:rPr>
            </w:pPr>
            <w:r>
              <w:rPr>
                <w:rFonts w:cs="Arial"/>
                <w:b/>
                <w:bCs/>
              </w:rPr>
              <w:t>2020/21</w:t>
            </w:r>
          </w:p>
          <w:p w14:paraId="16731736" w14:textId="77777777" w:rsidR="00113D31" w:rsidRPr="00113F86" w:rsidRDefault="00113D31" w:rsidP="0060790C">
            <w:pPr>
              <w:jc w:val="center"/>
              <w:rPr>
                <w:rFonts w:cs="Arial"/>
                <w:b/>
              </w:rPr>
            </w:pPr>
            <w:r w:rsidRPr="00113F86">
              <w:rPr>
                <w:rFonts w:cs="Arial"/>
                <w:b/>
                <w:bCs/>
              </w:rPr>
              <w:t>£m</w:t>
            </w:r>
          </w:p>
        </w:tc>
        <w:tc>
          <w:tcPr>
            <w:tcW w:w="1261"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14:paraId="584E3BF9" w14:textId="77777777" w:rsidR="00113D31" w:rsidRPr="00113F86" w:rsidRDefault="00113D31" w:rsidP="0060790C">
            <w:pPr>
              <w:jc w:val="center"/>
              <w:rPr>
                <w:rFonts w:cs="Arial"/>
                <w:b/>
              </w:rPr>
            </w:pPr>
            <w:r>
              <w:rPr>
                <w:rFonts w:cs="Arial"/>
                <w:b/>
                <w:bCs/>
              </w:rPr>
              <w:t>2021/22</w:t>
            </w:r>
          </w:p>
          <w:p w14:paraId="4C5F92A1" w14:textId="77777777" w:rsidR="00113D31" w:rsidRPr="00113F86" w:rsidRDefault="00113D31" w:rsidP="0060790C">
            <w:pPr>
              <w:jc w:val="center"/>
              <w:rPr>
                <w:rFonts w:cs="Arial"/>
                <w:b/>
              </w:rPr>
            </w:pPr>
            <w:r w:rsidRPr="00113F86">
              <w:rPr>
                <w:rFonts w:cs="Arial"/>
                <w:b/>
                <w:bCs/>
              </w:rPr>
              <w:t>£m</w:t>
            </w:r>
          </w:p>
        </w:tc>
        <w:tc>
          <w:tcPr>
            <w:tcW w:w="1360"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0988F5CB" w14:textId="77777777" w:rsidR="00113D31" w:rsidRPr="00113F86" w:rsidRDefault="00113D31" w:rsidP="0060790C">
            <w:pPr>
              <w:jc w:val="center"/>
              <w:rPr>
                <w:rFonts w:cs="Arial"/>
                <w:b/>
              </w:rPr>
            </w:pPr>
            <w:r>
              <w:rPr>
                <w:rFonts w:cs="Arial"/>
                <w:b/>
                <w:bCs/>
              </w:rPr>
              <w:t>2022/23</w:t>
            </w:r>
          </w:p>
          <w:p w14:paraId="664A3546" w14:textId="77777777" w:rsidR="00113D31" w:rsidRPr="00113F86" w:rsidRDefault="00113D31" w:rsidP="0060790C">
            <w:pPr>
              <w:jc w:val="center"/>
              <w:rPr>
                <w:rFonts w:cs="Arial"/>
                <w:b/>
              </w:rPr>
            </w:pPr>
            <w:r w:rsidRPr="00113F86">
              <w:rPr>
                <w:rFonts w:cs="Arial"/>
                <w:b/>
                <w:bCs/>
              </w:rPr>
              <w:t>£m</w:t>
            </w:r>
          </w:p>
        </w:tc>
      </w:tr>
      <w:tr w:rsidR="00113D31" w:rsidRPr="00113F86" w14:paraId="26A26937" w14:textId="77777777" w:rsidTr="0060790C">
        <w:trPr>
          <w:trHeight w:val="341"/>
          <w:jc w:val="center"/>
        </w:trPr>
        <w:tc>
          <w:tcPr>
            <w:tcW w:w="6086" w:type="dxa"/>
            <w:tcBorders>
              <w:top w:val="single" w:sz="4" w:space="0" w:color="000000"/>
              <w:left w:val="single" w:sz="4" w:space="0" w:color="000000"/>
              <w:bottom w:val="single" w:sz="4" w:space="0" w:color="000000"/>
              <w:right w:val="single" w:sz="4" w:space="0" w:color="000000"/>
            </w:tcBorders>
          </w:tcPr>
          <w:p w14:paraId="12A329E8" w14:textId="77777777" w:rsidR="00113D31" w:rsidRPr="001A491A" w:rsidRDefault="00113D31" w:rsidP="0060790C">
            <w:pPr>
              <w:rPr>
                <w:rFonts w:cs="Arial"/>
              </w:rPr>
            </w:pPr>
            <w:r w:rsidRPr="001A491A">
              <w:rPr>
                <w:rFonts w:cs="Arial"/>
              </w:rPr>
              <w:t xml:space="preserve">Demand </w:t>
            </w:r>
            <w:r>
              <w:rPr>
                <w:rFonts w:cs="Arial"/>
              </w:rPr>
              <w:t xml:space="preserve">and activity </w:t>
            </w:r>
            <w:r w:rsidRPr="001A491A">
              <w:rPr>
                <w:rFonts w:cs="Arial"/>
              </w:rPr>
              <w:t xml:space="preserve">growth  </w:t>
            </w:r>
          </w:p>
        </w:tc>
        <w:tc>
          <w:tcPr>
            <w:tcW w:w="1261" w:type="dxa"/>
            <w:tcBorders>
              <w:top w:val="single" w:sz="4" w:space="0" w:color="000000"/>
              <w:left w:val="single" w:sz="4" w:space="0" w:color="000000"/>
              <w:bottom w:val="single" w:sz="4" w:space="0" w:color="000000"/>
              <w:right w:val="single" w:sz="4" w:space="0" w:color="000000"/>
            </w:tcBorders>
          </w:tcPr>
          <w:p w14:paraId="188B6DB2" w14:textId="77777777" w:rsidR="00113D31" w:rsidRPr="00113F86" w:rsidRDefault="00113D31" w:rsidP="0060790C">
            <w:pPr>
              <w:jc w:val="center"/>
              <w:rPr>
                <w:rFonts w:cs="Arial"/>
              </w:rPr>
            </w:pPr>
            <w:r>
              <w:rPr>
                <w:rFonts w:cs="Arial"/>
              </w:rPr>
              <w:t>2.0</w:t>
            </w:r>
          </w:p>
        </w:tc>
        <w:tc>
          <w:tcPr>
            <w:tcW w:w="1261" w:type="dxa"/>
            <w:tcBorders>
              <w:top w:val="single" w:sz="4" w:space="0" w:color="000000"/>
              <w:left w:val="single" w:sz="4" w:space="0" w:color="000000"/>
              <w:bottom w:val="single" w:sz="4" w:space="0" w:color="000000"/>
              <w:right w:val="single" w:sz="4" w:space="0" w:color="000000"/>
            </w:tcBorders>
          </w:tcPr>
          <w:p w14:paraId="37FBF2EC" w14:textId="77777777" w:rsidR="00113D31" w:rsidRPr="00113F86" w:rsidRDefault="00113D31" w:rsidP="0060790C">
            <w:pPr>
              <w:jc w:val="center"/>
              <w:rPr>
                <w:rFonts w:cs="Arial"/>
              </w:rPr>
            </w:pPr>
            <w:r>
              <w:rPr>
                <w:rFonts w:cs="Arial"/>
              </w:rPr>
              <w:t>2.0</w:t>
            </w:r>
          </w:p>
        </w:tc>
        <w:tc>
          <w:tcPr>
            <w:tcW w:w="1360" w:type="dxa"/>
            <w:tcBorders>
              <w:top w:val="single" w:sz="4" w:space="0" w:color="000000"/>
              <w:left w:val="single" w:sz="4" w:space="0" w:color="000000"/>
              <w:bottom w:val="single" w:sz="4" w:space="0" w:color="000000"/>
              <w:right w:val="single" w:sz="4" w:space="0" w:color="000000"/>
            </w:tcBorders>
          </w:tcPr>
          <w:p w14:paraId="57A3167C" w14:textId="77777777" w:rsidR="00113D31" w:rsidRPr="00113F86" w:rsidRDefault="00113D31" w:rsidP="0060790C">
            <w:pPr>
              <w:jc w:val="center"/>
              <w:rPr>
                <w:rFonts w:cs="Arial"/>
              </w:rPr>
            </w:pPr>
            <w:r>
              <w:rPr>
                <w:rFonts w:cs="Arial"/>
              </w:rPr>
              <w:t>2.0</w:t>
            </w:r>
          </w:p>
        </w:tc>
      </w:tr>
      <w:tr w:rsidR="00113D31" w:rsidRPr="00113F86" w14:paraId="3368A8BE" w14:textId="77777777" w:rsidTr="0060790C">
        <w:trPr>
          <w:trHeight w:val="319"/>
          <w:jc w:val="center"/>
        </w:trPr>
        <w:tc>
          <w:tcPr>
            <w:tcW w:w="6086" w:type="dxa"/>
            <w:tcBorders>
              <w:top w:val="single" w:sz="4" w:space="0" w:color="000000"/>
              <w:left w:val="single" w:sz="4" w:space="0" w:color="000000"/>
              <w:bottom w:val="single" w:sz="4" w:space="0" w:color="000000"/>
              <w:right w:val="single" w:sz="4" w:space="0" w:color="000000"/>
            </w:tcBorders>
          </w:tcPr>
          <w:p w14:paraId="3FAB3879" w14:textId="77777777" w:rsidR="00113D31" w:rsidRDefault="00113D31" w:rsidP="0060790C">
            <w:pPr>
              <w:rPr>
                <w:rFonts w:cs="Arial"/>
              </w:rPr>
            </w:pPr>
            <w:r>
              <w:rPr>
                <w:rFonts w:cs="Arial"/>
              </w:rPr>
              <w:t>Increased demand for beds</w:t>
            </w:r>
          </w:p>
        </w:tc>
        <w:tc>
          <w:tcPr>
            <w:tcW w:w="1261" w:type="dxa"/>
            <w:tcBorders>
              <w:top w:val="single" w:sz="4" w:space="0" w:color="000000"/>
              <w:left w:val="single" w:sz="4" w:space="0" w:color="000000"/>
              <w:bottom w:val="single" w:sz="4" w:space="0" w:color="000000"/>
              <w:right w:val="single" w:sz="4" w:space="0" w:color="000000"/>
            </w:tcBorders>
          </w:tcPr>
          <w:p w14:paraId="26A25D77" w14:textId="77777777" w:rsidR="00113D31" w:rsidRDefault="00113D31" w:rsidP="0060790C">
            <w:pPr>
              <w:jc w:val="center"/>
              <w:rPr>
                <w:rFonts w:cs="Arial"/>
              </w:rPr>
            </w:pPr>
            <w:r>
              <w:rPr>
                <w:rFonts w:cs="Arial"/>
              </w:rPr>
              <w:t>1.5</w:t>
            </w:r>
          </w:p>
        </w:tc>
        <w:tc>
          <w:tcPr>
            <w:tcW w:w="1261" w:type="dxa"/>
            <w:tcBorders>
              <w:top w:val="single" w:sz="4" w:space="0" w:color="000000"/>
              <w:left w:val="single" w:sz="4" w:space="0" w:color="000000"/>
              <w:bottom w:val="single" w:sz="4" w:space="0" w:color="000000"/>
              <w:right w:val="single" w:sz="4" w:space="0" w:color="000000"/>
            </w:tcBorders>
          </w:tcPr>
          <w:p w14:paraId="3DE85A19" w14:textId="77777777" w:rsidR="00113D31" w:rsidRDefault="00113D31" w:rsidP="0060790C">
            <w:pPr>
              <w:jc w:val="center"/>
              <w:rPr>
                <w:rFonts w:cs="Arial"/>
              </w:rPr>
            </w:pPr>
            <w:r>
              <w:rPr>
                <w:rFonts w:cs="Arial"/>
              </w:rPr>
              <w:t>1.5</w:t>
            </w:r>
          </w:p>
        </w:tc>
        <w:tc>
          <w:tcPr>
            <w:tcW w:w="1360" w:type="dxa"/>
            <w:tcBorders>
              <w:top w:val="single" w:sz="4" w:space="0" w:color="000000"/>
              <w:left w:val="single" w:sz="4" w:space="0" w:color="000000"/>
              <w:bottom w:val="single" w:sz="4" w:space="0" w:color="000000"/>
              <w:right w:val="single" w:sz="4" w:space="0" w:color="000000"/>
            </w:tcBorders>
          </w:tcPr>
          <w:p w14:paraId="15D54FF2" w14:textId="77777777" w:rsidR="00113D31" w:rsidRDefault="00113D31" w:rsidP="0060790C">
            <w:pPr>
              <w:jc w:val="center"/>
              <w:rPr>
                <w:rFonts w:cs="Arial"/>
              </w:rPr>
            </w:pPr>
            <w:r>
              <w:rPr>
                <w:rFonts w:cs="Arial"/>
              </w:rPr>
              <w:t>0</w:t>
            </w:r>
          </w:p>
        </w:tc>
      </w:tr>
      <w:tr w:rsidR="00113D31" w:rsidRPr="00113F86" w14:paraId="4D9163B7" w14:textId="77777777" w:rsidTr="0060790C">
        <w:trPr>
          <w:trHeight w:val="319"/>
          <w:jc w:val="center"/>
        </w:trPr>
        <w:tc>
          <w:tcPr>
            <w:tcW w:w="6086" w:type="dxa"/>
            <w:tcBorders>
              <w:top w:val="single" w:sz="4" w:space="0" w:color="000000"/>
              <w:left w:val="single" w:sz="4" w:space="0" w:color="000000"/>
              <w:bottom w:val="single" w:sz="4" w:space="0" w:color="000000"/>
              <w:right w:val="single" w:sz="4" w:space="0" w:color="000000"/>
            </w:tcBorders>
          </w:tcPr>
          <w:p w14:paraId="511E52D8" w14:textId="77777777" w:rsidR="00113D31" w:rsidRPr="00113F86" w:rsidRDefault="00113D31" w:rsidP="0060790C">
            <w:pPr>
              <w:rPr>
                <w:rFonts w:cs="Arial"/>
                <w:bCs/>
              </w:rPr>
            </w:pPr>
            <w:r>
              <w:rPr>
                <w:rFonts w:cs="Arial"/>
              </w:rPr>
              <w:t xml:space="preserve">Other non activity related cost pressures such as statutory compliance etc </w:t>
            </w:r>
          </w:p>
        </w:tc>
        <w:tc>
          <w:tcPr>
            <w:tcW w:w="1261" w:type="dxa"/>
            <w:tcBorders>
              <w:top w:val="single" w:sz="4" w:space="0" w:color="000000"/>
              <w:left w:val="single" w:sz="4" w:space="0" w:color="000000"/>
              <w:bottom w:val="single" w:sz="4" w:space="0" w:color="000000"/>
              <w:right w:val="single" w:sz="4" w:space="0" w:color="000000"/>
            </w:tcBorders>
          </w:tcPr>
          <w:p w14:paraId="135D0FCC" w14:textId="77777777" w:rsidR="00113D31" w:rsidRPr="00113F86" w:rsidRDefault="00113D31" w:rsidP="0060790C">
            <w:pPr>
              <w:jc w:val="center"/>
              <w:rPr>
                <w:rFonts w:cs="Arial"/>
              </w:rPr>
            </w:pPr>
            <w:r>
              <w:rPr>
                <w:rFonts w:cs="Arial"/>
              </w:rPr>
              <w:t xml:space="preserve">1.0 </w:t>
            </w:r>
          </w:p>
        </w:tc>
        <w:tc>
          <w:tcPr>
            <w:tcW w:w="1261" w:type="dxa"/>
            <w:tcBorders>
              <w:top w:val="single" w:sz="4" w:space="0" w:color="000000"/>
              <w:left w:val="single" w:sz="4" w:space="0" w:color="000000"/>
              <w:bottom w:val="single" w:sz="4" w:space="0" w:color="000000"/>
              <w:right w:val="single" w:sz="4" w:space="0" w:color="000000"/>
            </w:tcBorders>
          </w:tcPr>
          <w:p w14:paraId="7433CB17" w14:textId="77777777" w:rsidR="00113D31" w:rsidRPr="00113F86" w:rsidRDefault="00113D31" w:rsidP="0060790C">
            <w:pPr>
              <w:jc w:val="center"/>
              <w:rPr>
                <w:rFonts w:cs="Arial"/>
              </w:rPr>
            </w:pPr>
            <w:r>
              <w:rPr>
                <w:rFonts w:cs="Arial"/>
              </w:rPr>
              <w:t xml:space="preserve">1.0 </w:t>
            </w:r>
          </w:p>
        </w:tc>
        <w:tc>
          <w:tcPr>
            <w:tcW w:w="1360" w:type="dxa"/>
            <w:tcBorders>
              <w:top w:val="single" w:sz="4" w:space="0" w:color="000000"/>
              <w:left w:val="single" w:sz="4" w:space="0" w:color="000000"/>
              <w:bottom w:val="single" w:sz="4" w:space="0" w:color="000000"/>
              <w:right w:val="single" w:sz="4" w:space="0" w:color="000000"/>
            </w:tcBorders>
          </w:tcPr>
          <w:p w14:paraId="0203243A" w14:textId="77777777" w:rsidR="00113D31" w:rsidRPr="00113F86" w:rsidRDefault="00113D31" w:rsidP="0060790C">
            <w:pPr>
              <w:jc w:val="center"/>
              <w:rPr>
                <w:rFonts w:cs="Arial"/>
              </w:rPr>
            </w:pPr>
            <w:r>
              <w:rPr>
                <w:rFonts w:cs="Arial"/>
              </w:rPr>
              <w:t xml:space="preserve">2.5 </w:t>
            </w:r>
          </w:p>
        </w:tc>
      </w:tr>
      <w:tr w:rsidR="00113D31" w:rsidRPr="00113F86" w14:paraId="522EE4DF" w14:textId="77777777" w:rsidTr="0060790C">
        <w:trPr>
          <w:trHeight w:val="267"/>
          <w:jc w:val="center"/>
        </w:trPr>
        <w:tc>
          <w:tcPr>
            <w:tcW w:w="6086" w:type="dxa"/>
            <w:tcBorders>
              <w:top w:val="single" w:sz="4" w:space="0" w:color="000000"/>
              <w:left w:val="single" w:sz="4" w:space="0" w:color="000000"/>
              <w:bottom w:val="single" w:sz="4" w:space="0" w:color="000000"/>
              <w:right w:val="single" w:sz="4" w:space="0" w:color="000000"/>
            </w:tcBorders>
            <w:hideMark/>
          </w:tcPr>
          <w:p w14:paraId="5DAB487C" w14:textId="77777777" w:rsidR="00113D31" w:rsidRPr="00113F86" w:rsidRDefault="00113D31" w:rsidP="0060790C">
            <w:pPr>
              <w:rPr>
                <w:rFonts w:cs="Arial"/>
                <w:b/>
                <w:bCs/>
              </w:rPr>
            </w:pPr>
            <w:r w:rsidRPr="00113F86">
              <w:rPr>
                <w:rFonts w:cs="Arial"/>
                <w:b/>
                <w:bCs/>
              </w:rPr>
              <w:t xml:space="preserve">Total </w:t>
            </w:r>
          </w:p>
        </w:tc>
        <w:tc>
          <w:tcPr>
            <w:tcW w:w="1261" w:type="dxa"/>
            <w:tcBorders>
              <w:top w:val="single" w:sz="4" w:space="0" w:color="000000"/>
              <w:left w:val="single" w:sz="4" w:space="0" w:color="000000"/>
              <w:bottom w:val="single" w:sz="4" w:space="0" w:color="000000"/>
              <w:right w:val="single" w:sz="4" w:space="0" w:color="000000"/>
            </w:tcBorders>
          </w:tcPr>
          <w:p w14:paraId="0F08A833" w14:textId="77777777" w:rsidR="00113D31" w:rsidRPr="00113F86" w:rsidRDefault="00113D31" w:rsidP="0060790C">
            <w:pPr>
              <w:jc w:val="center"/>
              <w:rPr>
                <w:rFonts w:cs="Arial"/>
                <w:b/>
                <w:bCs/>
              </w:rPr>
            </w:pPr>
            <w:r>
              <w:rPr>
                <w:rFonts w:cs="Arial"/>
                <w:b/>
                <w:bCs/>
              </w:rPr>
              <w:t>4.5</w:t>
            </w:r>
          </w:p>
        </w:tc>
        <w:tc>
          <w:tcPr>
            <w:tcW w:w="1261" w:type="dxa"/>
            <w:tcBorders>
              <w:top w:val="single" w:sz="4" w:space="0" w:color="000000"/>
              <w:left w:val="single" w:sz="4" w:space="0" w:color="000000"/>
              <w:bottom w:val="single" w:sz="4" w:space="0" w:color="000000"/>
              <w:right w:val="single" w:sz="4" w:space="0" w:color="000000"/>
            </w:tcBorders>
          </w:tcPr>
          <w:p w14:paraId="5A295643" w14:textId="77777777" w:rsidR="00113D31" w:rsidRPr="00113F86" w:rsidRDefault="00113D31" w:rsidP="0060790C">
            <w:pPr>
              <w:jc w:val="center"/>
              <w:rPr>
                <w:rFonts w:cs="Arial"/>
                <w:b/>
                <w:bCs/>
              </w:rPr>
            </w:pPr>
            <w:r>
              <w:rPr>
                <w:rFonts w:cs="Arial"/>
                <w:b/>
                <w:bCs/>
              </w:rPr>
              <w:t>4.5</w:t>
            </w:r>
          </w:p>
        </w:tc>
        <w:tc>
          <w:tcPr>
            <w:tcW w:w="1360" w:type="dxa"/>
            <w:tcBorders>
              <w:top w:val="single" w:sz="4" w:space="0" w:color="000000"/>
              <w:left w:val="single" w:sz="4" w:space="0" w:color="000000"/>
              <w:bottom w:val="single" w:sz="4" w:space="0" w:color="000000"/>
              <w:right w:val="single" w:sz="4" w:space="0" w:color="000000"/>
            </w:tcBorders>
            <w:hideMark/>
          </w:tcPr>
          <w:p w14:paraId="7EDF28D8" w14:textId="77777777" w:rsidR="00113D31" w:rsidRPr="00113F86" w:rsidRDefault="00113D31" w:rsidP="0060790C">
            <w:pPr>
              <w:jc w:val="center"/>
              <w:rPr>
                <w:rFonts w:cs="Arial"/>
                <w:b/>
                <w:bCs/>
              </w:rPr>
            </w:pPr>
            <w:r>
              <w:rPr>
                <w:rFonts w:cs="Arial"/>
                <w:b/>
                <w:bCs/>
              </w:rPr>
              <w:t>4.5</w:t>
            </w:r>
          </w:p>
        </w:tc>
      </w:tr>
    </w:tbl>
    <w:p w14:paraId="6C0F2955" w14:textId="77777777" w:rsidR="00113D31" w:rsidRDefault="00113D31" w:rsidP="00113D31">
      <w:pPr>
        <w:pStyle w:val="Heading3"/>
        <w:numPr>
          <w:ilvl w:val="0"/>
          <w:numId w:val="0"/>
        </w:numPr>
        <w:rPr>
          <w:b w:val="0"/>
        </w:rPr>
      </w:pPr>
      <w:r w:rsidRPr="001568E5">
        <w:rPr>
          <w:b w:val="0"/>
        </w:rPr>
        <w:t>The 201</w:t>
      </w:r>
      <w:r>
        <w:rPr>
          <w:b w:val="0"/>
        </w:rPr>
        <w:t>9</w:t>
      </w:r>
      <w:r w:rsidRPr="001568E5">
        <w:rPr>
          <w:b w:val="0"/>
        </w:rPr>
        <w:t>/</w:t>
      </w:r>
      <w:r>
        <w:rPr>
          <w:b w:val="0"/>
        </w:rPr>
        <w:t>20</w:t>
      </w:r>
      <w:r w:rsidRPr="001568E5">
        <w:rPr>
          <w:b w:val="0"/>
        </w:rPr>
        <w:t xml:space="preserve"> financial plan include</w:t>
      </w:r>
      <w:r>
        <w:rPr>
          <w:b w:val="0"/>
        </w:rPr>
        <w:t>s</w:t>
      </w:r>
      <w:r w:rsidRPr="001568E5">
        <w:rPr>
          <w:b w:val="0"/>
        </w:rPr>
        <w:t xml:space="preserve"> a £1.7m provision for increased demand from unscheduled care admissions and growth in bed days. A further provision of £1.5m has been built into the financial plan</w:t>
      </w:r>
      <w:r>
        <w:rPr>
          <w:b w:val="0"/>
        </w:rPr>
        <w:t xml:space="preserve"> for 2020/21 and 2021/22</w:t>
      </w:r>
      <w:r w:rsidRPr="001568E5">
        <w:rPr>
          <w:b w:val="0"/>
        </w:rPr>
        <w:t>. Provided the Health Board can man</w:t>
      </w:r>
      <w:r>
        <w:rPr>
          <w:b w:val="0"/>
        </w:rPr>
        <w:t>a</w:t>
      </w:r>
      <w:r w:rsidRPr="001568E5">
        <w:rPr>
          <w:b w:val="0"/>
        </w:rPr>
        <w:t>ge within its existing bed base through admissions avoidance and improved length of stay the planning assumption is that</w:t>
      </w:r>
      <w:r>
        <w:rPr>
          <w:b w:val="0"/>
        </w:rPr>
        <w:t>:</w:t>
      </w:r>
    </w:p>
    <w:p w14:paraId="1CB1986B" w14:textId="77777777" w:rsidR="00113D31" w:rsidRPr="009D44F4" w:rsidRDefault="00113D31" w:rsidP="00E334A5">
      <w:pPr>
        <w:pStyle w:val="NormaBullet"/>
      </w:pPr>
      <w:r>
        <w:t xml:space="preserve">The </w:t>
      </w:r>
      <w:r w:rsidRPr="001568E5">
        <w:t xml:space="preserve">recurring reserve </w:t>
      </w:r>
      <w:r>
        <w:t xml:space="preserve">in 2020/21 </w:t>
      </w:r>
      <w:r w:rsidRPr="001568E5">
        <w:t>of £3.2m will be released on a non</w:t>
      </w:r>
      <w:r>
        <w:t>-</w:t>
      </w:r>
      <w:r w:rsidRPr="001568E5">
        <w:t>recurring basis (</w:t>
      </w:r>
      <w:r>
        <w:t>See Section 7.7</w:t>
      </w:r>
      <w:r w:rsidRPr="009D44F4">
        <w:t>).</w:t>
      </w:r>
    </w:p>
    <w:p w14:paraId="64310222" w14:textId="77777777" w:rsidR="00113D31" w:rsidRPr="004E4034" w:rsidRDefault="00113D31" w:rsidP="00E334A5">
      <w:pPr>
        <w:pStyle w:val="NormaBullet"/>
      </w:pPr>
      <w:r w:rsidRPr="004E4034">
        <w:t>The recurring reserve in 2021/22 will provide a £4.7m recurring contribution to the sustainability plan for the Transformation programme (See Section</w:t>
      </w:r>
      <w:r>
        <w:t xml:space="preserve"> </w:t>
      </w:r>
      <w:r w:rsidRPr="004E4034">
        <w:t>7.4.3).</w:t>
      </w:r>
    </w:p>
    <w:p w14:paraId="472BB435" w14:textId="77777777" w:rsidR="00113D31" w:rsidRPr="00E334A5" w:rsidRDefault="00113D31" w:rsidP="00113D31">
      <w:pPr>
        <w:pStyle w:val="Heading3"/>
        <w:numPr>
          <w:ilvl w:val="0"/>
          <w:numId w:val="0"/>
        </w:numPr>
        <w:rPr>
          <w:b w:val="0"/>
          <w:color w:val="943634" w:themeColor="accent2" w:themeShade="BF"/>
        </w:rPr>
      </w:pPr>
      <w:r w:rsidRPr="00E334A5">
        <w:rPr>
          <w:b w:val="0"/>
          <w:color w:val="943634" w:themeColor="accent2" w:themeShade="BF"/>
        </w:rPr>
        <w:t>It is important to note that the £2m per annum for demand and activity growth is for new growth only.  Further work is needed to quantify the level of recurring demand and capacity gaps at the end of 2019/20. The planning assumption is that any recurring gaps will need to be managed from additional productivity gains in 2020/21, which are over and above the £26m cash releasing savings requirement in Section 7.8.</w:t>
      </w:r>
    </w:p>
    <w:p w14:paraId="72AD37A2" w14:textId="77777777" w:rsidR="00113D31" w:rsidRPr="009C797E" w:rsidRDefault="00113D31" w:rsidP="00E334A5">
      <w:pPr>
        <w:pStyle w:val="Heading3"/>
      </w:pPr>
      <w:r w:rsidRPr="009C797E">
        <w:t>Welsh Risk Pool (WRP)</w:t>
      </w:r>
    </w:p>
    <w:p w14:paraId="7A3C2EA5" w14:textId="77777777" w:rsidR="00113D31" w:rsidRPr="009C797E" w:rsidRDefault="00113D31" w:rsidP="00113D31">
      <w:r w:rsidRPr="009C797E">
        <w:t>The cost of clinical negligence and other claims previously met by the We</w:t>
      </w:r>
      <w:r>
        <w:t xml:space="preserve">lsh Risk Pool have been met by </w:t>
      </w:r>
      <w:r w:rsidRPr="009C797E">
        <w:t>H</w:t>
      </w:r>
      <w:r>
        <w:t>ealth Boards s</w:t>
      </w:r>
      <w:r w:rsidRPr="009C797E">
        <w:t xml:space="preserve">ince 2015/16. A risk sharing arrangement has been put in place such that all costs are shared between LHBs proportionate to their shares of the devolved budget. </w:t>
      </w:r>
    </w:p>
    <w:p w14:paraId="71D66640" w14:textId="77777777" w:rsidR="00113D31" w:rsidRDefault="00113D31" w:rsidP="00113D31">
      <w:pPr>
        <w:rPr>
          <w:highlight w:val="yellow"/>
        </w:rPr>
      </w:pPr>
    </w:p>
    <w:p w14:paraId="491D9E42" w14:textId="77777777" w:rsidR="00113D31" w:rsidRDefault="00113D31" w:rsidP="00113D31">
      <w:r>
        <w:t>Up until 2018/19 t</w:t>
      </w:r>
      <w:r w:rsidRPr="006D3E54">
        <w:t>he new risk sharing arrangement has not resulted in any additional cost pressures for Health Boards</w:t>
      </w:r>
      <w:r>
        <w:t xml:space="preserve">. However, there is a risk of a potential additional charge in 2019/20 of £1.8m to CTM (£15m across all health boards). It is not yet clear what the actual charge will be and how much of this is recurrent. </w:t>
      </w:r>
    </w:p>
    <w:p w14:paraId="104D314E" w14:textId="77777777" w:rsidR="00113D31" w:rsidRPr="00E334A5" w:rsidRDefault="00113D31" w:rsidP="00113D31">
      <w:pPr>
        <w:rPr>
          <w:color w:val="943634" w:themeColor="accent2" w:themeShade="BF"/>
        </w:rPr>
      </w:pPr>
    </w:p>
    <w:p w14:paraId="7C694351" w14:textId="77777777" w:rsidR="00113D31" w:rsidRPr="00E334A5" w:rsidRDefault="00113D31" w:rsidP="00113D31">
      <w:pPr>
        <w:rPr>
          <w:color w:val="943634" w:themeColor="accent2" w:themeShade="BF"/>
        </w:rPr>
      </w:pPr>
      <w:r w:rsidRPr="00E334A5">
        <w:rPr>
          <w:color w:val="943634" w:themeColor="accent2" w:themeShade="BF"/>
        </w:rPr>
        <w:t xml:space="preserve">The Plan includes a provision of £1m per annum over the 3 year term. The potential shortfall of £1m in 2020/21 is included as a financial risk in </w:t>
      </w:r>
      <w:r w:rsidRPr="00E334A5">
        <w:rPr>
          <w:b/>
          <w:color w:val="943634" w:themeColor="accent2" w:themeShade="BF"/>
        </w:rPr>
        <w:t>Section 7.10.</w:t>
      </w:r>
      <w:r w:rsidRPr="00E334A5">
        <w:rPr>
          <w:color w:val="943634" w:themeColor="accent2" w:themeShade="BF"/>
        </w:rPr>
        <w:t xml:space="preserve">  This may need to be increased in light of the level of increase in 2019/20.</w:t>
      </w:r>
    </w:p>
    <w:p w14:paraId="6D486D4A" w14:textId="77777777" w:rsidR="00113D31" w:rsidRPr="00986EAA" w:rsidRDefault="00113D31" w:rsidP="00113D31">
      <w:pPr>
        <w:pStyle w:val="Heading3"/>
        <w:ind w:left="1146" w:hanging="720"/>
      </w:pPr>
      <w:r>
        <w:t>WHSSC Demand and C</w:t>
      </w:r>
      <w:r w:rsidRPr="00986EAA">
        <w:t xml:space="preserve">ost </w:t>
      </w:r>
      <w:r>
        <w:t>P</w:t>
      </w:r>
      <w:r w:rsidRPr="00986EAA">
        <w:t>ressures</w:t>
      </w:r>
    </w:p>
    <w:p w14:paraId="0E959B42" w14:textId="77777777" w:rsidR="00113D31" w:rsidRDefault="00113D31" w:rsidP="00113D31">
      <w:r w:rsidRPr="00FB75DD">
        <w:t>The financial plan includes a sum of £3.0m per annum for WHSSC which equates to around 4.5% for demand pressures and developments, plus £1.3m (2%) for inflation (i.e. 6.5% in total).</w:t>
      </w:r>
      <w:r>
        <w:t xml:space="preserve">  This is significantly more than the provision for internal developments.</w:t>
      </w:r>
    </w:p>
    <w:p w14:paraId="1C71F1B2" w14:textId="77777777" w:rsidR="00113D31" w:rsidRPr="00113F86" w:rsidRDefault="00113D31" w:rsidP="00113D31"/>
    <w:p w14:paraId="5A51EE6A" w14:textId="77777777" w:rsidR="00113D31" w:rsidRPr="00FB75DD" w:rsidRDefault="00113D31" w:rsidP="00113D31">
      <w:r w:rsidRPr="00FB75DD">
        <w:t xml:space="preserve">The latest estimates from WHSSC are that they require an additional £13.3m </w:t>
      </w:r>
      <w:r>
        <w:t xml:space="preserve">(20%) </w:t>
      </w:r>
      <w:r w:rsidRPr="00FB75DD">
        <w:t xml:space="preserve">which is £9.0m greater than the CTM financial planning assumption. </w:t>
      </w:r>
    </w:p>
    <w:p w14:paraId="14342D8E" w14:textId="77777777" w:rsidR="00113D31" w:rsidRDefault="00113D31" w:rsidP="00113D31">
      <w:pPr>
        <w:rPr>
          <w:highlight w:val="yellow"/>
        </w:rPr>
      </w:pPr>
    </w:p>
    <w:p w14:paraId="30C45A48" w14:textId="77777777" w:rsidR="00113D31" w:rsidRPr="00E334A5" w:rsidRDefault="00113D31" w:rsidP="00113D31">
      <w:pPr>
        <w:rPr>
          <w:color w:val="943634" w:themeColor="accent2" w:themeShade="BF"/>
        </w:rPr>
      </w:pPr>
      <w:r w:rsidRPr="00E334A5">
        <w:rPr>
          <w:color w:val="943634" w:themeColor="accent2" w:themeShade="BF"/>
        </w:rPr>
        <w:t>Further urgent work is needed with WHSSC to agree the funding position for 2020/21. The WHSSC increase needs to be split between cost &amp; demand pressures, and service development. The plan will need to explicitly prioritise WHSSC developments against internal developments.</w:t>
      </w:r>
    </w:p>
    <w:p w14:paraId="77C850BF" w14:textId="77777777" w:rsidR="00113D31" w:rsidRPr="00986EAA" w:rsidRDefault="00113D31" w:rsidP="00E334A5">
      <w:pPr>
        <w:pStyle w:val="Heading3"/>
      </w:pPr>
      <w:r w:rsidRPr="00986EAA">
        <w:lastRenderedPageBreak/>
        <w:t xml:space="preserve">EASC </w:t>
      </w:r>
      <w:r>
        <w:t>D</w:t>
      </w:r>
      <w:r w:rsidRPr="00986EAA">
        <w:t xml:space="preserve">emand and </w:t>
      </w:r>
      <w:r w:rsidRPr="00E334A5">
        <w:t>Cost</w:t>
      </w:r>
      <w:r w:rsidRPr="00986EAA">
        <w:t xml:space="preserve"> </w:t>
      </w:r>
      <w:r>
        <w:t>P</w:t>
      </w:r>
      <w:r w:rsidRPr="00986EAA">
        <w:t>ressures</w:t>
      </w:r>
    </w:p>
    <w:p w14:paraId="5ACEB25C" w14:textId="77777777" w:rsidR="00113D31" w:rsidRPr="008A6992" w:rsidRDefault="00113D31" w:rsidP="00113D31">
      <w:r w:rsidRPr="008A6992">
        <w:t xml:space="preserve">The financial plan includes </w:t>
      </w:r>
      <w:r>
        <w:t xml:space="preserve">the following investments </w:t>
      </w:r>
      <w:r w:rsidRPr="008A6992">
        <w:t>for EASC</w:t>
      </w:r>
      <w:r>
        <w:t>:</w:t>
      </w:r>
    </w:p>
    <w:p w14:paraId="469D60BE" w14:textId="77777777" w:rsidR="00113D31" w:rsidRPr="00F355E0" w:rsidRDefault="00113D31" w:rsidP="00113D31">
      <w:pPr>
        <w:rPr>
          <w:i/>
          <w:highlight w:val="yellow"/>
        </w:rPr>
      </w:pPr>
    </w:p>
    <w:tbl>
      <w:tblPr>
        <w:tblW w:w="88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8"/>
        <w:gridCol w:w="1282"/>
        <w:gridCol w:w="1134"/>
        <w:gridCol w:w="1329"/>
      </w:tblGrid>
      <w:tr w:rsidR="00113D31" w:rsidRPr="00F355E0" w14:paraId="47CD46FF" w14:textId="77777777" w:rsidTr="0060790C">
        <w:trPr>
          <w:trHeight w:val="255"/>
          <w:tblHeader/>
          <w:jc w:val="center"/>
        </w:trPr>
        <w:tc>
          <w:tcPr>
            <w:tcW w:w="5098" w:type="dxa"/>
            <w:tcBorders>
              <w:top w:val="single" w:sz="4" w:space="0" w:color="auto"/>
              <w:left w:val="single" w:sz="4" w:space="0" w:color="auto"/>
              <w:bottom w:val="nil"/>
              <w:right w:val="single" w:sz="4" w:space="0" w:color="auto"/>
            </w:tcBorders>
            <w:shd w:val="clear" w:color="auto" w:fill="DBE5F1" w:themeFill="accent1" w:themeFillTint="33"/>
            <w:hideMark/>
          </w:tcPr>
          <w:p w14:paraId="1E953364" w14:textId="77777777" w:rsidR="00113D31" w:rsidRPr="00A81AF0" w:rsidRDefault="00113D31" w:rsidP="0060790C">
            <w:pPr>
              <w:jc w:val="left"/>
              <w:rPr>
                <w:rFonts w:asciiTheme="minorHAnsi" w:hAnsiTheme="minorHAnsi" w:cs="Times New Roman"/>
                <w:sz w:val="20"/>
                <w:szCs w:val="20"/>
              </w:rPr>
            </w:pPr>
            <w:r w:rsidRPr="00A81AF0">
              <w:br w:type="page"/>
            </w:r>
            <w:r w:rsidRPr="00A81AF0">
              <w:rPr>
                <w:rFonts w:asciiTheme="minorHAnsi" w:hAnsiTheme="minorHAnsi" w:cs="Times New Roman"/>
                <w:b/>
                <w:bCs/>
                <w:color w:val="000000"/>
                <w:sz w:val="20"/>
                <w:szCs w:val="20"/>
              </w:rPr>
              <w:br w:type="page"/>
            </w:r>
          </w:p>
        </w:tc>
        <w:tc>
          <w:tcPr>
            <w:tcW w:w="1282" w:type="dxa"/>
            <w:tcBorders>
              <w:top w:val="single" w:sz="4" w:space="0" w:color="auto"/>
              <w:left w:val="single" w:sz="4" w:space="0" w:color="auto"/>
              <w:bottom w:val="nil"/>
              <w:right w:val="single" w:sz="4" w:space="0" w:color="auto"/>
            </w:tcBorders>
            <w:shd w:val="clear" w:color="auto" w:fill="DBE5F1" w:themeFill="accent1" w:themeFillTint="33"/>
            <w:hideMark/>
          </w:tcPr>
          <w:p w14:paraId="5CE1390D" w14:textId="77777777" w:rsidR="00113D31" w:rsidRPr="00A81AF0" w:rsidRDefault="00113D31" w:rsidP="0060790C">
            <w:pPr>
              <w:autoSpaceDE w:val="0"/>
              <w:autoSpaceDN w:val="0"/>
              <w:adjustRightInd w:val="0"/>
              <w:spacing w:line="241" w:lineRule="atLeast"/>
              <w:jc w:val="center"/>
              <w:rPr>
                <w:rFonts w:asciiTheme="minorHAnsi" w:hAnsiTheme="minorHAnsi" w:cs="Times New Roman"/>
                <w:b/>
                <w:bCs/>
                <w:color w:val="000000"/>
                <w:sz w:val="20"/>
                <w:szCs w:val="20"/>
              </w:rPr>
            </w:pPr>
          </w:p>
          <w:p w14:paraId="47568AA1" w14:textId="77777777" w:rsidR="00113D31" w:rsidRPr="00A81AF0" w:rsidRDefault="00113D31" w:rsidP="0060790C">
            <w:pPr>
              <w:autoSpaceDE w:val="0"/>
              <w:autoSpaceDN w:val="0"/>
              <w:adjustRightInd w:val="0"/>
              <w:spacing w:line="241" w:lineRule="atLeast"/>
              <w:jc w:val="center"/>
              <w:rPr>
                <w:rFonts w:asciiTheme="minorHAnsi" w:hAnsiTheme="minorHAnsi" w:cs="Times New Roman"/>
                <w:b/>
                <w:bCs/>
                <w:color w:val="000000"/>
                <w:sz w:val="20"/>
                <w:szCs w:val="20"/>
              </w:rPr>
            </w:pPr>
            <w:r w:rsidRPr="00A81AF0">
              <w:rPr>
                <w:rFonts w:asciiTheme="minorHAnsi" w:hAnsiTheme="minorHAnsi" w:cs="Times New Roman"/>
                <w:b/>
                <w:bCs/>
                <w:color w:val="000000"/>
                <w:sz w:val="20"/>
                <w:szCs w:val="20"/>
              </w:rPr>
              <w:t xml:space="preserve">20/21 </w:t>
            </w:r>
          </w:p>
        </w:tc>
        <w:tc>
          <w:tcPr>
            <w:tcW w:w="1134" w:type="dxa"/>
            <w:tcBorders>
              <w:top w:val="single" w:sz="4" w:space="0" w:color="auto"/>
              <w:left w:val="single" w:sz="4" w:space="0" w:color="auto"/>
              <w:bottom w:val="nil"/>
              <w:right w:val="single" w:sz="4" w:space="0" w:color="auto"/>
            </w:tcBorders>
            <w:shd w:val="clear" w:color="auto" w:fill="DBE5F1" w:themeFill="accent1" w:themeFillTint="33"/>
            <w:hideMark/>
          </w:tcPr>
          <w:p w14:paraId="5E111356" w14:textId="77777777" w:rsidR="00113D31" w:rsidRPr="00A81AF0" w:rsidRDefault="00113D31" w:rsidP="0060790C">
            <w:pPr>
              <w:autoSpaceDE w:val="0"/>
              <w:autoSpaceDN w:val="0"/>
              <w:adjustRightInd w:val="0"/>
              <w:spacing w:line="241" w:lineRule="atLeast"/>
              <w:jc w:val="center"/>
              <w:rPr>
                <w:rFonts w:asciiTheme="minorHAnsi" w:hAnsiTheme="minorHAnsi" w:cs="Times New Roman"/>
                <w:b/>
                <w:bCs/>
                <w:color w:val="000000"/>
                <w:sz w:val="20"/>
                <w:szCs w:val="20"/>
              </w:rPr>
            </w:pPr>
          </w:p>
          <w:p w14:paraId="501FA3B5" w14:textId="77777777" w:rsidR="00113D31" w:rsidRPr="00A81AF0" w:rsidRDefault="00113D31" w:rsidP="0060790C">
            <w:pPr>
              <w:autoSpaceDE w:val="0"/>
              <w:autoSpaceDN w:val="0"/>
              <w:adjustRightInd w:val="0"/>
              <w:spacing w:line="241" w:lineRule="atLeast"/>
              <w:jc w:val="center"/>
              <w:rPr>
                <w:rFonts w:asciiTheme="minorHAnsi" w:hAnsiTheme="minorHAnsi" w:cs="Times New Roman"/>
                <w:b/>
                <w:bCs/>
                <w:color w:val="000000"/>
                <w:sz w:val="20"/>
                <w:szCs w:val="20"/>
              </w:rPr>
            </w:pPr>
            <w:r w:rsidRPr="00A81AF0">
              <w:rPr>
                <w:rFonts w:asciiTheme="minorHAnsi" w:hAnsiTheme="minorHAnsi" w:cs="Times New Roman"/>
                <w:b/>
                <w:bCs/>
                <w:color w:val="000000"/>
                <w:sz w:val="20"/>
                <w:szCs w:val="20"/>
              </w:rPr>
              <w:t>21/22</w:t>
            </w:r>
          </w:p>
        </w:tc>
        <w:tc>
          <w:tcPr>
            <w:tcW w:w="1329" w:type="dxa"/>
            <w:tcBorders>
              <w:top w:val="single" w:sz="4" w:space="0" w:color="auto"/>
              <w:left w:val="single" w:sz="4" w:space="0" w:color="auto"/>
              <w:bottom w:val="nil"/>
              <w:right w:val="single" w:sz="4" w:space="0" w:color="auto"/>
            </w:tcBorders>
            <w:shd w:val="clear" w:color="auto" w:fill="DBE5F1" w:themeFill="accent1" w:themeFillTint="33"/>
            <w:hideMark/>
          </w:tcPr>
          <w:p w14:paraId="68D82BF2" w14:textId="77777777" w:rsidR="00113D31" w:rsidRPr="00A81AF0" w:rsidRDefault="00113D31" w:rsidP="0060790C">
            <w:pPr>
              <w:autoSpaceDE w:val="0"/>
              <w:autoSpaceDN w:val="0"/>
              <w:adjustRightInd w:val="0"/>
              <w:spacing w:line="241" w:lineRule="atLeast"/>
              <w:jc w:val="center"/>
              <w:rPr>
                <w:rFonts w:asciiTheme="minorHAnsi" w:hAnsiTheme="minorHAnsi" w:cs="Times New Roman"/>
                <w:b/>
                <w:bCs/>
                <w:color w:val="000000"/>
                <w:sz w:val="20"/>
                <w:szCs w:val="20"/>
              </w:rPr>
            </w:pPr>
          </w:p>
          <w:p w14:paraId="481AD0E9" w14:textId="77777777" w:rsidR="00113D31" w:rsidRPr="00A81AF0" w:rsidRDefault="00113D31" w:rsidP="0060790C">
            <w:pPr>
              <w:autoSpaceDE w:val="0"/>
              <w:autoSpaceDN w:val="0"/>
              <w:adjustRightInd w:val="0"/>
              <w:spacing w:line="241" w:lineRule="atLeast"/>
              <w:jc w:val="center"/>
              <w:rPr>
                <w:rFonts w:asciiTheme="minorHAnsi" w:hAnsiTheme="minorHAnsi" w:cs="Times New Roman"/>
                <w:b/>
                <w:bCs/>
                <w:color w:val="000000"/>
                <w:sz w:val="20"/>
                <w:szCs w:val="20"/>
              </w:rPr>
            </w:pPr>
            <w:r w:rsidRPr="00A81AF0">
              <w:rPr>
                <w:rFonts w:asciiTheme="minorHAnsi" w:hAnsiTheme="minorHAnsi" w:cs="Times New Roman"/>
                <w:b/>
                <w:bCs/>
                <w:color w:val="000000"/>
                <w:sz w:val="20"/>
                <w:szCs w:val="20"/>
              </w:rPr>
              <w:t>22/23</w:t>
            </w:r>
          </w:p>
        </w:tc>
      </w:tr>
      <w:tr w:rsidR="00113D31" w:rsidRPr="00F355E0" w14:paraId="20DF30A5" w14:textId="77777777" w:rsidTr="0060790C">
        <w:trPr>
          <w:trHeight w:val="255"/>
          <w:tblHeader/>
          <w:jc w:val="center"/>
        </w:trPr>
        <w:tc>
          <w:tcPr>
            <w:tcW w:w="5098" w:type="dxa"/>
            <w:tcBorders>
              <w:top w:val="nil"/>
              <w:left w:val="single" w:sz="4" w:space="0" w:color="auto"/>
              <w:bottom w:val="single" w:sz="4" w:space="0" w:color="auto"/>
              <w:right w:val="single" w:sz="4" w:space="0" w:color="auto"/>
            </w:tcBorders>
            <w:shd w:val="clear" w:color="auto" w:fill="DBE5F1" w:themeFill="accent1" w:themeFillTint="33"/>
            <w:hideMark/>
          </w:tcPr>
          <w:p w14:paraId="29298200" w14:textId="77777777" w:rsidR="00113D31" w:rsidRPr="00A81AF0" w:rsidRDefault="00113D31" w:rsidP="0060790C">
            <w:pPr>
              <w:jc w:val="left"/>
              <w:rPr>
                <w:rFonts w:asciiTheme="minorHAnsi" w:hAnsiTheme="minorHAnsi" w:cs="Times New Roman"/>
                <w:sz w:val="20"/>
                <w:szCs w:val="20"/>
              </w:rPr>
            </w:pPr>
          </w:p>
        </w:tc>
        <w:tc>
          <w:tcPr>
            <w:tcW w:w="1282" w:type="dxa"/>
            <w:tcBorders>
              <w:top w:val="nil"/>
              <w:left w:val="single" w:sz="4" w:space="0" w:color="auto"/>
              <w:bottom w:val="single" w:sz="4" w:space="0" w:color="auto"/>
              <w:right w:val="single" w:sz="4" w:space="0" w:color="auto"/>
            </w:tcBorders>
            <w:shd w:val="clear" w:color="auto" w:fill="DBE5F1" w:themeFill="accent1" w:themeFillTint="33"/>
            <w:hideMark/>
          </w:tcPr>
          <w:p w14:paraId="386CF9EA" w14:textId="77777777" w:rsidR="00113D31" w:rsidRPr="00A81AF0" w:rsidRDefault="00113D31" w:rsidP="0060790C">
            <w:pPr>
              <w:jc w:val="center"/>
              <w:rPr>
                <w:rFonts w:asciiTheme="minorHAnsi" w:hAnsiTheme="minorHAnsi" w:cs="Times New Roman"/>
                <w:b/>
                <w:bCs/>
                <w:color w:val="000000"/>
                <w:sz w:val="20"/>
                <w:szCs w:val="20"/>
              </w:rPr>
            </w:pPr>
            <w:r w:rsidRPr="00A81AF0">
              <w:rPr>
                <w:rFonts w:asciiTheme="minorHAnsi" w:hAnsiTheme="minorHAnsi" w:cs="Times New Roman"/>
                <w:b/>
                <w:bCs/>
                <w:color w:val="000000"/>
                <w:sz w:val="20"/>
                <w:szCs w:val="20"/>
              </w:rPr>
              <w:t>£m</w:t>
            </w:r>
          </w:p>
        </w:tc>
        <w:tc>
          <w:tcPr>
            <w:tcW w:w="1134" w:type="dxa"/>
            <w:tcBorders>
              <w:top w:val="nil"/>
              <w:left w:val="single" w:sz="4" w:space="0" w:color="auto"/>
              <w:bottom w:val="single" w:sz="4" w:space="0" w:color="auto"/>
              <w:right w:val="single" w:sz="4" w:space="0" w:color="auto"/>
            </w:tcBorders>
            <w:shd w:val="clear" w:color="auto" w:fill="DBE5F1" w:themeFill="accent1" w:themeFillTint="33"/>
            <w:hideMark/>
          </w:tcPr>
          <w:p w14:paraId="47BC5D86" w14:textId="77777777" w:rsidR="00113D31" w:rsidRPr="00A81AF0" w:rsidRDefault="00113D31" w:rsidP="0060790C">
            <w:pPr>
              <w:jc w:val="center"/>
              <w:rPr>
                <w:rFonts w:asciiTheme="minorHAnsi" w:hAnsiTheme="minorHAnsi" w:cs="Times New Roman"/>
                <w:b/>
                <w:bCs/>
                <w:color w:val="000000"/>
                <w:sz w:val="20"/>
                <w:szCs w:val="20"/>
              </w:rPr>
            </w:pPr>
            <w:r w:rsidRPr="00A81AF0">
              <w:rPr>
                <w:rFonts w:asciiTheme="minorHAnsi" w:hAnsiTheme="minorHAnsi" w:cs="Times New Roman"/>
                <w:b/>
                <w:bCs/>
                <w:color w:val="000000"/>
                <w:sz w:val="20"/>
                <w:szCs w:val="20"/>
              </w:rPr>
              <w:t>£m</w:t>
            </w:r>
          </w:p>
        </w:tc>
        <w:tc>
          <w:tcPr>
            <w:tcW w:w="1329" w:type="dxa"/>
            <w:tcBorders>
              <w:top w:val="nil"/>
              <w:left w:val="single" w:sz="4" w:space="0" w:color="auto"/>
              <w:bottom w:val="single" w:sz="4" w:space="0" w:color="auto"/>
              <w:right w:val="single" w:sz="4" w:space="0" w:color="auto"/>
            </w:tcBorders>
            <w:shd w:val="clear" w:color="auto" w:fill="DBE5F1" w:themeFill="accent1" w:themeFillTint="33"/>
            <w:hideMark/>
          </w:tcPr>
          <w:p w14:paraId="205CBD84" w14:textId="77777777" w:rsidR="00113D31" w:rsidRPr="00A81AF0" w:rsidRDefault="00113D31" w:rsidP="0060790C">
            <w:pPr>
              <w:jc w:val="center"/>
              <w:rPr>
                <w:rFonts w:asciiTheme="minorHAnsi" w:hAnsiTheme="minorHAnsi" w:cs="Times New Roman"/>
                <w:b/>
                <w:bCs/>
                <w:color w:val="000000"/>
                <w:sz w:val="20"/>
                <w:szCs w:val="20"/>
              </w:rPr>
            </w:pPr>
            <w:r w:rsidRPr="00A81AF0">
              <w:rPr>
                <w:rFonts w:asciiTheme="minorHAnsi" w:hAnsiTheme="minorHAnsi" w:cs="Times New Roman"/>
                <w:b/>
                <w:bCs/>
                <w:color w:val="000000"/>
                <w:sz w:val="20"/>
                <w:szCs w:val="20"/>
              </w:rPr>
              <w:t>£m</w:t>
            </w:r>
          </w:p>
        </w:tc>
      </w:tr>
      <w:tr w:rsidR="00113D31" w:rsidRPr="00F355E0" w14:paraId="7494F075" w14:textId="77777777" w:rsidTr="0060790C">
        <w:trPr>
          <w:trHeight w:val="255"/>
          <w:jc w:val="center"/>
        </w:trPr>
        <w:tc>
          <w:tcPr>
            <w:tcW w:w="5098" w:type="dxa"/>
            <w:tcBorders>
              <w:top w:val="single" w:sz="4" w:space="0" w:color="auto"/>
              <w:left w:val="single" w:sz="4" w:space="0" w:color="auto"/>
              <w:bottom w:val="single" w:sz="4" w:space="0" w:color="auto"/>
              <w:right w:val="single" w:sz="4" w:space="0" w:color="auto"/>
            </w:tcBorders>
          </w:tcPr>
          <w:p w14:paraId="2D59EC8E" w14:textId="77777777" w:rsidR="00113D31" w:rsidRPr="00A81AF0" w:rsidRDefault="00113D31" w:rsidP="0060790C">
            <w:pPr>
              <w:rPr>
                <w:rFonts w:asciiTheme="minorHAnsi" w:hAnsiTheme="minorHAnsi" w:cs="Arial"/>
                <w:sz w:val="20"/>
                <w:szCs w:val="20"/>
              </w:rPr>
            </w:pPr>
            <w:r w:rsidRPr="00A81AF0">
              <w:rPr>
                <w:rFonts w:asciiTheme="minorHAnsi" w:hAnsiTheme="minorHAnsi" w:cs="Arial"/>
                <w:sz w:val="20"/>
                <w:szCs w:val="20"/>
              </w:rPr>
              <w:t>EMRTS</w:t>
            </w:r>
          </w:p>
        </w:tc>
        <w:tc>
          <w:tcPr>
            <w:tcW w:w="1282" w:type="dxa"/>
            <w:tcBorders>
              <w:top w:val="single" w:sz="4" w:space="0" w:color="auto"/>
              <w:left w:val="single" w:sz="4" w:space="0" w:color="auto"/>
              <w:bottom w:val="single" w:sz="4" w:space="0" w:color="auto"/>
              <w:right w:val="single" w:sz="4" w:space="0" w:color="auto"/>
            </w:tcBorders>
          </w:tcPr>
          <w:p w14:paraId="6DD4C96B" w14:textId="77777777" w:rsidR="00113D31" w:rsidRPr="00A81AF0" w:rsidRDefault="00113D31" w:rsidP="0060790C">
            <w:pPr>
              <w:jc w:val="center"/>
              <w:rPr>
                <w:rFonts w:asciiTheme="minorHAnsi" w:hAnsiTheme="minorHAnsi" w:cs="Arial"/>
                <w:sz w:val="20"/>
                <w:szCs w:val="20"/>
              </w:rPr>
            </w:pPr>
            <w:r>
              <w:rPr>
                <w:rFonts w:asciiTheme="minorHAnsi" w:hAnsiTheme="minorHAnsi" w:cs="Arial"/>
                <w:sz w:val="20"/>
                <w:szCs w:val="20"/>
              </w:rPr>
              <w:t>0.3</w:t>
            </w:r>
          </w:p>
        </w:tc>
        <w:tc>
          <w:tcPr>
            <w:tcW w:w="1134" w:type="dxa"/>
            <w:tcBorders>
              <w:top w:val="single" w:sz="4" w:space="0" w:color="auto"/>
              <w:left w:val="single" w:sz="4" w:space="0" w:color="auto"/>
              <w:bottom w:val="single" w:sz="4" w:space="0" w:color="auto"/>
              <w:right w:val="single" w:sz="4" w:space="0" w:color="auto"/>
            </w:tcBorders>
          </w:tcPr>
          <w:p w14:paraId="173FF2CD" w14:textId="77777777" w:rsidR="00113D31" w:rsidRPr="00A81AF0" w:rsidRDefault="00113D31" w:rsidP="0060790C">
            <w:pPr>
              <w:jc w:val="center"/>
              <w:rPr>
                <w:rFonts w:asciiTheme="minorHAnsi" w:hAnsiTheme="minorHAnsi" w:cs="Arial"/>
                <w:sz w:val="20"/>
                <w:szCs w:val="20"/>
              </w:rPr>
            </w:pPr>
            <w:r>
              <w:rPr>
                <w:rFonts w:asciiTheme="minorHAnsi" w:hAnsiTheme="minorHAnsi" w:cs="Arial"/>
                <w:sz w:val="20"/>
                <w:szCs w:val="20"/>
              </w:rPr>
              <w:t>0.3</w:t>
            </w:r>
          </w:p>
        </w:tc>
        <w:tc>
          <w:tcPr>
            <w:tcW w:w="1329" w:type="dxa"/>
            <w:tcBorders>
              <w:top w:val="single" w:sz="4" w:space="0" w:color="auto"/>
              <w:left w:val="single" w:sz="4" w:space="0" w:color="auto"/>
              <w:bottom w:val="single" w:sz="4" w:space="0" w:color="auto"/>
              <w:right w:val="single" w:sz="4" w:space="0" w:color="auto"/>
            </w:tcBorders>
          </w:tcPr>
          <w:p w14:paraId="0B526FBA" w14:textId="77777777" w:rsidR="00113D31" w:rsidRPr="00A81AF0" w:rsidRDefault="00113D31" w:rsidP="0060790C">
            <w:pPr>
              <w:jc w:val="center"/>
              <w:rPr>
                <w:rFonts w:asciiTheme="minorHAnsi" w:hAnsiTheme="minorHAnsi" w:cs="Arial"/>
                <w:sz w:val="20"/>
                <w:szCs w:val="20"/>
              </w:rPr>
            </w:pPr>
            <w:r>
              <w:rPr>
                <w:rFonts w:asciiTheme="minorHAnsi" w:hAnsiTheme="minorHAnsi" w:cs="Arial"/>
                <w:sz w:val="20"/>
                <w:szCs w:val="20"/>
              </w:rPr>
              <w:t>0</w:t>
            </w:r>
          </w:p>
        </w:tc>
      </w:tr>
      <w:tr w:rsidR="00113D31" w:rsidRPr="00F355E0" w14:paraId="5F20624F" w14:textId="77777777" w:rsidTr="0060790C">
        <w:trPr>
          <w:trHeight w:val="60"/>
          <w:jc w:val="center"/>
        </w:trPr>
        <w:tc>
          <w:tcPr>
            <w:tcW w:w="5098" w:type="dxa"/>
            <w:tcBorders>
              <w:top w:val="single" w:sz="4" w:space="0" w:color="auto"/>
              <w:left w:val="single" w:sz="4" w:space="0" w:color="auto"/>
              <w:bottom w:val="single" w:sz="4" w:space="0" w:color="auto"/>
              <w:right w:val="single" w:sz="4" w:space="0" w:color="auto"/>
            </w:tcBorders>
          </w:tcPr>
          <w:p w14:paraId="10D9BA0F" w14:textId="77777777" w:rsidR="00113D31" w:rsidRPr="004D2CAB" w:rsidRDefault="00113D31" w:rsidP="0060790C">
            <w:pPr>
              <w:rPr>
                <w:rFonts w:asciiTheme="minorHAnsi" w:hAnsiTheme="minorHAnsi" w:cs="Arial"/>
                <w:sz w:val="20"/>
                <w:szCs w:val="20"/>
              </w:rPr>
            </w:pPr>
            <w:r w:rsidRPr="004D2CAB">
              <w:rPr>
                <w:rFonts w:asciiTheme="minorHAnsi" w:hAnsiTheme="minorHAnsi" w:cs="Arial"/>
                <w:sz w:val="20"/>
                <w:szCs w:val="20"/>
              </w:rPr>
              <w:t>Other</w:t>
            </w:r>
          </w:p>
        </w:tc>
        <w:tc>
          <w:tcPr>
            <w:tcW w:w="1282" w:type="dxa"/>
            <w:tcBorders>
              <w:top w:val="single" w:sz="4" w:space="0" w:color="auto"/>
              <w:left w:val="single" w:sz="4" w:space="0" w:color="auto"/>
              <w:bottom w:val="single" w:sz="4" w:space="0" w:color="auto"/>
              <w:right w:val="single" w:sz="4" w:space="0" w:color="auto"/>
            </w:tcBorders>
          </w:tcPr>
          <w:p w14:paraId="0BC3872D" w14:textId="77777777" w:rsidR="00113D31" w:rsidRPr="004D2CAB" w:rsidRDefault="00113D31" w:rsidP="0060790C">
            <w:pPr>
              <w:jc w:val="center"/>
              <w:rPr>
                <w:rFonts w:asciiTheme="minorHAnsi" w:hAnsiTheme="minorHAnsi" w:cs="Arial"/>
                <w:bCs/>
                <w:sz w:val="20"/>
                <w:szCs w:val="20"/>
              </w:rPr>
            </w:pPr>
            <w:r w:rsidRPr="004D2CAB">
              <w:rPr>
                <w:rFonts w:asciiTheme="minorHAnsi" w:hAnsiTheme="minorHAnsi" w:cs="Arial"/>
                <w:bCs/>
                <w:sz w:val="20"/>
                <w:szCs w:val="20"/>
              </w:rPr>
              <w:t>0</w:t>
            </w:r>
          </w:p>
        </w:tc>
        <w:tc>
          <w:tcPr>
            <w:tcW w:w="1134" w:type="dxa"/>
            <w:tcBorders>
              <w:top w:val="single" w:sz="4" w:space="0" w:color="auto"/>
              <w:left w:val="single" w:sz="4" w:space="0" w:color="auto"/>
              <w:bottom w:val="single" w:sz="4" w:space="0" w:color="auto"/>
              <w:right w:val="single" w:sz="4" w:space="0" w:color="auto"/>
            </w:tcBorders>
          </w:tcPr>
          <w:p w14:paraId="672585E3" w14:textId="77777777" w:rsidR="00113D31" w:rsidRPr="004D2CAB" w:rsidRDefault="00113D31" w:rsidP="0060790C">
            <w:pPr>
              <w:jc w:val="center"/>
              <w:rPr>
                <w:rFonts w:asciiTheme="minorHAnsi" w:hAnsiTheme="minorHAnsi" w:cs="Arial"/>
                <w:bCs/>
                <w:sz w:val="20"/>
                <w:szCs w:val="20"/>
              </w:rPr>
            </w:pPr>
            <w:r w:rsidRPr="004D2CAB">
              <w:rPr>
                <w:rFonts w:asciiTheme="minorHAnsi" w:hAnsiTheme="minorHAnsi" w:cs="Arial"/>
                <w:bCs/>
                <w:sz w:val="20"/>
                <w:szCs w:val="20"/>
              </w:rPr>
              <w:t>0</w:t>
            </w:r>
          </w:p>
        </w:tc>
        <w:tc>
          <w:tcPr>
            <w:tcW w:w="1329" w:type="dxa"/>
            <w:tcBorders>
              <w:top w:val="single" w:sz="4" w:space="0" w:color="auto"/>
              <w:left w:val="single" w:sz="4" w:space="0" w:color="auto"/>
              <w:bottom w:val="single" w:sz="4" w:space="0" w:color="auto"/>
              <w:right w:val="single" w:sz="4" w:space="0" w:color="auto"/>
            </w:tcBorders>
          </w:tcPr>
          <w:p w14:paraId="258E4CAD" w14:textId="77777777" w:rsidR="00113D31" w:rsidRPr="004D2CAB" w:rsidRDefault="00113D31" w:rsidP="0060790C">
            <w:pPr>
              <w:jc w:val="center"/>
              <w:rPr>
                <w:rFonts w:asciiTheme="minorHAnsi" w:hAnsiTheme="minorHAnsi" w:cs="Arial"/>
                <w:bCs/>
                <w:sz w:val="20"/>
                <w:szCs w:val="20"/>
              </w:rPr>
            </w:pPr>
            <w:r w:rsidRPr="004D2CAB">
              <w:rPr>
                <w:rFonts w:asciiTheme="minorHAnsi" w:hAnsiTheme="minorHAnsi" w:cs="Arial"/>
                <w:bCs/>
                <w:sz w:val="20"/>
                <w:szCs w:val="20"/>
              </w:rPr>
              <w:t>0.3</w:t>
            </w:r>
          </w:p>
        </w:tc>
      </w:tr>
      <w:tr w:rsidR="00113D31" w:rsidRPr="00F355E0" w14:paraId="1071436A" w14:textId="77777777" w:rsidTr="0060790C">
        <w:trPr>
          <w:trHeight w:val="60"/>
          <w:jc w:val="center"/>
        </w:trPr>
        <w:tc>
          <w:tcPr>
            <w:tcW w:w="5098" w:type="dxa"/>
            <w:tcBorders>
              <w:top w:val="single" w:sz="4" w:space="0" w:color="auto"/>
              <w:left w:val="single" w:sz="4" w:space="0" w:color="auto"/>
              <w:bottom w:val="single" w:sz="4" w:space="0" w:color="auto"/>
              <w:right w:val="single" w:sz="4" w:space="0" w:color="auto"/>
            </w:tcBorders>
            <w:hideMark/>
          </w:tcPr>
          <w:p w14:paraId="78686C41" w14:textId="77777777" w:rsidR="00113D31" w:rsidRPr="00A81AF0" w:rsidRDefault="00113D31" w:rsidP="0060790C">
            <w:pPr>
              <w:rPr>
                <w:rFonts w:asciiTheme="minorHAnsi" w:hAnsiTheme="minorHAnsi" w:cs="Arial"/>
                <w:b/>
                <w:sz w:val="20"/>
                <w:szCs w:val="20"/>
              </w:rPr>
            </w:pPr>
            <w:r w:rsidRPr="00A81AF0">
              <w:rPr>
                <w:rFonts w:asciiTheme="minorHAnsi" w:hAnsiTheme="minorHAnsi" w:cs="Arial"/>
                <w:b/>
                <w:sz w:val="20"/>
                <w:szCs w:val="20"/>
              </w:rPr>
              <w:t>Total</w:t>
            </w:r>
          </w:p>
        </w:tc>
        <w:tc>
          <w:tcPr>
            <w:tcW w:w="1282" w:type="dxa"/>
            <w:tcBorders>
              <w:top w:val="single" w:sz="4" w:space="0" w:color="auto"/>
              <w:left w:val="single" w:sz="4" w:space="0" w:color="auto"/>
              <w:bottom w:val="single" w:sz="4" w:space="0" w:color="auto"/>
              <w:right w:val="single" w:sz="4" w:space="0" w:color="auto"/>
            </w:tcBorders>
          </w:tcPr>
          <w:p w14:paraId="590DE79B" w14:textId="77777777" w:rsidR="00113D31" w:rsidRPr="00A81AF0" w:rsidRDefault="00113D31" w:rsidP="0060790C">
            <w:pPr>
              <w:jc w:val="center"/>
              <w:rPr>
                <w:rFonts w:asciiTheme="minorHAnsi" w:hAnsiTheme="minorHAnsi" w:cs="Arial"/>
                <w:b/>
                <w:bCs/>
                <w:sz w:val="20"/>
                <w:szCs w:val="20"/>
              </w:rPr>
            </w:pPr>
            <w:r w:rsidRPr="00A81AF0">
              <w:rPr>
                <w:rFonts w:asciiTheme="minorHAnsi" w:hAnsiTheme="minorHAnsi" w:cs="Arial"/>
                <w:b/>
                <w:bCs/>
                <w:sz w:val="20"/>
                <w:szCs w:val="20"/>
              </w:rPr>
              <w:t>0.</w:t>
            </w:r>
            <w:r>
              <w:rPr>
                <w:rFonts w:asciiTheme="minorHAnsi" w:hAnsiTheme="minorHAnsi" w:cs="Arial"/>
                <w:b/>
                <w:bCs/>
                <w:sz w:val="20"/>
                <w:szCs w:val="20"/>
              </w:rPr>
              <w:t>3</w:t>
            </w:r>
          </w:p>
        </w:tc>
        <w:tc>
          <w:tcPr>
            <w:tcW w:w="1134" w:type="dxa"/>
            <w:tcBorders>
              <w:top w:val="single" w:sz="4" w:space="0" w:color="auto"/>
              <w:left w:val="single" w:sz="4" w:space="0" w:color="auto"/>
              <w:bottom w:val="single" w:sz="4" w:space="0" w:color="auto"/>
              <w:right w:val="single" w:sz="4" w:space="0" w:color="auto"/>
            </w:tcBorders>
          </w:tcPr>
          <w:p w14:paraId="057B1807" w14:textId="77777777" w:rsidR="00113D31" w:rsidRPr="00A81AF0" w:rsidRDefault="00113D31" w:rsidP="0060790C">
            <w:pPr>
              <w:jc w:val="center"/>
              <w:rPr>
                <w:rFonts w:asciiTheme="minorHAnsi" w:hAnsiTheme="minorHAnsi" w:cs="Arial"/>
                <w:b/>
                <w:bCs/>
                <w:sz w:val="20"/>
                <w:szCs w:val="20"/>
              </w:rPr>
            </w:pPr>
            <w:r>
              <w:rPr>
                <w:rFonts w:asciiTheme="minorHAnsi" w:hAnsiTheme="minorHAnsi" w:cs="Arial"/>
                <w:b/>
                <w:bCs/>
                <w:sz w:val="20"/>
                <w:szCs w:val="20"/>
              </w:rPr>
              <w:t>0.3</w:t>
            </w:r>
          </w:p>
        </w:tc>
        <w:tc>
          <w:tcPr>
            <w:tcW w:w="1329" w:type="dxa"/>
            <w:tcBorders>
              <w:top w:val="single" w:sz="4" w:space="0" w:color="auto"/>
              <w:left w:val="single" w:sz="4" w:space="0" w:color="auto"/>
              <w:bottom w:val="single" w:sz="4" w:space="0" w:color="auto"/>
              <w:right w:val="single" w:sz="4" w:space="0" w:color="auto"/>
            </w:tcBorders>
          </w:tcPr>
          <w:p w14:paraId="5E557B8A" w14:textId="77777777" w:rsidR="00113D31" w:rsidRPr="00A81AF0" w:rsidRDefault="00113D31" w:rsidP="0060790C">
            <w:pPr>
              <w:jc w:val="center"/>
              <w:rPr>
                <w:rFonts w:asciiTheme="minorHAnsi" w:hAnsiTheme="minorHAnsi" w:cs="Arial"/>
                <w:b/>
                <w:bCs/>
                <w:sz w:val="20"/>
                <w:szCs w:val="20"/>
              </w:rPr>
            </w:pPr>
            <w:r>
              <w:rPr>
                <w:rFonts w:asciiTheme="minorHAnsi" w:hAnsiTheme="minorHAnsi" w:cs="Arial"/>
                <w:b/>
                <w:bCs/>
                <w:sz w:val="20"/>
                <w:szCs w:val="20"/>
              </w:rPr>
              <w:t>0.3</w:t>
            </w:r>
          </w:p>
        </w:tc>
      </w:tr>
    </w:tbl>
    <w:p w14:paraId="6433EAA9" w14:textId="77777777" w:rsidR="00113D31" w:rsidRDefault="00113D31" w:rsidP="00113D31">
      <w:pPr>
        <w:rPr>
          <w:highlight w:val="yellow"/>
        </w:rPr>
      </w:pPr>
    </w:p>
    <w:p w14:paraId="36BE353B" w14:textId="77777777" w:rsidR="00113D31" w:rsidRPr="008A6992" w:rsidRDefault="00113D31" w:rsidP="00113D31">
      <w:r w:rsidRPr="008A6992">
        <w:t xml:space="preserve">The £0.3m investment in 2020/21 represents a 1.5% increase on the £20m LTA value and is in addition to £0.4m (2%) funding for inflation.  </w:t>
      </w:r>
    </w:p>
    <w:p w14:paraId="3A0CD820" w14:textId="77777777" w:rsidR="00113D31" w:rsidRPr="00986EAA" w:rsidRDefault="00113D31" w:rsidP="00113D31">
      <w:pPr>
        <w:pStyle w:val="Heading2"/>
        <w:ind w:left="1077" w:hanging="1077"/>
      </w:pPr>
      <w:bookmarkStart w:id="193" w:name="_Toc536195581"/>
      <w:bookmarkStart w:id="194" w:name="_Toc536528063"/>
      <w:bookmarkStart w:id="195" w:name="_Toc25262195"/>
      <w:r w:rsidRPr="00986EAA">
        <w:t xml:space="preserve">Investment in </w:t>
      </w:r>
      <w:r>
        <w:t>Service Improvement</w:t>
      </w:r>
      <w:bookmarkEnd w:id="193"/>
      <w:bookmarkEnd w:id="194"/>
      <w:bookmarkEnd w:id="195"/>
      <w:r w:rsidRPr="00986EAA">
        <w:t xml:space="preserve">  </w:t>
      </w:r>
    </w:p>
    <w:p w14:paraId="19CC063D" w14:textId="77777777" w:rsidR="00113D31" w:rsidRDefault="00113D31" w:rsidP="00113D31">
      <w:r w:rsidRPr="00113F86">
        <w:rPr>
          <w:bCs/>
        </w:rPr>
        <w:t xml:space="preserve">The following table </w:t>
      </w:r>
      <w:r w:rsidRPr="00113F86">
        <w:t>sets out the planned investments over the three year period:</w:t>
      </w:r>
    </w:p>
    <w:p w14:paraId="431817FE" w14:textId="77777777" w:rsidR="00113D31" w:rsidRPr="00113F86" w:rsidRDefault="00113D31" w:rsidP="00113D31">
      <w:r w:rsidRPr="00113F86">
        <w:t xml:space="preserve">  </w:t>
      </w:r>
    </w:p>
    <w:tbl>
      <w:tblPr>
        <w:tblStyle w:val="TableGrid"/>
        <w:tblW w:w="8875" w:type="dxa"/>
        <w:jc w:val="center"/>
        <w:tblLook w:val="04A0" w:firstRow="1" w:lastRow="0" w:firstColumn="1" w:lastColumn="0" w:noHBand="0" w:noVBand="1"/>
      </w:tblPr>
      <w:tblGrid>
        <w:gridCol w:w="5676"/>
        <w:gridCol w:w="992"/>
        <w:gridCol w:w="1134"/>
        <w:gridCol w:w="1073"/>
      </w:tblGrid>
      <w:tr w:rsidR="00113D31" w:rsidRPr="00113F86" w14:paraId="687AC467" w14:textId="77777777" w:rsidTr="0060790C">
        <w:trPr>
          <w:trHeight w:val="558"/>
          <w:jc w:val="center"/>
        </w:trPr>
        <w:tc>
          <w:tcPr>
            <w:tcW w:w="5676"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14:paraId="0E5D5035" w14:textId="77777777" w:rsidR="00113D31" w:rsidRPr="00113F86" w:rsidRDefault="00113D31" w:rsidP="0060790C">
            <w:pPr>
              <w:rPr>
                <w:rFonts w:cs="Arial"/>
                <w:b/>
              </w:rPr>
            </w:pPr>
            <w:r w:rsidRPr="00113F86">
              <w:rPr>
                <w:rFonts w:cs="Arial"/>
                <w:b/>
              </w:rPr>
              <w:t>Service improvement</w:t>
            </w:r>
          </w:p>
        </w:tc>
        <w:tc>
          <w:tcPr>
            <w:tcW w:w="992"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2CDAA811" w14:textId="77777777" w:rsidR="00113D31" w:rsidRPr="00113F86" w:rsidRDefault="00113D31" w:rsidP="0060790C">
            <w:pPr>
              <w:jc w:val="center"/>
              <w:rPr>
                <w:rFonts w:cs="Arial"/>
                <w:b/>
              </w:rPr>
            </w:pPr>
            <w:r>
              <w:rPr>
                <w:rFonts w:cs="Arial"/>
                <w:b/>
                <w:bCs/>
              </w:rPr>
              <w:t>20/21</w:t>
            </w:r>
            <w:r w:rsidRPr="00113F86">
              <w:rPr>
                <w:rFonts w:cs="Arial"/>
                <w:b/>
                <w:bCs/>
              </w:rPr>
              <w:t xml:space="preserve"> </w:t>
            </w:r>
          </w:p>
          <w:p w14:paraId="5B6E7176" w14:textId="77777777" w:rsidR="00113D31" w:rsidRPr="00113F86" w:rsidRDefault="00113D31" w:rsidP="0060790C">
            <w:pPr>
              <w:jc w:val="center"/>
              <w:rPr>
                <w:rFonts w:cs="Arial"/>
                <w:b/>
              </w:rPr>
            </w:pPr>
            <w:r w:rsidRPr="00113F86">
              <w:rPr>
                <w:rFonts w:cs="Arial"/>
                <w:b/>
                <w:bCs/>
              </w:rPr>
              <w:t>£m</w:t>
            </w:r>
          </w:p>
        </w:tc>
        <w:tc>
          <w:tcPr>
            <w:tcW w:w="1134"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37039B2D" w14:textId="77777777" w:rsidR="00113D31" w:rsidRPr="00113F86" w:rsidRDefault="00113D31" w:rsidP="0060790C">
            <w:pPr>
              <w:jc w:val="center"/>
              <w:rPr>
                <w:rFonts w:cs="Arial"/>
                <w:b/>
                <w:bCs/>
              </w:rPr>
            </w:pPr>
            <w:r w:rsidRPr="00113F86">
              <w:rPr>
                <w:rFonts w:cs="Arial"/>
                <w:b/>
                <w:bCs/>
              </w:rPr>
              <w:t>2</w:t>
            </w:r>
            <w:r>
              <w:rPr>
                <w:rFonts w:cs="Arial"/>
                <w:b/>
                <w:bCs/>
              </w:rPr>
              <w:t>1</w:t>
            </w:r>
            <w:r w:rsidRPr="00113F86">
              <w:rPr>
                <w:rFonts w:cs="Arial"/>
                <w:b/>
                <w:bCs/>
              </w:rPr>
              <w:t>/2</w:t>
            </w:r>
            <w:r>
              <w:rPr>
                <w:rFonts w:cs="Arial"/>
                <w:b/>
                <w:bCs/>
              </w:rPr>
              <w:t>2</w:t>
            </w:r>
          </w:p>
          <w:p w14:paraId="2064E8FD" w14:textId="77777777" w:rsidR="00113D31" w:rsidRPr="00113F86" w:rsidRDefault="00113D31" w:rsidP="0060790C">
            <w:pPr>
              <w:jc w:val="center"/>
              <w:rPr>
                <w:rFonts w:cs="Arial"/>
                <w:b/>
              </w:rPr>
            </w:pPr>
            <w:r w:rsidRPr="00113F86">
              <w:rPr>
                <w:rFonts w:cs="Arial"/>
                <w:b/>
                <w:bCs/>
              </w:rPr>
              <w:t>£m</w:t>
            </w:r>
          </w:p>
        </w:tc>
        <w:tc>
          <w:tcPr>
            <w:tcW w:w="1073"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5A4AEB01" w14:textId="77777777" w:rsidR="00113D31" w:rsidRPr="00113F86" w:rsidRDefault="00113D31" w:rsidP="0060790C">
            <w:pPr>
              <w:jc w:val="center"/>
              <w:rPr>
                <w:rFonts w:cs="Arial"/>
                <w:b/>
                <w:bCs/>
              </w:rPr>
            </w:pPr>
            <w:r w:rsidRPr="00113F86">
              <w:rPr>
                <w:rFonts w:cs="Arial"/>
                <w:b/>
                <w:bCs/>
              </w:rPr>
              <w:t>2</w:t>
            </w:r>
            <w:r>
              <w:rPr>
                <w:rFonts w:cs="Arial"/>
                <w:b/>
                <w:bCs/>
              </w:rPr>
              <w:t>2</w:t>
            </w:r>
            <w:r w:rsidRPr="00113F86">
              <w:rPr>
                <w:rFonts w:cs="Arial"/>
                <w:b/>
                <w:bCs/>
              </w:rPr>
              <w:t>/2</w:t>
            </w:r>
            <w:r>
              <w:rPr>
                <w:rFonts w:cs="Arial"/>
                <w:b/>
                <w:bCs/>
              </w:rPr>
              <w:t>3</w:t>
            </w:r>
          </w:p>
          <w:p w14:paraId="07266EF1" w14:textId="77777777" w:rsidR="00113D31" w:rsidRPr="00113F86" w:rsidRDefault="00113D31" w:rsidP="0060790C">
            <w:pPr>
              <w:jc w:val="center"/>
              <w:rPr>
                <w:rFonts w:cs="Arial"/>
                <w:b/>
              </w:rPr>
            </w:pPr>
            <w:r w:rsidRPr="00113F86">
              <w:rPr>
                <w:rFonts w:cs="Arial"/>
                <w:b/>
                <w:bCs/>
              </w:rPr>
              <w:t>£m</w:t>
            </w:r>
          </w:p>
        </w:tc>
      </w:tr>
      <w:tr w:rsidR="00113D31" w14:paraId="68F634C2" w14:textId="77777777" w:rsidTr="0060790C">
        <w:trPr>
          <w:trHeight w:val="255"/>
          <w:jc w:val="center"/>
        </w:trPr>
        <w:tc>
          <w:tcPr>
            <w:tcW w:w="5676" w:type="dxa"/>
            <w:tcBorders>
              <w:top w:val="single" w:sz="4" w:space="0" w:color="000000"/>
              <w:left w:val="single" w:sz="4" w:space="0" w:color="000000"/>
              <w:bottom w:val="single" w:sz="4" w:space="0" w:color="000000"/>
              <w:right w:val="single" w:sz="4" w:space="0" w:color="000000"/>
            </w:tcBorders>
          </w:tcPr>
          <w:p w14:paraId="48CD8DBE" w14:textId="77777777" w:rsidR="00113D31" w:rsidRPr="002A1D42" w:rsidRDefault="00113D31" w:rsidP="0060790C">
            <w:pPr>
              <w:rPr>
                <w:rFonts w:cs="Arial"/>
                <w:b/>
              </w:rPr>
            </w:pPr>
            <w:r w:rsidRPr="00113F86">
              <w:rPr>
                <w:rFonts w:cs="Arial"/>
                <w:b/>
              </w:rPr>
              <w:t>Recurring investment:</w:t>
            </w:r>
          </w:p>
        </w:tc>
        <w:tc>
          <w:tcPr>
            <w:tcW w:w="992" w:type="dxa"/>
            <w:tcBorders>
              <w:top w:val="single" w:sz="4" w:space="0" w:color="000000"/>
              <w:left w:val="single" w:sz="4" w:space="0" w:color="000000"/>
              <w:bottom w:val="single" w:sz="4" w:space="0" w:color="000000"/>
              <w:right w:val="single" w:sz="4" w:space="0" w:color="000000"/>
            </w:tcBorders>
          </w:tcPr>
          <w:p w14:paraId="10C38233" w14:textId="77777777" w:rsidR="00113D31" w:rsidRPr="002A1D42" w:rsidRDefault="00113D31" w:rsidP="0060790C">
            <w:pPr>
              <w:jc w:val="center"/>
              <w:rPr>
                <w:rFonts w:cs="Arial"/>
              </w:rPr>
            </w:pPr>
          </w:p>
        </w:tc>
        <w:tc>
          <w:tcPr>
            <w:tcW w:w="1134" w:type="dxa"/>
            <w:tcBorders>
              <w:top w:val="single" w:sz="4" w:space="0" w:color="000000"/>
              <w:left w:val="single" w:sz="4" w:space="0" w:color="000000"/>
              <w:bottom w:val="single" w:sz="4" w:space="0" w:color="000000"/>
              <w:right w:val="single" w:sz="4" w:space="0" w:color="000000"/>
            </w:tcBorders>
          </w:tcPr>
          <w:p w14:paraId="37669FA4" w14:textId="77777777" w:rsidR="00113D31" w:rsidRPr="002A1D42" w:rsidRDefault="00113D31" w:rsidP="0060790C">
            <w:pPr>
              <w:jc w:val="center"/>
              <w:rPr>
                <w:rFonts w:cs="Arial"/>
              </w:rPr>
            </w:pPr>
          </w:p>
        </w:tc>
        <w:tc>
          <w:tcPr>
            <w:tcW w:w="1073" w:type="dxa"/>
            <w:tcBorders>
              <w:top w:val="single" w:sz="4" w:space="0" w:color="000000"/>
              <w:left w:val="single" w:sz="4" w:space="0" w:color="000000"/>
              <w:bottom w:val="single" w:sz="4" w:space="0" w:color="000000"/>
              <w:right w:val="single" w:sz="4" w:space="0" w:color="000000"/>
            </w:tcBorders>
          </w:tcPr>
          <w:p w14:paraId="77072A7F" w14:textId="77777777" w:rsidR="00113D31" w:rsidRPr="002A1D42" w:rsidRDefault="00113D31" w:rsidP="0060790C">
            <w:pPr>
              <w:jc w:val="center"/>
              <w:rPr>
                <w:rFonts w:cs="Arial"/>
              </w:rPr>
            </w:pPr>
          </w:p>
        </w:tc>
      </w:tr>
      <w:tr w:rsidR="00113D31" w14:paraId="19AE3DDD" w14:textId="77777777" w:rsidTr="0060790C">
        <w:trPr>
          <w:trHeight w:val="361"/>
          <w:jc w:val="center"/>
        </w:trPr>
        <w:tc>
          <w:tcPr>
            <w:tcW w:w="5676" w:type="dxa"/>
            <w:tcBorders>
              <w:top w:val="single" w:sz="4" w:space="0" w:color="000000"/>
              <w:left w:val="single" w:sz="4" w:space="0" w:color="000000"/>
              <w:bottom w:val="single" w:sz="4" w:space="0" w:color="000000"/>
              <w:right w:val="single" w:sz="4" w:space="0" w:color="000000"/>
            </w:tcBorders>
          </w:tcPr>
          <w:p w14:paraId="4852E299" w14:textId="77777777" w:rsidR="00113D31" w:rsidRPr="002A1D42" w:rsidRDefault="00113D31" w:rsidP="0060790C">
            <w:pPr>
              <w:rPr>
                <w:rFonts w:cs="Arial"/>
                <w:bCs/>
              </w:rPr>
            </w:pPr>
            <w:r w:rsidRPr="002A1D42">
              <w:rPr>
                <w:rFonts w:cs="Arial"/>
              </w:rPr>
              <w:t xml:space="preserve">Locally </w:t>
            </w:r>
            <w:r>
              <w:rPr>
                <w:rFonts w:cs="Arial"/>
              </w:rPr>
              <w:t>determined developments</w:t>
            </w:r>
          </w:p>
        </w:tc>
        <w:tc>
          <w:tcPr>
            <w:tcW w:w="992" w:type="dxa"/>
            <w:tcBorders>
              <w:top w:val="single" w:sz="4" w:space="0" w:color="000000"/>
              <w:left w:val="single" w:sz="4" w:space="0" w:color="000000"/>
              <w:bottom w:val="single" w:sz="4" w:space="0" w:color="000000"/>
              <w:right w:val="single" w:sz="4" w:space="0" w:color="000000"/>
            </w:tcBorders>
          </w:tcPr>
          <w:p w14:paraId="2ECBE58B" w14:textId="77777777" w:rsidR="00113D31" w:rsidRPr="002A1D42" w:rsidRDefault="00113D31" w:rsidP="0060790C">
            <w:pPr>
              <w:jc w:val="center"/>
              <w:rPr>
                <w:rFonts w:cs="Arial"/>
              </w:rPr>
            </w:pPr>
            <w:r>
              <w:rPr>
                <w:rFonts w:cs="Arial"/>
              </w:rPr>
              <w:t>1.0</w:t>
            </w:r>
          </w:p>
        </w:tc>
        <w:tc>
          <w:tcPr>
            <w:tcW w:w="1134" w:type="dxa"/>
            <w:tcBorders>
              <w:top w:val="single" w:sz="4" w:space="0" w:color="000000"/>
              <w:left w:val="single" w:sz="4" w:space="0" w:color="000000"/>
              <w:bottom w:val="single" w:sz="4" w:space="0" w:color="000000"/>
              <w:right w:val="single" w:sz="4" w:space="0" w:color="000000"/>
            </w:tcBorders>
          </w:tcPr>
          <w:p w14:paraId="5F31D6CB" w14:textId="77777777" w:rsidR="00113D31" w:rsidRPr="002A1D42" w:rsidRDefault="00113D31" w:rsidP="0060790C">
            <w:pPr>
              <w:jc w:val="center"/>
              <w:rPr>
                <w:rFonts w:cs="Arial"/>
              </w:rPr>
            </w:pPr>
            <w:r>
              <w:rPr>
                <w:rFonts w:cs="Arial"/>
              </w:rPr>
              <w:t>1.0</w:t>
            </w:r>
          </w:p>
        </w:tc>
        <w:tc>
          <w:tcPr>
            <w:tcW w:w="1073" w:type="dxa"/>
            <w:tcBorders>
              <w:top w:val="single" w:sz="4" w:space="0" w:color="000000"/>
              <w:left w:val="single" w:sz="4" w:space="0" w:color="000000"/>
              <w:bottom w:val="single" w:sz="4" w:space="0" w:color="000000"/>
              <w:right w:val="single" w:sz="4" w:space="0" w:color="000000"/>
            </w:tcBorders>
          </w:tcPr>
          <w:p w14:paraId="160A06A9" w14:textId="77777777" w:rsidR="00113D31" w:rsidRPr="002A1D42" w:rsidRDefault="00113D31" w:rsidP="0060790C">
            <w:pPr>
              <w:jc w:val="center"/>
              <w:rPr>
                <w:rFonts w:cs="Arial"/>
              </w:rPr>
            </w:pPr>
            <w:r>
              <w:rPr>
                <w:rFonts w:cs="Arial"/>
              </w:rPr>
              <w:t>2.0</w:t>
            </w:r>
          </w:p>
        </w:tc>
      </w:tr>
      <w:tr w:rsidR="00113D31" w14:paraId="10F8083B" w14:textId="77777777" w:rsidTr="0060790C">
        <w:trPr>
          <w:trHeight w:val="353"/>
          <w:jc w:val="center"/>
        </w:trPr>
        <w:tc>
          <w:tcPr>
            <w:tcW w:w="5676" w:type="dxa"/>
            <w:tcBorders>
              <w:top w:val="single" w:sz="4" w:space="0" w:color="000000"/>
              <w:left w:val="single" w:sz="4" w:space="0" w:color="000000"/>
              <w:bottom w:val="single" w:sz="4" w:space="0" w:color="000000"/>
              <w:right w:val="single" w:sz="4" w:space="0" w:color="000000"/>
            </w:tcBorders>
            <w:hideMark/>
          </w:tcPr>
          <w:p w14:paraId="4C88112A" w14:textId="77777777" w:rsidR="00113D31" w:rsidRPr="002A1D42" w:rsidRDefault="00113D31" w:rsidP="0060790C">
            <w:pPr>
              <w:rPr>
                <w:rFonts w:cs="Arial"/>
                <w:bCs/>
              </w:rPr>
            </w:pPr>
            <w:r w:rsidRPr="002A1D42">
              <w:rPr>
                <w:rFonts w:cs="Arial"/>
              </w:rPr>
              <w:t>All Wales initiatives/top slices</w:t>
            </w:r>
          </w:p>
        </w:tc>
        <w:tc>
          <w:tcPr>
            <w:tcW w:w="992" w:type="dxa"/>
            <w:tcBorders>
              <w:top w:val="single" w:sz="4" w:space="0" w:color="000000"/>
              <w:left w:val="single" w:sz="4" w:space="0" w:color="000000"/>
              <w:bottom w:val="single" w:sz="4" w:space="0" w:color="000000"/>
              <w:right w:val="single" w:sz="4" w:space="0" w:color="000000"/>
            </w:tcBorders>
            <w:hideMark/>
          </w:tcPr>
          <w:p w14:paraId="1B0755D9" w14:textId="77777777" w:rsidR="00113D31" w:rsidRPr="002A1D42" w:rsidRDefault="00113D31" w:rsidP="0060790C">
            <w:pPr>
              <w:jc w:val="center"/>
              <w:rPr>
                <w:rFonts w:cs="Arial"/>
              </w:rPr>
            </w:pPr>
            <w:r>
              <w:rPr>
                <w:rFonts w:cs="Arial"/>
              </w:rPr>
              <w:t>1.5</w:t>
            </w:r>
          </w:p>
        </w:tc>
        <w:tc>
          <w:tcPr>
            <w:tcW w:w="1134" w:type="dxa"/>
            <w:tcBorders>
              <w:top w:val="single" w:sz="4" w:space="0" w:color="000000"/>
              <w:left w:val="single" w:sz="4" w:space="0" w:color="000000"/>
              <w:bottom w:val="single" w:sz="4" w:space="0" w:color="000000"/>
              <w:right w:val="single" w:sz="4" w:space="0" w:color="000000"/>
            </w:tcBorders>
          </w:tcPr>
          <w:p w14:paraId="0375144B" w14:textId="77777777" w:rsidR="00113D31" w:rsidRPr="002A1D42" w:rsidRDefault="00113D31" w:rsidP="0060790C">
            <w:pPr>
              <w:jc w:val="center"/>
              <w:rPr>
                <w:rFonts w:cs="Arial"/>
              </w:rPr>
            </w:pPr>
            <w:r>
              <w:rPr>
                <w:rFonts w:cs="Arial"/>
              </w:rPr>
              <w:t>1.5</w:t>
            </w:r>
          </w:p>
        </w:tc>
        <w:tc>
          <w:tcPr>
            <w:tcW w:w="1073" w:type="dxa"/>
            <w:tcBorders>
              <w:top w:val="single" w:sz="4" w:space="0" w:color="000000"/>
              <w:left w:val="single" w:sz="4" w:space="0" w:color="000000"/>
              <w:bottom w:val="single" w:sz="4" w:space="0" w:color="000000"/>
              <w:right w:val="single" w:sz="4" w:space="0" w:color="000000"/>
            </w:tcBorders>
          </w:tcPr>
          <w:p w14:paraId="3D982609" w14:textId="77777777" w:rsidR="00113D31" w:rsidRPr="002A1D42" w:rsidRDefault="00113D31" w:rsidP="0060790C">
            <w:pPr>
              <w:jc w:val="center"/>
              <w:rPr>
                <w:rFonts w:cs="Arial"/>
              </w:rPr>
            </w:pPr>
            <w:r>
              <w:rPr>
                <w:rFonts w:cs="Arial"/>
              </w:rPr>
              <w:t>1.5</w:t>
            </w:r>
          </w:p>
        </w:tc>
      </w:tr>
      <w:tr w:rsidR="00113D31" w14:paraId="6EC06009" w14:textId="77777777" w:rsidTr="0060790C">
        <w:trPr>
          <w:trHeight w:val="337"/>
          <w:jc w:val="center"/>
        </w:trPr>
        <w:tc>
          <w:tcPr>
            <w:tcW w:w="5676" w:type="dxa"/>
            <w:tcBorders>
              <w:top w:val="single" w:sz="4" w:space="0" w:color="000000"/>
              <w:left w:val="single" w:sz="4" w:space="0" w:color="000000"/>
              <w:bottom w:val="single" w:sz="4" w:space="0" w:color="000000"/>
              <w:right w:val="single" w:sz="4" w:space="0" w:color="000000"/>
            </w:tcBorders>
          </w:tcPr>
          <w:p w14:paraId="16607490" w14:textId="77777777" w:rsidR="00113D31" w:rsidRPr="00F355E0" w:rsidRDefault="00113D31" w:rsidP="0060790C">
            <w:pPr>
              <w:rPr>
                <w:rFonts w:cs="Arial"/>
                <w:bCs/>
              </w:rPr>
            </w:pPr>
            <w:r w:rsidRPr="00F355E0">
              <w:rPr>
                <w:rFonts w:cs="Arial"/>
                <w:bCs/>
              </w:rPr>
              <w:t>Major Trauma</w:t>
            </w:r>
            <w:r>
              <w:rPr>
                <w:rFonts w:cs="Arial"/>
                <w:bCs/>
              </w:rPr>
              <w:t xml:space="preserve"> (£0.5m internal investment &amp; £2.2m commissioned development)</w:t>
            </w:r>
          </w:p>
        </w:tc>
        <w:tc>
          <w:tcPr>
            <w:tcW w:w="992" w:type="dxa"/>
            <w:tcBorders>
              <w:top w:val="single" w:sz="4" w:space="0" w:color="000000"/>
              <w:left w:val="single" w:sz="4" w:space="0" w:color="000000"/>
              <w:bottom w:val="single" w:sz="4" w:space="0" w:color="000000"/>
              <w:right w:val="single" w:sz="4" w:space="0" w:color="000000"/>
            </w:tcBorders>
          </w:tcPr>
          <w:p w14:paraId="0D64637A" w14:textId="77777777" w:rsidR="00113D31" w:rsidRPr="00F355E0" w:rsidRDefault="00113D31" w:rsidP="0060790C">
            <w:pPr>
              <w:jc w:val="center"/>
              <w:rPr>
                <w:rFonts w:cs="Arial"/>
                <w:bCs/>
              </w:rPr>
            </w:pPr>
            <w:r w:rsidRPr="00F355E0">
              <w:rPr>
                <w:rFonts w:cs="Arial"/>
                <w:bCs/>
              </w:rPr>
              <w:t>2.7</w:t>
            </w:r>
          </w:p>
        </w:tc>
        <w:tc>
          <w:tcPr>
            <w:tcW w:w="1134" w:type="dxa"/>
            <w:tcBorders>
              <w:top w:val="single" w:sz="4" w:space="0" w:color="000000"/>
              <w:left w:val="single" w:sz="4" w:space="0" w:color="000000"/>
              <w:bottom w:val="single" w:sz="4" w:space="0" w:color="000000"/>
              <w:right w:val="single" w:sz="4" w:space="0" w:color="000000"/>
            </w:tcBorders>
          </w:tcPr>
          <w:p w14:paraId="5F48E469" w14:textId="77777777" w:rsidR="00113D31" w:rsidRPr="004D2CAB" w:rsidRDefault="00113D31" w:rsidP="0060790C">
            <w:pPr>
              <w:tabs>
                <w:tab w:val="center" w:pos="398"/>
                <w:tab w:val="right" w:pos="796"/>
              </w:tabs>
              <w:jc w:val="center"/>
              <w:rPr>
                <w:rFonts w:cs="Arial"/>
                <w:bCs/>
              </w:rPr>
            </w:pPr>
            <w:r w:rsidRPr="004D2CAB">
              <w:rPr>
                <w:rFonts w:cs="Arial"/>
                <w:bCs/>
              </w:rPr>
              <w:t>0</w:t>
            </w:r>
          </w:p>
        </w:tc>
        <w:tc>
          <w:tcPr>
            <w:tcW w:w="1073" w:type="dxa"/>
            <w:tcBorders>
              <w:top w:val="single" w:sz="4" w:space="0" w:color="000000"/>
              <w:left w:val="single" w:sz="4" w:space="0" w:color="000000"/>
              <w:bottom w:val="single" w:sz="4" w:space="0" w:color="000000"/>
              <w:right w:val="single" w:sz="4" w:space="0" w:color="000000"/>
            </w:tcBorders>
          </w:tcPr>
          <w:p w14:paraId="0A6F669E" w14:textId="77777777" w:rsidR="00113D31" w:rsidRPr="004D2CAB" w:rsidRDefault="00113D31" w:rsidP="0060790C">
            <w:pPr>
              <w:tabs>
                <w:tab w:val="center" w:pos="398"/>
                <w:tab w:val="right" w:pos="796"/>
              </w:tabs>
              <w:jc w:val="center"/>
              <w:rPr>
                <w:rFonts w:cs="Arial"/>
                <w:bCs/>
              </w:rPr>
            </w:pPr>
            <w:r w:rsidRPr="004D2CAB">
              <w:rPr>
                <w:rFonts w:cs="Arial"/>
                <w:bCs/>
              </w:rPr>
              <w:t>0</w:t>
            </w:r>
          </w:p>
        </w:tc>
      </w:tr>
      <w:tr w:rsidR="00113D31" w14:paraId="74175AE7" w14:textId="77777777" w:rsidTr="0060790C">
        <w:trPr>
          <w:trHeight w:val="337"/>
          <w:jc w:val="center"/>
        </w:trPr>
        <w:tc>
          <w:tcPr>
            <w:tcW w:w="5676" w:type="dxa"/>
            <w:tcBorders>
              <w:top w:val="single" w:sz="4" w:space="0" w:color="000000"/>
              <w:left w:val="single" w:sz="4" w:space="0" w:color="000000"/>
              <w:bottom w:val="single" w:sz="4" w:space="0" w:color="000000"/>
              <w:right w:val="single" w:sz="4" w:space="0" w:color="000000"/>
            </w:tcBorders>
          </w:tcPr>
          <w:p w14:paraId="653132A7" w14:textId="77777777" w:rsidR="00113D31" w:rsidRPr="00F355E0" w:rsidRDefault="00113D31" w:rsidP="0060790C">
            <w:pPr>
              <w:rPr>
                <w:rFonts w:cs="Arial"/>
                <w:bCs/>
              </w:rPr>
            </w:pPr>
            <w:r>
              <w:rPr>
                <w:rFonts w:cs="Arial"/>
                <w:bCs/>
              </w:rPr>
              <w:t>Other commissioned developments</w:t>
            </w:r>
          </w:p>
        </w:tc>
        <w:tc>
          <w:tcPr>
            <w:tcW w:w="992" w:type="dxa"/>
            <w:tcBorders>
              <w:top w:val="single" w:sz="4" w:space="0" w:color="000000"/>
              <w:left w:val="single" w:sz="4" w:space="0" w:color="000000"/>
              <w:bottom w:val="single" w:sz="4" w:space="0" w:color="000000"/>
              <w:right w:val="single" w:sz="4" w:space="0" w:color="000000"/>
            </w:tcBorders>
          </w:tcPr>
          <w:p w14:paraId="2B711466" w14:textId="77777777" w:rsidR="00113D31" w:rsidRPr="00F355E0" w:rsidRDefault="00113D31" w:rsidP="0060790C">
            <w:pPr>
              <w:jc w:val="center"/>
              <w:rPr>
                <w:rFonts w:cs="Arial"/>
                <w:bCs/>
              </w:rPr>
            </w:pPr>
            <w:r>
              <w:rPr>
                <w:rFonts w:cs="Arial"/>
                <w:bCs/>
              </w:rPr>
              <w:t>To be split out from the £3m total</w:t>
            </w:r>
          </w:p>
        </w:tc>
        <w:tc>
          <w:tcPr>
            <w:tcW w:w="1134" w:type="dxa"/>
            <w:tcBorders>
              <w:top w:val="single" w:sz="4" w:space="0" w:color="000000"/>
              <w:left w:val="single" w:sz="4" w:space="0" w:color="000000"/>
              <w:bottom w:val="single" w:sz="4" w:space="0" w:color="000000"/>
              <w:right w:val="single" w:sz="4" w:space="0" w:color="000000"/>
            </w:tcBorders>
          </w:tcPr>
          <w:p w14:paraId="2C285DD4" w14:textId="77777777" w:rsidR="00113D31" w:rsidRPr="004D2CAB" w:rsidRDefault="00113D31" w:rsidP="0060790C">
            <w:pPr>
              <w:tabs>
                <w:tab w:val="center" w:pos="398"/>
                <w:tab w:val="right" w:pos="796"/>
              </w:tabs>
              <w:jc w:val="center"/>
              <w:rPr>
                <w:rFonts w:cs="Arial"/>
                <w:bCs/>
              </w:rPr>
            </w:pPr>
            <w:r>
              <w:rPr>
                <w:rFonts w:cs="Arial"/>
                <w:bCs/>
              </w:rPr>
              <w:t>To be split out from the £3m total</w:t>
            </w:r>
          </w:p>
        </w:tc>
        <w:tc>
          <w:tcPr>
            <w:tcW w:w="1073" w:type="dxa"/>
            <w:tcBorders>
              <w:top w:val="single" w:sz="4" w:space="0" w:color="000000"/>
              <w:left w:val="single" w:sz="4" w:space="0" w:color="000000"/>
              <w:bottom w:val="single" w:sz="4" w:space="0" w:color="000000"/>
              <w:right w:val="single" w:sz="4" w:space="0" w:color="000000"/>
            </w:tcBorders>
          </w:tcPr>
          <w:p w14:paraId="23A46084" w14:textId="77777777" w:rsidR="00113D31" w:rsidRPr="004D2CAB" w:rsidRDefault="00113D31" w:rsidP="0060790C">
            <w:pPr>
              <w:tabs>
                <w:tab w:val="center" w:pos="398"/>
                <w:tab w:val="right" w:pos="796"/>
              </w:tabs>
              <w:jc w:val="center"/>
              <w:rPr>
                <w:rFonts w:cs="Arial"/>
                <w:bCs/>
              </w:rPr>
            </w:pPr>
            <w:r>
              <w:rPr>
                <w:rFonts w:cs="Arial"/>
                <w:bCs/>
              </w:rPr>
              <w:t>To be split out from the £3m total</w:t>
            </w:r>
          </w:p>
        </w:tc>
      </w:tr>
      <w:tr w:rsidR="00113D31" w14:paraId="1964DDB3" w14:textId="77777777" w:rsidTr="0060790C">
        <w:trPr>
          <w:trHeight w:val="337"/>
          <w:jc w:val="center"/>
        </w:trPr>
        <w:tc>
          <w:tcPr>
            <w:tcW w:w="5676" w:type="dxa"/>
            <w:tcBorders>
              <w:top w:val="single" w:sz="4" w:space="0" w:color="000000"/>
              <w:left w:val="single" w:sz="4" w:space="0" w:color="000000"/>
              <w:bottom w:val="single" w:sz="4" w:space="0" w:color="000000"/>
              <w:right w:val="single" w:sz="4" w:space="0" w:color="000000"/>
            </w:tcBorders>
            <w:hideMark/>
          </w:tcPr>
          <w:p w14:paraId="3F073D8A" w14:textId="77777777" w:rsidR="00113D31" w:rsidRPr="002A1D42" w:rsidRDefault="00113D31" w:rsidP="0060790C">
            <w:pPr>
              <w:rPr>
                <w:rFonts w:cs="Arial"/>
                <w:b/>
                <w:bCs/>
              </w:rPr>
            </w:pPr>
            <w:r w:rsidRPr="002A1D42">
              <w:rPr>
                <w:rFonts w:cs="Arial"/>
                <w:b/>
                <w:bCs/>
              </w:rPr>
              <w:t>Total Recurring</w:t>
            </w:r>
            <w:r>
              <w:rPr>
                <w:rFonts w:cs="Arial"/>
                <w:b/>
                <w:bCs/>
              </w:rPr>
              <w:t xml:space="preserve"> investment</w:t>
            </w:r>
          </w:p>
        </w:tc>
        <w:tc>
          <w:tcPr>
            <w:tcW w:w="992" w:type="dxa"/>
            <w:tcBorders>
              <w:top w:val="single" w:sz="4" w:space="0" w:color="000000"/>
              <w:left w:val="single" w:sz="4" w:space="0" w:color="000000"/>
              <w:bottom w:val="single" w:sz="4" w:space="0" w:color="000000"/>
              <w:right w:val="single" w:sz="4" w:space="0" w:color="000000"/>
            </w:tcBorders>
            <w:hideMark/>
          </w:tcPr>
          <w:p w14:paraId="13D0A716" w14:textId="77777777" w:rsidR="00113D31" w:rsidRPr="002A1D42" w:rsidRDefault="00113D31" w:rsidP="0060790C">
            <w:pPr>
              <w:jc w:val="center"/>
              <w:rPr>
                <w:rFonts w:cs="Arial"/>
                <w:b/>
                <w:bCs/>
              </w:rPr>
            </w:pPr>
            <w:r>
              <w:rPr>
                <w:rFonts w:cs="Arial"/>
                <w:b/>
                <w:bCs/>
              </w:rPr>
              <w:t>5.2</w:t>
            </w:r>
          </w:p>
        </w:tc>
        <w:tc>
          <w:tcPr>
            <w:tcW w:w="1134" w:type="dxa"/>
            <w:tcBorders>
              <w:top w:val="single" w:sz="4" w:space="0" w:color="000000"/>
              <w:left w:val="single" w:sz="4" w:space="0" w:color="000000"/>
              <w:bottom w:val="single" w:sz="4" w:space="0" w:color="000000"/>
              <w:right w:val="single" w:sz="4" w:space="0" w:color="000000"/>
            </w:tcBorders>
          </w:tcPr>
          <w:p w14:paraId="46A6A333" w14:textId="77777777" w:rsidR="00113D31" w:rsidRPr="002A1D42" w:rsidRDefault="00113D31" w:rsidP="0060790C">
            <w:pPr>
              <w:tabs>
                <w:tab w:val="center" w:pos="398"/>
                <w:tab w:val="right" w:pos="796"/>
              </w:tabs>
              <w:jc w:val="center"/>
              <w:rPr>
                <w:rFonts w:cs="Arial"/>
                <w:b/>
                <w:bCs/>
              </w:rPr>
            </w:pPr>
            <w:r>
              <w:rPr>
                <w:rFonts w:cs="Arial"/>
                <w:b/>
                <w:bCs/>
              </w:rPr>
              <w:t>2.5</w:t>
            </w:r>
          </w:p>
        </w:tc>
        <w:tc>
          <w:tcPr>
            <w:tcW w:w="1073" w:type="dxa"/>
            <w:tcBorders>
              <w:top w:val="single" w:sz="4" w:space="0" w:color="000000"/>
              <w:left w:val="single" w:sz="4" w:space="0" w:color="000000"/>
              <w:bottom w:val="single" w:sz="4" w:space="0" w:color="000000"/>
              <w:right w:val="single" w:sz="4" w:space="0" w:color="000000"/>
            </w:tcBorders>
          </w:tcPr>
          <w:p w14:paraId="01CFBBD0" w14:textId="77777777" w:rsidR="00113D31" w:rsidRPr="002A1D42" w:rsidRDefault="00113D31" w:rsidP="0060790C">
            <w:pPr>
              <w:tabs>
                <w:tab w:val="center" w:pos="398"/>
                <w:tab w:val="right" w:pos="796"/>
              </w:tabs>
              <w:jc w:val="center"/>
              <w:rPr>
                <w:rFonts w:cs="Arial"/>
                <w:b/>
                <w:bCs/>
              </w:rPr>
            </w:pPr>
            <w:r>
              <w:rPr>
                <w:rFonts w:cs="Arial"/>
                <w:b/>
                <w:bCs/>
              </w:rPr>
              <w:t>2.5</w:t>
            </w:r>
          </w:p>
        </w:tc>
      </w:tr>
    </w:tbl>
    <w:p w14:paraId="4D99EC47" w14:textId="77777777" w:rsidR="00113D31" w:rsidRPr="00986EAA" w:rsidRDefault="00113D31" w:rsidP="00E334A5">
      <w:pPr>
        <w:pStyle w:val="Heading3"/>
      </w:pPr>
      <w:r>
        <w:t xml:space="preserve">Service </w:t>
      </w:r>
      <w:r w:rsidRPr="00E334A5">
        <w:t>Improvement</w:t>
      </w:r>
      <w:r w:rsidRPr="00986EAA">
        <w:t xml:space="preserve"> – </w:t>
      </w:r>
      <w:r>
        <w:t>L</w:t>
      </w:r>
      <w:r w:rsidRPr="00986EAA">
        <w:t xml:space="preserve">ocally </w:t>
      </w:r>
      <w:r>
        <w:t>D</w:t>
      </w:r>
      <w:r w:rsidRPr="00986EAA">
        <w:t xml:space="preserve">etermined  </w:t>
      </w:r>
    </w:p>
    <w:p w14:paraId="250A3EE1" w14:textId="77777777" w:rsidR="00113D31" w:rsidRDefault="00113D31" w:rsidP="00113D31">
      <w:r w:rsidRPr="009C797E">
        <w:t>The financial plan</w:t>
      </w:r>
      <w:r>
        <w:t xml:space="preserve"> for 2020/21 </w:t>
      </w:r>
      <w:r w:rsidRPr="009C797E">
        <w:t>includes £</w:t>
      </w:r>
      <w:r>
        <w:t xml:space="preserve">1.0m </w:t>
      </w:r>
      <w:r w:rsidRPr="009C797E">
        <w:t>for locally determined investment decisions in</w:t>
      </w:r>
      <w:r>
        <w:t xml:space="preserve"> new or expanded service models, which includes a provisional allocation of £0.4m for investment in vascular services to be commissioned from Cardiff &amp;Vale Health Board.</w:t>
      </w:r>
    </w:p>
    <w:p w14:paraId="151B0479" w14:textId="77777777" w:rsidR="00113D31" w:rsidRPr="00986EAA" w:rsidRDefault="00113D31" w:rsidP="00E334A5">
      <w:pPr>
        <w:pStyle w:val="Heading3"/>
      </w:pPr>
      <w:r>
        <w:t xml:space="preserve">Service </w:t>
      </w:r>
      <w:r w:rsidRPr="00E334A5">
        <w:t>Improvement</w:t>
      </w:r>
      <w:r w:rsidRPr="00986EAA">
        <w:t xml:space="preserve"> – All Wales</w:t>
      </w:r>
    </w:p>
    <w:p w14:paraId="48875B6A" w14:textId="77777777" w:rsidR="00113D31" w:rsidRDefault="00113D31" w:rsidP="00113D31">
      <w:pPr>
        <w:rPr>
          <w:bCs/>
        </w:rPr>
      </w:pPr>
      <w:r>
        <w:rPr>
          <w:bCs/>
        </w:rPr>
        <w:t>The Health Board has supported a number of All Wales initiatives in previous years in areas such as paramedic re-banding, non-medical education, postgraduate medical education, 111 roll out etc. A provisional estimate of £1.5m has been assumed for 20/21 pending further information in the December Allocation Letter:</w:t>
      </w:r>
    </w:p>
    <w:p w14:paraId="0BCAD9F6" w14:textId="77777777" w:rsidR="00113D31" w:rsidRDefault="00113D31" w:rsidP="00113D31">
      <w:pPr>
        <w:jc w:val="left"/>
        <w:rPr>
          <w:b/>
          <w:bCs/>
        </w:rPr>
      </w:pPr>
    </w:p>
    <w:tbl>
      <w:tblPr>
        <w:tblStyle w:val="TableGrid"/>
        <w:tblW w:w="8500" w:type="dxa"/>
        <w:jc w:val="center"/>
        <w:tblLook w:val="04A0" w:firstRow="1" w:lastRow="0" w:firstColumn="1" w:lastColumn="0" w:noHBand="0" w:noVBand="1"/>
      </w:tblPr>
      <w:tblGrid>
        <w:gridCol w:w="5382"/>
        <w:gridCol w:w="992"/>
        <w:gridCol w:w="992"/>
        <w:gridCol w:w="1134"/>
      </w:tblGrid>
      <w:tr w:rsidR="00113D31" w14:paraId="3234E722" w14:textId="77777777" w:rsidTr="0060790C">
        <w:trPr>
          <w:trHeight w:val="315"/>
          <w:jc w:val="center"/>
        </w:trPr>
        <w:tc>
          <w:tcPr>
            <w:tcW w:w="5382"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noWrap/>
            <w:hideMark/>
          </w:tcPr>
          <w:p w14:paraId="00186DCA" w14:textId="77777777" w:rsidR="00113D31" w:rsidRPr="002A1D42" w:rsidRDefault="00113D31" w:rsidP="0060790C">
            <w:pPr>
              <w:jc w:val="left"/>
              <w:rPr>
                <w:rFonts w:ascii="Times New Roman" w:hAnsi="Times New Roman"/>
              </w:rPr>
            </w:pPr>
          </w:p>
        </w:tc>
        <w:tc>
          <w:tcPr>
            <w:tcW w:w="992"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noWrap/>
            <w:hideMark/>
          </w:tcPr>
          <w:p w14:paraId="4438936F" w14:textId="77777777" w:rsidR="00113D31" w:rsidRPr="002A1D42" w:rsidRDefault="00113D31" w:rsidP="0060790C">
            <w:pPr>
              <w:jc w:val="center"/>
              <w:rPr>
                <w:rFonts w:cs="Arial"/>
                <w:b/>
                <w:bCs/>
              </w:rPr>
            </w:pPr>
            <w:r w:rsidRPr="002A1D42">
              <w:rPr>
                <w:rFonts w:cs="Arial"/>
                <w:b/>
                <w:bCs/>
              </w:rPr>
              <w:t>20</w:t>
            </w:r>
            <w:r>
              <w:rPr>
                <w:rFonts w:cs="Arial"/>
                <w:b/>
                <w:bCs/>
              </w:rPr>
              <w:t>/21</w:t>
            </w:r>
          </w:p>
          <w:p w14:paraId="497CD3E1" w14:textId="77777777" w:rsidR="00113D31" w:rsidRPr="002A1D42" w:rsidRDefault="00113D31" w:rsidP="0060790C">
            <w:pPr>
              <w:jc w:val="center"/>
              <w:rPr>
                <w:rFonts w:cs="Arial"/>
                <w:b/>
                <w:bCs/>
              </w:rPr>
            </w:pPr>
            <w:r w:rsidRPr="002A1D42">
              <w:rPr>
                <w:rFonts w:cs="Arial"/>
                <w:b/>
                <w:bCs/>
              </w:rPr>
              <w:t>£m</w:t>
            </w:r>
          </w:p>
        </w:tc>
        <w:tc>
          <w:tcPr>
            <w:tcW w:w="992"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54D93BF3" w14:textId="77777777" w:rsidR="00113D31" w:rsidRPr="002A1D42" w:rsidRDefault="00113D31" w:rsidP="0060790C">
            <w:pPr>
              <w:jc w:val="center"/>
              <w:rPr>
                <w:rFonts w:cs="Arial"/>
                <w:b/>
                <w:bCs/>
              </w:rPr>
            </w:pPr>
            <w:r w:rsidRPr="002A1D42">
              <w:rPr>
                <w:rFonts w:cs="Arial"/>
                <w:b/>
                <w:bCs/>
              </w:rPr>
              <w:t>2</w:t>
            </w:r>
            <w:r>
              <w:rPr>
                <w:rFonts w:cs="Arial"/>
                <w:b/>
                <w:bCs/>
              </w:rPr>
              <w:t>1/22</w:t>
            </w:r>
          </w:p>
          <w:p w14:paraId="2CDDB19F" w14:textId="77777777" w:rsidR="00113D31" w:rsidRPr="002A1D42" w:rsidRDefault="00113D31" w:rsidP="0060790C">
            <w:pPr>
              <w:jc w:val="center"/>
              <w:rPr>
                <w:rFonts w:cs="Arial"/>
                <w:b/>
                <w:bCs/>
              </w:rPr>
            </w:pPr>
            <w:r w:rsidRPr="002A1D42">
              <w:rPr>
                <w:rFonts w:cs="Arial"/>
                <w:b/>
                <w:bCs/>
              </w:rPr>
              <w:t>£m</w:t>
            </w:r>
          </w:p>
        </w:tc>
        <w:tc>
          <w:tcPr>
            <w:tcW w:w="1134"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4FF3DA28" w14:textId="77777777" w:rsidR="00113D31" w:rsidRPr="002A1D42" w:rsidRDefault="00113D31" w:rsidP="0060790C">
            <w:pPr>
              <w:jc w:val="center"/>
              <w:rPr>
                <w:rFonts w:cs="Arial"/>
                <w:b/>
                <w:bCs/>
              </w:rPr>
            </w:pPr>
            <w:r w:rsidRPr="002A1D42">
              <w:rPr>
                <w:rFonts w:cs="Arial"/>
                <w:b/>
                <w:bCs/>
              </w:rPr>
              <w:t>2</w:t>
            </w:r>
            <w:r>
              <w:rPr>
                <w:rFonts w:cs="Arial"/>
                <w:b/>
                <w:bCs/>
              </w:rPr>
              <w:t>2</w:t>
            </w:r>
            <w:r w:rsidRPr="002A1D42">
              <w:rPr>
                <w:rFonts w:cs="Arial"/>
                <w:b/>
                <w:bCs/>
              </w:rPr>
              <w:t>/2</w:t>
            </w:r>
            <w:r>
              <w:rPr>
                <w:rFonts w:cs="Arial"/>
                <w:b/>
                <w:bCs/>
              </w:rPr>
              <w:t>3</w:t>
            </w:r>
          </w:p>
          <w:p w14:paraId="59050F9D" w14:textId="77777777" w:rsidR="00113D31" w:rsidRPr="002A1D42" w:rsidRDefault="00113D31" w:rsidP="0060790C">
            <w:pPr>
              <w:jc w:val="center"/>
              <w:rPr>
                <w:b/>
              </w:rPr>
            </w:pPr>
            <w:r w:rsidRPr="002A1D42">
              <w:rPr>
                <w:rFonts w:cs="Arial"/>
                <w:b/>
                <w:bCs/>
              </w:rPr>
              <w:t>£m</w:t>
            </w:r>
          </w:p>
        </w:tc>
      </w:tr>
      <w:tr w:rsidR="00113D31" w14:paraId="34C5C656" w14:textId="77777777" w:rsidTr="0060790C">
        <w:trPr>
          <w:trHeight w:val="315"/>
          <w:jc w:val="center"/>
        </w:trPr>
        <w:tc>
          <w:tcPr>
            <w:tcW w:w="5382" w:type="dxa"/>
            <w:tcBorders>
              <w:top w:val="single" w:sz="4" w:space="0" w:color="000000"/>
              <w:left w:val="single" w:sz="4" w:space="0" w:color="000000"/>
              <w:bottom w:val="single" w:sz="4" w:space="0" w:color="000000"/>
              <w:right w:val="single" w:sz="4" w:space="0" w:color="000000"/>
            </w:tcBorders>
            <w:noWrap/>
          </w:tcPr>
          <w:p w14:paraId="3293C8D0" w14:textId="77777777" w:rsidR="00113D31" w:rsidRPr="000070B9" w:rsidRDefault="00113D31" w:rsidP="0060790C">
            <w:pPr>
              <w:jc w:val="left"/>
              <w:rPr>
                <w:rFonts w:cs="Arial"/>
                <w:bCs/>
              </w:rPr>
            </w:pPr>
            <w:r w:rsidRPr="000070B9">
              <w:rPr>
                <w:rFonts w:cs="Arial"/>
                <w:bCs/>
              </w:rPr>
              <w:t xml:space="preserve">Provisional estimate </w:t>
            </w:r>
          </w:p>
        </w:tc>
        <w:tc>
          <w:tcPr>
            <w:tcW w:w="992" w:type="dxa"/>
            <w:tcBorders>
              <w:top w:val="single" w:sz="4" w:space="0" w:color="000000"/>
              <w:left w:val="single" w:sz="4" w:space="0" w:color="000000"/>
              <w:bottom w:val="single" w:sz="4" w:space="0" w:color="000000"/>
              <w:right w:val="single" w:sz="4" w:space="0" w:color="000000"/>
            </w:tcBorders>
            <w:noWrap/>
          </w:tcPr>
          <w:p w14:paraId="6A8B95A6" w14:textId="77777777" w:rsidR="00113D31" w:rsidRPr="000070B9" w:rsidRDefault="00113D31" w:rsidP="0060790C">
            <w:pPr>
              <w:jc w:val="center"/>
              <w:rPr>
                <w:bCs/>
              </w:rPr>
            </w:pPr>
            <w:r>
              <w:rPr>
                <w:bCs/>
              </w:rPr>
              <w:t>1.5</w:t>
            </w:r>
          </w:p>
        </w:tc>
        <w:tc>
          <w:tcPr>
            <w:tcW w:w="992" w:type="dxa"/>
            <w:tcBorders>
              <w:top w:val="single" w:sz="4" w:space="0" w:color="000000"/>
              <w:left w:val="single" w:sz="4" w:space="0" w:color="000000"/>
              <w:bottom w:val="single" w:sz="4" w:space="0" w:color="000000"/>
              <w:right w:val="single" w:sz="4" w:space="0" w:color="000000"/>
            </w:tcBorders>
          </w:tcPr>
          <w:p w14:paraId="07F8E317" w14:textId="77777777" w:rsidR="00113D31" w:rsidRPr="000070B9" w:rsidRDefault="00113D31" w:rsidP="0060790C">
            <w:pPr>
              <w:jc w:val="center"/>
              <w:rPr>
                <w:bCs/>
              </w:rPr>
            </w:pPr>
            <w:r>
              <w:rPr>
                <w:bCs/>
              </w:rPr>
              <w:t>1.5</w:t>
            </w:r>
          </w:p>
        </w:tc>
        <w:tc>
          <w:tcPr>
            <w:tcW w:w="1134" w:type="dxa"/>
            <w:tcBorders>
              <w:top w:val="single" w:sz="4" w:space="0" w:color="000000"/>
              <w:left w:val="single" w:sz="4" w:space="0" w:color="000000"/>
              <w:bottom w:val="single" w:sz="4" w:space="0" w:color="000000"/>
              <w:right w:val="single" w:sz="4" w:space="0" w:color="000000"/>
            </w:tcBorders>
          </w:tcPr>
          <w:p w14:paraId="722C9E67" w14:textId="77777777" w:rsidR="00113D31" w:rsidRPr="000070B9" w:rsidRDefault="00113D31" w:rsidP="0060790C">
            <w:pPr>
              <w:jc w:val="center"/>
              <w:rPr>
                <w:bCs/>
              </w:rPr>
            </w:pPr>
            <w:r>
              <w:rPr>
                <w:bCs/>
              </w:rPr>
              <w:t>1.5</w:t>
            </w:r>
          </w:p>
        </w:tc>
      </w:tr>
      <w:tr w:rsidR="00113D31" w14:paraId="679BE387" w14:textId="77777777" w:rsidTr="0060790C">
        <w:trPr>
          <w:trHeight w:val="315"/>
          <w:jc w:val="center"/>
        </w:trPr>
        <w:tc>
          <w:tcPr>
            <w:tcW w:w="5382" w:type="dxa"/>
            <w:tcBorders>
              <w:top w:val="single" w:sz="4" w:space="0" w:color="000000"/>
              <w:left w:val="single" w:sz="4" w:space="0" w:color="000000"/>
              <w:bottom w:val="single" w:sz="4" w:space="0" w:color="000000"/>
              <w:right w:val="single" w:sz="4" w:space="0" w:color="000000"/>
            </w:tcBorders>
            <w:noWrap/>
            <w:hideMark/>
          </w:tcPr>
          <w:p w14:paraId="2256A0E5" w14:textId="77777777" w:rsidR="00113D31" w:rsidRPr="002A1D42" w:rsidRDefault="00113D31" w:rsidP="0060790C">
            <w:pPr>
              <w:jc w:val="left"/>
              <w:rPr>
                <w:rFonts w:cs="Arial"/>
                <w:b/>
                <w:bCs/>
              </w:rPr>
            </w:pPr>
            <w:r w:rsidRPr="002A1D42">
              <w:rPr>
                <w:rFonts w:cs="Arial"/>
                <w:b/>
                <w:bCs/>
              </w:rPr>
              <w:t xml:space="preserve">Total </w:t>
            </w:r>
          </w:p>
        </w:tc>
        <w:tc>
          <w:tcPr>
            <w:tcW w:w="992" w:type="dxa"/>
            <w:tcBorders>
              <w:top w:val="single" w:sz="4" w:space="0" w:color="000000"/>
              <w:left w:val="single" w:sz="4" w:space="0" w:color="000000"/>
              <w:bottom w:val="single" w:sz="4" w:space="0" w:color="000000"/>
              <w:right w:val="single" w:sz="4" w:space="0" w:color="000000"/>
            </w:tcBorders>
            <w:noWrap/>
            <w:hideMark/>
          </w:tcPr>
          <w:p w14:paraId="706727E3" w14:textId="77777777" w:rsidR="00113D31" w:rsidRPr="002A1D42" w:rsidRDefault="00113D31" w:rsidP="0060790C">
            <w:pPr>
              <w:jc w:val="center"/>
              <w:rPr>
                <w:b/>
                <w:bCs/>
              </w:rPr>
            </w:pPr>
            <w:r>
              <w:rPr>
                <w:b/>
                <w:bCs/>
              </w:rPr>
              <w:t>1.5</w:t>
            </w:r>
          </w:p>
        </w:tc>
        <w:tc>
          <w:tcPr>
            <w:tcW w:w="992" w:type="dxa"/>
            <w:tcBorders>
              <w:top w:val="single" w:sz="4" w:space="0" w:color="000000"/>
              <w:left w:val="single" w:sz="4" w:space="0" w:color="000000"/>
              <w:bottom w:val="single" w:sz="4" w:space="0" w:color="000000"/>
              <w:right w:val="single" w:sz="4" w:space="0" w:color="000000"/>
            </w:tcBorders>
          </w:tcPr>
          <w:p w14:paraId="4072203B" w14:textId="77777777" w:rsidR="00113D31" w:rsidRPr="002A1D42" w:rsidRDefault="00113D31" w:rsidP="0060790C">
            <w:pPr>
              <w:jc w:val="center"/>
              <w:rPr>
                <w:b/>
                <w:bCs/>
              </w:rPr>
            </w:pPr>
            <w:r>
              <w:rPr>
                <w:b/>
                <w:bCs/>
              </w:rPr>
              <w:t>1.5</w:t>
            </w:r>
          </w:p>
        </w:tc>
        <w:tc>
          <w:tcPr>
            <w:tcW w:w="1134" w:type="dxa"/>
            <w:tcBorders>
              <w:top w:val="single" w:sz="4" w:space="0" w:color="000000"/>
              <w:left w:val="single" w:sz="4" w:space="0" w:color="000000"/>
              <w:bottom w:val="single" w:sz="4" w:space="0" w:color="000000"/>
              <w:right w:val="single" w:sz="4" w:space="0" w:color="000000"/>
            </w:tcBorders>
          </w:tcPr>
          <w:p w14:paraId="754B5F82" w14:textId="77777777" w:rsidR="00113D31" w:rsidRPr="002A1D42" w:rsidRDefault="00113D31" w:rsidP="0060790C">
            <w:pPr>
              <w:jc w:val="center"/>
              <w:rPr>
                <w:b/>
                <w:bCs/>
              </w:rPr>
            </w:pPr>
            <w:r>
              <w:rPr>
                <w:b/>
                <w:bCs/>
              </w:rPr>
              <w:t>1.5</w:t>
            </w:r>
          </w:p>
        </w:tc>
      </w:tr>
    </w:tbl>
    <w:p w14:paraId="6274A20F" w14:textId="77777777" w:rsidR="00113D31" w:rsidRDefault="00113D31" w:rsidP="00113D31">
      <w:pPr>
        <w:pStyle w:val="Heading2"/>
        <w:numPr>
          <w:ilvl w:val="0"/>
          <w:numId w:val="0"/>
        </w:numPr>
      </w:pPr>
      <w:bookmarkStart w:id="196" w:name="_Toc536195582"/>
      <w:bookmarkStart w:id="197" w:name="_Toc536528064"/>
    </w:p>
    <w:p w14:paraId="2F7A087F" w14:textId="77777777" w:rsidR="00113D31" w:rsidRDefault="00113D31" w:rsidP="00113D31">
      <w:pPr>
        <w:jc w:val="left"/>
        <w:rPr>
          <w:rFonts w:cs="Arial"/>
          <w:b/>
          <w:bCs/>
          <w:iCs/>
          <w:caps/>
          <w:szCs w:val="28"/>
          <w:lang w:eastAsia="en-US"/>
        </w:rPr>
      </w:pPr>
      <w:r>
        <w:br w:type="page"/>
      </w:r>
    </w:p>
    <w:p w14:paraId="77A4AAF4" w14:textId="77777777" w:rsidR="00113D31" w:rsidRPr="00986EAA" w:rsidRDefault="00113D31" w:rsidP="00113D31">
      <w:pPr>
        <w:pStyle w:val="Heading2"/>
        <w:ind w:left="1077" w:hanging="1077"/>
      </w:pPr>
      <w:bookmarkStart w:id="198" w:name="_Toc25262196"/>
      <w:r w:rsidRPr="00986EAA">
        <w:lastRenderedPageBreak/>
        <w:t>Non Recurring Costs and Benefits</w:t>
      </w:r>
      <w:bookmarkEnd w:id="196"/>
      <w:bookmarkEnd w:id="197"/>
      <w:bookmarkEnd w:id="198"/>
    </w:p>
    <w:tbl>
      <w:tblPr>
        <w:tblStyle w:val="TableGrid"/>
        <w:tblW w:w="8303" w:type="dxa"/>
        <w:jc w:val="center"/>
        <w:tblLook w:val="04A0" w:firstRow="1" w:lastRow="0" w:firstColumn="1" w:lastColumn="0" w:noHBand="0" w:noVBand="1"/>
      </w:tblPr>
      <w:tblGrid>
        <w:gridCol w:w="5240"/>
        <w:gridCol w:w="992"/>
        <w:gridCol w:w="993"/>
        <w:gridCol w:w="1078"/>
      </w:tblGrid>
      <w:tr w:rsidR="00113D31" w14:paraId="41A960A2" w14:textId="77777777" w:rsidTr="0060790C">
        <w:trPr>
          <w:trHeight w:val="586"/>
          <w:jc w:val="center"/>
        </w:trPr>
        <w:tc>
          <w:tcPr>
            <w:tcW w:w="5240"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14:paraId="033F4309" w14:textId="77777777" w:rsidR="00113D31" w:rsidRPr="002A1D42" w:rsidRDefault="00113D31" w:rsidP="0060790C">
            <w:pPr>
              <w:jc w:val="center"/>
              <w:rPr>
                <w:rFonts w:cs="Arial"/>
                <w:b/>
              </w:rPr>
            </w:pPr>
          </w:p>
        </w:tc>
        <w:tc>
          <w:tcPr>
            <w:tcW w:w="992"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2CFB756E" w14:textId="77777777" w:rsidR="00113D31" w:rsidRPr="002A1D42" w:rsidRDefault="00113D31" w:rsidP="0060790C">
            <w:pPr>
              <w:jc w:val="center"/>
              <w:rPr>
                <w:rFonts w:cs="Arial"/>
                <w:b/>
              </w:rPr>
            </w:pPr>
            <w:r>
              <w:rPr>
                <w:rFonts w:cs="Arial"/>
                <w:b/>
                <w:bCs/>
              </w:rPr>
              <w:t>20</w:t>
            </w:r>
            <w:r w:rsidRPr="002A1D42">
              <w:rPr>
                <w:rFonts w:cs="Arial"/>
                <w:b/>
                <w:bCs/>
              </w:rPr>
              <w:t>/2</w:t>
            </w:r>
            <w:r>
              <w:rPr>
                <w:rFonts w:cs="Arial"/>
                <w:b/>
                <w:bCs/>
              </w:rPr>
              <w:t>1</w:t>
            </w:r>
          </w:p>
          <w:p w14:paraId="45D4C98A" w14:textId="77777777" w:rsidR="00113D31" w:rsidRPr="002A1D42" w:rsidRDefault="00113D31" w:rsidP="0060790C">
            <w:pPr>
              <w:jc w:val="center"/>
              <w:rPr>
                <w:rFonts w:cs="Arial"/>
                <w:b/>
              </w:rPr>
            </w:pPr>
            <w:r w:rsidRPr="002A1D42">
              <w:rPr>
                <w:rFonts w:cs="Arial"/>
                <w:b/>
                <w:bCs/>
              </w:rPr>
              <w:t>£m</w:t>
            </w:r>
          </w:p>
        </w:tc>
        <w:tc>
          <w:tcPr>
            <w:tcW w:w="993"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0F44960B" w14:textId="77777777" w:rsidR="00113D31" w:rsidRPr="002A1D42" w:rsidRDefault="00113D31" w:rsidP="0060790C">
            <w:pPr>
              <w:jc w:val="center"/>
              <w:rPr>
                <w:rFonts w:cs="Arial"/>
                <w:b/>
              </w:rPr>
            </w:pPr>
            <w:r w:rsidRPr="002A1D42">
              <w:rPr>
                <w:rFonts w:cs="Arial"/>
                <w:b/>
                <w:bCs/>
              </w:rPr>
              <w:t>2</w:t>
            </w:r>
            <w:r>
              <w:rPr>
                <w:rFonts w:cs="Arial"/>
                <w:b/>
                <w:bCs/>
              </w:rPr>
              <w:t>1</w:t>
            </w:r>
            <w:r w:rsidRPr="002A1D42">
              <w:rPr>
                <w:rFonts w:cs="Arial"/>
                <w:b/>
                <w:bCs/>
              </w:rPr>
              <w:t>/2</w:t>
            </w:r>
            <w:r>
              <w:rPr>
                <w:rFonts w:cs="Arial"/>
                <w:b/>
                <w:bCs/>
              </w:rPr>
              <w:t>2</w:t>
            </w:r>
          </w:p>
          <w:p w14:paraId="553CCE7B" w14:textId="77777777" w:rsidR="00113D31" w:rsidRPr="002A1D42" w:rsidRDefault="00113D31" w:rsidP="0060790C">
            <w:pPr>
              <w:jc w:val="center"/>
              <w:rPr>
                <w:rFonts w:cs="Arial"/>
                <w:b/>
              </w:rPr>
            </w:pPr>
            <w:r w:rsidRPr="002A1D42">
              <w:rPr>
                <w:rFonts w:cs="Arial"/>
                <w:b/>
                <w:bCs/>
              </w:rPr>
              <w:t>£m</w:t>
            </w:r>
          </w:p>
        </w:tc>
        <w:tc>
          <w:tcPr>
            <w:tcW w:w="1078"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18CA1E27" w14:textId="77777777" w:rsidR="00113D31" w:rsidRPr="002A1D42" w:rsidRDefault="00113D31" w:rsidP="0060790C">
            <w:pPr>
              <w:jc w:val="center"/>
              <w:rPr>
                <w:rFonts w:cs="Arial"/>
                <w:b/>
              </w:rPr>
            </w:pPr>
            <w:r w:rsidRPr="002A1D42">
              <w:rPr>
                <w:rFonts w:cs="Arial"/>
                <w:b/>
                <w:bCs/>
              </w:rPr>
              <w:t>2</w:t>
            </w:r>
            <w:r>
              <w:rPr>
                <w:rFonts w:cs="Arial"/>
                <w:b/>
                <w:bCs/>
              </w:rPr>
              <w:t>2</w:t>
            </w:r>
            <w:r w:rsidRPr="002A1D42">
              <w:rPr>
                <w:rFonts w:cs="Arial"/>
                <w:b/>
                <w:bCs/>
              </w:rPr>
              <w:t>/2</w:t>
            </w:r>
            <w:r>
              <w:rPr>
                <w:rFonts w:cs="Arial"/>
                <w:b/>
                <w:bCs/>
              </w:rPr>
              <w:t>3</w:t>
            </w:r>
          </w:p>
          <w:p w14:paraId="1CF36D00" w14:textId="77777777" w:rsidR="00113D31" w:rsidRPr="002A1D42" w:rsidRDefault="00113D31" w:rsidP="0060790C">
            <w:pPr>
              <w:jc w:val="center"/>
              <w:rPr>
                <w:rFonts w:cs="Arial"/>
                <w:b/>
              </w:rPr>
            </w:pPr>
            <w:r w:rsidRPr="002A1D42">
              <w:rPr>
                <w:rFonts w:cs="Arial"/>
                <w:b/>
                <w:bCs/>
              </w:rPr>
              <w:t>£m</w:t>
            </w:r>
          </w:p>
        </w:tc>
      </w:tr>
      <w:tr w:rsidR="00113D31" w14:paraId="03A1A7C9" w14:textId="77777777" w:rsidTr="0060790C">
        <w:trPr>
          <w:trHeight w:val="375"/>
          <w:jc w:val="center"/>
        </w:trPr>
        <w:tc>
          <w:tcPr>
            <w:tcW w:w="5240" w:type="dxa"/>
            <w:tcBorders>
              <w:top w:val="single" w:sz="4" w:space="0" w:color="000000"/>
              <w:left w:val="single" w:sz="4" w:space="0" w:color="000000"/>
              <w:bottom w:val="single" w:sz="4" w:space="0" w:color="000000"/>
              <w:right w:val="single" w:sz="4" w:space="0" w:color="000000"/>
            </w:tcBorders>
            <w:hideMark/>
          </w:tcPr>
          <w:p w14:paraId="19ECF335" w14:textId="77777777" w:rsidR="00113D31" w:rsidRPr="002A1D42" w:rsidRDefault="00113D31" w:rsidP="0060790C">
            <w:pPr>
              <w:rPr>
                <w:rFonts w:cs="Arial"/>
              </w:rPr>
            </w:pPr>
            <w:r w:rsidRPr="002A1D42">
              <w:rPr>
                <w:rFonts w:cs="Arial"/>
              </w:rPr>
              <w:t xml:space="preserve">Retrospective CHC claims </w:t>
            </w:r>
            <w:r>
              <w:rPr>
                <w:rFonts w:cs="Arial"/>
              </w:rPr>
              <w:t>( matched with  assume WG income)</w:t>
            </w:r>
          </w:p>
        </w:tc>
        <w:tc>
          <w:tcPr>
            <w:tcW w:w="992" w:type="dxa"/>
            <w:tcBorders>
              <w:top w:val="single" w:sz="4" w:space="0" w:color="000000"/>
              <w:left w:val="single" w:sz="4" w:space="0" w:color="000000"/>
              <w:bottom w:val="single" w:sz="4" w:space="0" w:color="000000"/>
              <w:right w:val="single" w:sz="4" w:space="0" w:color="000000"/>
            </w:tcBorders>
            <w:hideMark/>
          </w:tcPr>
          <w:p w14:paraId="323AEF41" w14:textId="77777777" w:rsidR="00113D31" w:rsidRPr="002A1D42" w:rsidRDefault="00113D31" w:rsidP="0060790C">
            <w:pPr>
              <w:jc w:val="center"/>
              <w:rPr>
                <w:rFonts w:cs="Arial"/>
              </w:rPr>
            </w:pPr>
            <w:r w:rsidRPr="002A1D42">
              <w:rPr>
                <w:rFonts w:cs="Arial"/>
              </w:rPr>
              <w:t>0.</w:t>
            </w:r>
            <w:r>
              <w:rPr>
                <w:rFonts w:cs="Arial"/>
              </w:rPr>
              <w:t>5</w:t>
            </w:r>
          </w:p>
        </w:tc>
        <w:tc>
          <w:tcPr>
            <w:tcW w:w="993" w:type="dxa"/>
            <w:tcBorders>
              <w:top w:val="single" w:sz="4" w:space="0" w:color="000000"/>
              <w:left w:val="single" w:sz="4" w:space="0" w:color="000000"/>
              <w:bottom w:val="single" w:sz="4" w:space="0" w:color="000000"/>
              <w:right w:val="single" w:sz="4" w:space="0" w:color="000000"/>
            </w:tcBorders>
          </w:tcPr>
          <w:p w14:paraId="19F95088" w14:textId="77777777" w:rsidR="00113D31" w:rsidRPr="002A1D42" w:rsidRDefault="00113D31" w:rsidP="0060790C">
            <w:pPr>
              <w:jc w:val="center"/>
              <w:rPr>
                <w:rFonts w:cs="Arial"/>
              </w:rPr>
            </w:pPr>
            <w:r>
              <w:rPr>
                <w:rFonts w:cs="Arial"/>
              </w:rPr>
              <w:t>0.5</w:t>
            </w:r>
          </w:p>
        </w:tc>
        <w:tc>
          <w:tcPr>
            <w:tcW w:w="1078" w:type="dxa"/>
            <w:tcBorders>
              <w:top w:val="single" w:sz="4" w:space="0" w:color="000000"/>
              <w:left w:val="single" w:sz="4" w:space="0" w:color="000000"/>
              <w:bottom w:val="single" w:sz="4" w:space="0" w:color="000000"/>
              <w:right w:val="single" w:sz="4" w:space="0" w:color="000000"/>
            </w:tcBorders>
          </w:tcPr>
          <w:p w14:paraId="0C932290" w14:textId="77777777" w:rsidR="00113D31" w:rsidRPr="002A1D42" w:rsidRDefault="00113D31" w:rsidP="0060790C">
            <w:pPr>
              <w:jc w:val="center"/>
              <w:rPr>
                <w:rFonts w:cs="Arial"/>
              </w:rPr>
            </w:pPr>
            <w:r>
              <w:rPr>
                <w:rFonts w:cs="Arial"/>
              </w:rPr>
              <w:t>0.5</w:t>
            </w:r>
          </w:p>
        </w:tc>
      </w:tr>
      <w:tr w:rsidR="00113D31" w14:paraId="3C56676B" w14:textId="77777777" w:rsidTr="0060790C">
        <w:trPr>
          <w:trHeight w:val="353"/>
          <w:jc w:val="center"/>
        </w:trPr>
        <w:tc>
          <w:tcPr>
            <w:tcW w:w="5240" w:type="dxa"/>
            <w:tcBorders>
              <w:top w:val="single" w:sz="4" w:space="0" w:color="000000"/>
              <w:left w:val="single" w:sz="4" w:space="0" w:color="000000"/>
              <w:bottom w:val="single" w:sz="4" w:space="0" w:color="000000"/>
              <w:right w:val="single" w:sz="4" w:space="0" w:color="000000"/>
            </w:tcBorders>
            <w:hideMark/>
          </w:tcPr>
          <w:p w14:paraId="6BAE89B5" w14:textId="77777777" w:rsidR="00113D31" w:rsidRPr="002A1D42" w:rsidRDefault="00113D31" w:rsidP="0060790C">
            <w:pPr>
              <w:rPr>
                <w:rFonts w:cs="Arial"/>
                <w:bCs/>
              </w:rPr>
            </w:pPr>
            <w:r>
              <w:rPr>
                <w:rFonts w:cs="Arial"/>
              </w:rPr>
              <w:t>Non recurring commitments and enabling costs including change management and i2S/pump priming</w:t>
            </w:r>
          </w:p>
        </w:tc>
        <w:tc>
          <w:tcPr>
            <w:tcW w:w="992" w:type="dxa"/>
            <w:tcBorders>
              <w:top w:val="single" w:sz="4" w:space="0" w:color="000000"/>
              <w:left w:val="single" w:sz="4" w:space="0" w:color="000000"/>
              <w:bottom w:val="single" w:sz="4" w:space="0" w:color="000000"/>
              <w:right w:val="single" w:sz="4" w:space="0" w:color="000000"/>
            </w:tcBorders>
            <w:hideMark/>
          </w:tcPr>
          <w:p w14:paraId="21E5CDBB" w14:textId="77777777" w:rsidR="00113D31" w:rsidRPr="002A1D42" w:rsidRDefault="00113D31" w:rsidP="0060790C">
            <w:pPr>
              <w:jc w:val="center"/>
              <w:rPr>
                <w:rFonts w:cs="Arial"/>
              </w:rPr>
            </w:pPr>
            <w:r>
              <w:rPr>
                <w:rFonts w:cs="Arial"/>
              </w:rPr>
              <w:t>2.5</w:t>
            </w:r>
          </w:p>
        </w:tc>
        <w:tc>
          <w:tcPr>
            <w:tcW w:w="993" w:type="dxa"/>
            <w:tcBorders>
              <w:top w:val="single" w:sz="4" w:space="0" w:color="000000"/>
              <w:left w:val="single" w:sz="4" w:space="0" w:color="000000"/>
              <w:bottom w:val="single" w:sz="4" w:space="0" w:color="000000"/>
              <w:right w:val="single" w:sz="4" w:space="0" w:color="000000"/>
            </w:tcBorders>
          </w:tcPr>
          <w:p w14:paraId="081244D8" w14:textId="77777777" w:rsidR="00113D31" w:rsidRPr="002A1D42" w:rsidRDefault="00113D31" w:rsidP="0060790C">
            <w:pPr>
              <w:jc w:val="center"/>
              <w:rPr>
                <w:rFonts w:cs="Arial"/>
              </w:rPr>
            </w:pPr>
            <w:r>
              <w:rPr>
                <w:rFonts w:cs="Arial"/>
              </w:rPr>
              <w:t>2.2</w:t>
            </w:r>
          </w:p>
        </w:tc>
        <w:tc>
          <w:tcPr>
            <w:tcW w:w="1078" w:type="dxa"/>
            <w:tcBorders>
              <w:top w:val="single" w:sz="4" w:space="0" w:color="000000"/>
              <w:left w:val="single" w:sz="4" w:space="0" w:color="000000"/>
              <w:bottom w:val="single" w:sz="4" w:space="0" w:color="000000"/>
              <w:right w:val="single" w:sz="4" w:space="0" w:color="000000"/>
            </w:tcBorders>
          </w:tcPr>
          <w:p w14:paraId="3FE7D801" w14:textId="77777777" w:rsidR="00113D31" w:rsidRPr="002A1D42" w:rsidRDefault="00113D31" w:rsidP="0060790C">
            <w:pPr>
              <w:jc w:val="center"/>
              <w:rPr>
                <w:rFonts w:cs="Arial"/>
              </w:rPr>
            </w:pPr>
            <w:r>
              <w:rPr>
                <w:rFonts w:cs="Arial"/>
              </w:rPr>
              <w:t>1.9</w:t>
            </w:r>
          </w:p>
        </w:tc>
      </w:tr>
      <w:tr w:rsidR="00113D31" w14:paraId="478CE21A" w14:textId="77777777" w:rsidTr="0060790C">
        <w:trPr>
          <w:trHeight w:val="375"/>
          <w:jc w:val="center"/>
        </w:trPr>
        <w:tc>
          <w:tcPr>
            <w:tcW w:w="5240" w:type="dxa"/>
            <w:tcBorders>
              <w:top w:val="single" w:sz="4" w:space="0" w:color="000000"/>
              <w:left w:val="single" w:sz="4" w:space="0" w:color="000000"/>
              <w:bottom w:val="single" w:sz="4" w:space="0" w:color="000000"/>
              <w:right w:val="single" w:sz="4" w:space="0" w:color="000000"/>
            </w:tcBorders>
          </w:tcPr>
          <w:p w14:paraId="59CA5188" w14:textId="77777777" w:rsidR="00113D31" w:rsidRPr="007E2D76" w:rsidRDefault="00113D31" w:rsidP="0060790C">
            <w:pPr>
              <w:rPr>
                <w:rFonts w:cs="Arial"/>
                <w:bCs/>
              </w:rPr>
            </w:pPr>
            <w:r w:rsidRPr="007E2D76">
              <w:rPr>
                <w:rFonts w:cs="Arial"/>
                <w:bCs/>
              </w:rPr>
              <w:t>Release of Reserve for increased demand for beds  (Section 7.5.8)</w:t>
            </w:r>
          </w:p>
        </w:tc>
        <w:tc>
          <w:tcPr>
            <w:tcW w:w="992" w:type="dxa"/>
            <w:tcBorders>
              <w:top w:val="single" w:sz="4" w:space="0" w:color="000000"/>
              <w:left w:val="single" w:sz="4" w:space="0" w:color="000000"/>
              <w:bottom w:val="single" w:sz="4" w:space="0" w:color="000000"/>
              <w:right w:val="single" w:sz="4" w:space="0" w:color="000000"/>
            </w:tcBorders>
          </w:tcPr>
          <w:p w14:paraId="41A6AA32" w14:textId="77777777" w:rsidR="00113D31" w:rsidRPr="007E2D76" w:rsidRDefault="00113D31" w:rsidP="0060790C">
            <w:pPr>
              <w:jc w:val="center"/>
              <w:rPr>
                <w:rFonts w:cs="Arial"/>
                <w:bCs/>
              </w:rPr>
            </w:pPr>
            <w:r w:rsidRPr="007E2D76">
              <w:rPr>
                <w:rFonts w:cs="Arial"/>
                <w:bCs/>
              </w:rPr>
              <w:t>(3.2)</w:t>
            </w:r>
          </w:p>
        </w:tc>
        <w:tc>
          <w:tcPr>
            <w:tcW w:w="993" w:type="dxa"/>
            <w:tcBorders>
              <w:top w:val="single" w:sz="4" w:space="0" w:color="000000"/>
              <w:left w:val="single" w:sz="4" w:space="0" w:color="000000"/>
              <w:bottom w:val="single" w:sz="4" w:space="0" w:color="000000"/>
              <w:right w:val="single" w:sz="4" w:space="0" w:color="000000"/>
            </w:tcBorders>
          </w:tcPr>
          <w:p w14:paraId="31DC0733" w14:textId="77777777" w:rsidR="00113D31" w:rsidRPr="007E2D76" w:rsidRDefault="00113D31" w:rsidP="0060790C">
            <w:pPr>
              <w:tabs>
                <w:tab w:val="center" w:pos="398"/>
                <w:tab w:val="right" w:pos="796"/>
              </w:tabs>
              <w:jc w:val="center"/>
              <w:rPr>
                <w:rFonts w:cs="Arial"/>
                <w:bCs/>
              </w:rPr>
            </w:pPr>
            <w:r w:rsidRPr="007E2D76">
              <w:rPr>
                <w:rFonts w:cs="Arial"/>
                <w:bCs/>
              </w:rPr>
              <w:t>0</w:t>
            </w:r>
          </w:p>
        </w:tc>
        <w:tc>
          <w:tcPr>
            <w:tcW w:w="1078" w:type="dxa"/>
            <w:tcBorders>
              <w:top w:val="single" w:sz="4" w:space="0" w:color="000000"/>
              <w:left w:val="single" w:sz="4" w:space="0" w:color="000000"/>
              <w:bottom w:val="single" w:sz="4" w:space="0" w:color="000000"/>
              <w:right w:val="single" w:sz="4" w:space="0" w:color="000000"/>
            </w:tcBorders>
          </w:tcPr>
          <w:p w14:paraId="610CEA7F" w14:textId="77777777" w:rsidR="00113D31" w:rsidRPr="007E2D76" w:rsidRDefault="00113D31" w:rsidP="0060790C">
            <w:pPr>
              <w:tabs>
                <w:tab w:val="center" w:pos="398"/>
                <w:tab w:val="right" w:pos="796"/>
              </w:tabs>
              <w:jc w:val="center"/>
              <w:rPr>
                <w:rFonts w:cs="Arial"/>
                <w:bCs/>
              </w:rPr>
            </w:pPr>
            <w:r w:rsidRPr="007E2D76">
              <w:rPr>
                <w:rFonts w:cs="Arial"/>
                <w:bCs/>
              </w:rPr>
              <w:t>0</w:t>
            </w:r>
          </w:p>
        </w:tc>
      </w:tr>
      <w:tr w:rsidR="00113D31" w14:paraId="71988B15" w14:textId="77777777" w:rsidTr="0060790C">
        <w:trPr>
          <w:trHeight w:val="375"/>
          <w:jc w:val="center"/>
        </w:trPr>
        <w:tc>
          <w:tcPr>
            <w:tcW w:w="5240" w:type="dxa"/>
            <w:tcBorders>
              <w:top w:val="single" w:sz="4" w:space="0" w:color="000000"/>
              <w:left w:val="single" w:sz="4" w:space="0" w:color="000000"/>
              <w:bottom w:val="single" w:sz="4" w:space="0" w:color="000000"/>
              <w:right w:val="single" w:sz="4" w:space="0" w:color="000000"/>
            </w:tcBorders>
            <w:hideMark/>
          </w:tcPr>
          <w:p w14:paraId="02CAE2BB" w14:textId="77777777" w:rsidR="00113D31" w:rsidRPr="007E2D76" w:rsidRDefault="00113D31" w:rsidP="0060790C">
            <w:pPr>
              <w:rPr>
                <w:rFonts w:cs="Arial"/>
                <w:bCs/>
              </w:rPr>
            </w:pPr>
            <w:r w:rsidRPr="007E2D76">
              <w:rPr>
                <w:rFonts w:cs="Arial"/>
                <w:bCs/>
              </w:rPr>
              <w:t>Other non-recurring expenditure reductions</w:t>
            </w:r>
          </w:p>
        </w:tc>
        <w:tc>
          <w:tcPr>
            <w:tcW w:w="992" w:type="dxa"/>
            <w:tcBorders>
              <w:top w:val="single" w:sz="4" w:space="0" w:color="000000"/>
              <w:left w:val="single" w:sz="4" w:space="0" w:color="000000"/>
              <w:bottom w:val="single" w:sz="4" w:space="0" w:color="000000"/>
              <w:right w:val="single" w:sz="4" w:space="0" w:color="000000"/>
            </w:tcBorders>
            <w:hideMark/>
          </w:tcPr>
          <w:p w14:paraId="3C68C6E6" w14:textId="77777777" w:rsidR="00113D31" w:rsidRPr="007E2D76" w:rsidRDefault="00113D31" w:rsidP="0060790C">
            <w:pPr>
              <w:jc w:val="center"/>
              <w:rPr>
                <w:rFonts w:cs="Arial"/>
                <w:bCs/>
              </w:rPr>
            </w:pPr>
            <w:r w:rsidRPr="007E2D76">
              <w:rPr>
                <w:rFonts w:cs="Arial"/>
                <w:bCs/>
              </w:rPr>
              <w:t>(2.8)</w:t>
            </w:r>
          </w:p>
        </w:tc>
        <w:tc>
          <w:tcPr>
            <w:tcW w:w="993" w:type="dxa"/>
            <w:tcBorders>
              <w:top w:val="single" w:sz="4" w:space="0" w:color="000000"/>
              <w:left w:val="single" w:sz="4" w:space="0" w:color="000000"/>
              <w:bottom w:val="single" w:sz="4" w:space="0" w:color="000000"/>
              <w:right w:val="single" w:sz="4" w:space="0" w:color="000000"/>
            </w:tcBorders>
          </w:tcPr>
          <w:p w14:paraId="1AA32A6B" w14:textId="77777777" w:rsidR="00113D31" w:rsidRPr="007E2D76" w:rsidRDefault="00113D31" w:rsidP="0060790C">
            <w:pPr>
              <w:tabs>
                <w:tab w:val="center" w:pos="398"/>
                <w:tab w:val="right" w:pos="796"/>
              </w:tabs>
              <w:jc w:val="center"/>
              <w:rPr>
                <w:rFonts w:cs="Arial"/>
                <w:bCs/>
              </w:rPr>
            </w:pPr>
            <w:r w:rsidRPr="007E2D76">
              <w:rPr>
                <w:rFonts w:cs="Arial"/>
                <w:bCs/>
              </w:rPr>
              <w:t>(2.0)</w:t>
            </w:r>
          </w:p>
        </w:tc>
        <w:tc>
          <w:tcPr>
            <w:tcW w:w="1078" w:type="dxa"/>
            <w:tcBorders>
              <w:top w:val="single" w:sz="4" w:space="0" w:color="000000"/>
              <w:left w:val="single" w:sz="4" w:space="0" w:color="000000"/>
              <w:bottom w:val="single" w:sz="4" w:space="0" w:color="000000"/>
              <w:right w:val="single" w:sz="4" w:space="0" w:color="000000"/>
            </w:tcBorders>
          </w:tcPr>
          <w:p w14:paraId="009F1295" w14:textId="77777777" w:rsidR="00113D31" w:rsidRPr="007E2D76" w:rsidRDefault="00113D31" w:rsidP="0060790C">
            <w:pPr>
              <w:tabs>
                <w:tab w:val="center" w:pos="398"/>
                <w:tab w:val="right" w:pos="796"/>
              </w:tabs>
              <w:jc w:val="center"/>
              <w:rPr>
                <w:rFonts w:cs="Arial"/>
                <w:bCs/>
              </w:rPr>
            </w:pPr>
            <w:r w:rsidRPr="007E2D76">
              <w:rPr>
                <w:rFonts w:cs="Arial"/>
                <w:bCs/>
              </w:rPr>
              <w:t>(2.0)</w:t>
            </w:r>
          </w:p>
        </w:tc>
      </w:tr>
      <w:tr w:rsidR="00113D31" w14:paraId="49566812" w14:textId="77777777" w:rsidTr="0060790C">
        <w:trPr>
          <w:trHeight w:val="266"/>
          <w:jc w:val="center"/>
        </w:trPr>
        <w:tc>
          <w:tcPr>
            <w:tcW w:w="5240" w:type="dxa"/>
            <w:tcBorders>
              <w:top w:val="single" w:sz="4" w:space="0" w:color="000000"/>
              <w:left w:val="single" w:sz="4" w:space="0" w:color="000000"/>
              <w:bottom w:val="single" w:sz="4" w:space="0" w:color="000000"/>
              <w:right w:val="single" w:sz="4" w:space="0" w:color="000000"/>
            </w:tcBorders>
            <w:hideMark/>
          </w:tcPr>
          <w:p w14:paraId="041CA43D" w14:textId="77777777" w:rsidR="00113D31" w:rsidRPr="002A1D42" w:rsidRDefault="00113D31" w:rsidP="0060790C">
            <w:pPr>
              <w:rPr>
                <w:rFonts w:cs="Arial"/>
                <w:b/>
                <w:bCs/>
              </w:rPr>
            </w:pPr>
            <w:r w:rsidRPr="002A1D42">
              <w:rPr>
                <w:rFonts w:cs="Arial"/>
                <w:b/>
                <w:bCs/>
              </w:rPr>
              <w:t xml:space="preserve">Total </w:t>
            </w:r>
          </w:p>
        </w:tc>
        <w:tc>
          <w:tcPr>
            <w:tcW w:w="992" w:type="dxa"/>
            <w:tcBorders>
              <w:top w:val="single" w:sz="4" w:space="0" w:color="000000"/>
              <w:left w:val="single" w:sz="4" w:space="0" w:color="000000"/>
              <w:bottom w:val="single" w:sz="4" w:space="0" w:color="000000"/>
              <w:right w:val="single" w:sz="4" w:space="0" w:color="000000"/>
            </w:tcBorders>
            <w:hideMark/>
          </w:tcPr>
          <w:p w14:paraId="59D55DB3" w14:textId="77777777" w:rsidR="00113D31" w:rsidRPr="002A1D42" w:rsidRDefault="00113D31" w:rsidP="0060790C">
            <w:pPr>
              <w:jc w:val="center"/>
              <w:rPr>
                <w:rFonts w:cs="Arial"/>
                <w:b/>
                <w:bCs/>
              </w:rPr>
            </w:pPr>
            <w:r>
              <w:rPr>
                <w:rFonts w:cs="Arial"/>
                <w:b/>
                <w:bCs/>
              </w:rPr>
              <w:t>(3.0)</w:t>
            </w:r>
          </w:p>
        </w:tc>
        <w:tc>
          <w:tcPr>
            <w:tcW w:w="993" w:type="dxa"/>
            <w:tcBorders>
              <w:top w:val="single" w:sz="4" w:space="0" w:color="000000"/>
              <w:left w:val="single" w:sz="4" w:space="0" w:color="000000"/>
              <w:bottom w:val="single" w:sz="4" w:space="0" w:color="000000"/>
              <w:right w:val="single" w:sz="4" w:space="0" w:color="000000"/>
            </w:tcBorders>
          </w:tcPr>
          <w:p w14:paraId="697875F0" w14:textId="77777777" w:rsidR="00113D31" w:rsidRPr="002A1D42" w:rsidRDefault="00113D31" w:rsidP="0060790C">
            <w:pPr>
              <w:tabs>
                <w:tab w:val="center" w:pos="398"/>
                <w:tab w:val="right" w:pos="796"/>
              </w:tabs>
              <w:jc w:val="center"/>
              <w:rPr>
                <w:rFonts w:cs="Arial"/>
                <w:b/>
                <w:bCs/>
              </w:rPr>
            </w:pPr>
            <w:r>
              <w:rPr>
                <w:rFonts w:cs="Arial"/>
                <w:b/>
                <w:bCs/>
              </w:rPr>
              <w:t>0.7</w:t>
            </w:r>
          </w:p>
        </w:tc>
        <w:tc>
          <w:tcPr>
            <w:tcW w:w="1078" w:type="dxa"/>
            <w:tcBorders>
              <w:top w:val="single" w:sz="4" w:space="0" w:color="000000"/>
              <w:left w:val="single" w:sz="4" w:space="0" w:color="000000"/>
              <w:bottom w:val="single" w:sz="4" w:space="0" w:color="000000"/>
              <w:right w:val="single" w:sz="4" w:space="0" w:color="000000"/>
            </w:tcBorders>
          </w:tcPr>
          <w:p w14:paraId="4D517731" w14:textId="77777777" w:rsidR="00113D31" w:rsidRPr="002A1D42" w:rsidRDefault="00113D31" w:rsidP="0060790C">
            <w:pPr>
              <w:tabs>
                <w:tab w:val="center" w:pos="398"/>
                <w:tab w:val="right" w:pos="796"/>
              </w:tabs>
              <w:jc w:val="center"/>
              <w:rPr>
                <w:rFonts w:cs="Arial"/>
                <w:b/>
                <w:bCs/>
              </w:rPr>
            </w:pPr>
            <w:r>
              <w:rPr>
                <w:rFonts w:cs="Arial"/>
                <w:b/>
                <w:bCs/>
              </w:rPr>
              <w:t>0.4</w:t>
            </w:r>
          </w:p>
        </w:tc>
      </w:tr>
    </w:tbl>
    <w:p w14:paraId="12E34924" w14:textId="77777777" w:rsidR="00113D31" w:rsidRPr="00EB133C" w:rsidRDefault="00113D31" w:rsidP="00113D31">
      <w:pPr>
        <w:pStyle w:val="Heading2"/>
        <w:ind w:left="1077" w:hanging="1077"/>
      </w:pPr>
      <w:bookmarkStart w:id="199" w:name="_Toc536195583"/>
      <w:bookmarkStart w:id="200" w:name="_Toc536528065"/>
      <w:bookmarkStart w:id="201" w:name="_Toc25262197"/>
      <w:r>
        <w:t>Medium Term Savings Plan 2020</w:t>
      </w:r>
      <w:r w:rsidRPr="00EB133C">
        <w:t>/2</w:t>
      </w:r>
      <w:r>
        <w:t>1</w:t>
      </w:r>
      <w:r w:rsidRPr="00EB133C">
        <w:t xml:space="preserve"> to 202</w:t>
      </w:r>
      <w:r>
        <w:t>2</w:t>
      </w:r>
      <w:r w:rsidRPr="00EB133C">
        <w:t>/2</w:t>
      </w:r>
      <w:r>
        <w:t>3</w:t>
      </w:r>
      <w:bookmarkEnd w:id="199"/>
      <w:bookmarkEnd w:id="200"/>
      <w:bookmarkEnd w:id="201"/>
    </w:p>
    <w:p w14:paraId="3479B24F" w14:textId="77777777" w:rsidR="00113D31" w:rsidRDefault="00113D31" w:rsidP="00113D31">
      <w:r>
        <w:rPr>
          <w:bCs/>
        </w:rPr>
        <w:t xml:space="preserve">The following table </w:t>
      </w:r>
      <w:r>
        <w:t>sets out the planned savings over the three year period:</w:t>
      </w:r>
    </w:p>
    <w:p w14:paraId="3BBA5E6F" w14:textId="77777777" w:rsidR="00113D31" w:rsidRDefault="00113D31" w:rsidP="00113D31">
      <w:r>
        <w:t xml:space="preserve">  </w:t>
      </w:r>
    </w:p>
    <w:tbl>
      <w:tblPr>
        <w:tblStyle w:val="TableGrid"/>
        <w:tblW w:w="8221" w:type="dxa"/>
        <w:jc w:val="center"/>
        <w:tblLook w:val="04A0" w:firstRow="1" w:lastRow="0" w:firstColumn="1" w:lastColumn="0" w:noHBand="0" w:noVBand="1"/>
      </w:tblPr>
      <w:tblGrid>
        <w:gridCol w:w="3539"/>
        <w:gridCol w:w="1276"/>
        <w:gridCol w:w="1134"/>
        <w:gridCol w:w="1276"/>
        <w:gridCol w:w="996"/>
      </w:tblGrid>
      <w:tr w:rsidR="00113D31" w14:paraId="6485ECD5" w14:textId="77777777" w:rsidTr="0060790C">
        <w:trPr>
          <w:trHeight w:val="594"/>
          <w:jc w:val="center"/>
        </w:trPr>
        <w:tc>
          <w:tcPr>
            <w:tcW w:w="3539"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14:paraId="77C5AB14" w14:textId="77777777" w:rsidR="00113D31" w:rsidRPr="002A1D42" w:rsidRDefault="00113D31" w:rsidP="0060790C">
            <w:pPr>
              <w:spacing w:before="120"/>
              <w:jc w:val="center"/>
              <w:rPr>
                <w:rFonts w:cs="Arial"/>
                <w:b/>
              </w:rPr>
            </w:pPr>
            <w:r w:rsidRPr="002A1D42">
              <w:rPr>
                <w:b/>
                <w:bCs/>
              </w:rPr>
              <w:br w:type="page"/>
            </w:r>
          </w:p>
        </w:tc>
        <w:tc>
          <w:tcPr>
            <w:tcW w:w="1276"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75410789" w14:textId="77777777" w:rsidR="00113D31" w:rsidRPr="002A1D42" w:rsidRDefault="00113D31" w:rsidP="0060790C">
            <w:pPr>
              <w:jc w:val="center"/>
              <w:rPr>
                <w:rFonts w:cs="Arial"/>
                <w:b/>
              </w:rPr>
            </w:pPr>
            <w:r>
              <w:rPr>
                <w:rFonts w:cs="Arial"/>
                <w:b/>
                <w:bCs/>
              </w:rPr>
              <w:t>20</w:t>
            </w:r>
            <w:r w:rsidRPr="002A1D42">
              <w:rPr>
                <w:rFonts w:cs="Arial"/>
                <w:b/>
                <w:bCs/>
              </w:rPr>
              <w:t>/2</w:t>
            </w:r>
            <w:r>
              <w:rPr>
                <w:rFonts w:cs="Arial"/>
                <w:b/>
                <w:bCs/>
              </w:rPr>
              <w:t>1</w:t>
            </w:r>
          </w:p>
          <w:p w14:paraId="5ACB1AEA" w14:textId="77777777" w:rsidR="00113D31" w:rsidRPr="002A1D42" w:rsidRDefault="00113D31" w:rsidP="0060790C">
            <w:pPr>
              <w:jc w:val="center"/>
              <w:rPr>
                <w:rFonts w:cs="Arial"/>
                <w:b/>
              </w:rPr>
            </w:pPr>
            <w:r w:rsidRPr="002A1D42">
              <w:rPr>
                <w:rFonts w:cs="Arial"/>
                <w:b/>
                <w:bCs/>
              </w:rPr>
              <w:t>£m</w:t>
            </w:r>
          </w:p>
        </w:tc>
        <w:tc>
          <w:tcPr>
            <w:tcW w:w="1134"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3CD45E7F" w14:textId="77777777" w:rsidR="00113D31" w:rsidRPr="002A1D42" w:rsidRDefault="00113D31" w:rsidP="0060790C">
            <w:pPr>
              <w:jc w:val="center"/>
              <w:rPr>
                <w:rFonts w:cs="Arial"/>
                <w:b/>
              </w:rPr>
            </w:pPr>
            <w:r w:rsidRPr="002A1D42">
              <w:rPr>
                <w:rFonts w:cs="Arial"/>
                <w:b/>
                <w:bCs/>
              </w:rPr>
              <w:t>2</w:t>
            </w:r>
            <w:r>
              <w:rPr>
                <w:rFonts w:cs="Arial"/>
                <w:b/>
                <w:bCs/>
              </w:rPr>
              <w:t>1</w:t>
            </w:r>
            <w:r w:rsidRPr="002A1D42">
              <w:rPr>
                <w:rFonts w:cs="Arial"/>
                <w:b/>
                <w:bCs/>
              </w:rPr>
              <w:t>/2</w:t>
            </w:r>
            <w:r>
              <w:rPr>
                <w:rFonts w:cs="Arial"/>
                <w:b/>
                <w:bCs/>
              </w:rPr>
              <w:t>2</w:t>
            </w:r>
          </w:p>
          <w:p w14:paraId="3A39FFA9" w14:textId="77777777" w:rsidR="00113D31" w:rsidRPr="002A1D42" w:rsidRDefault="00113D31" w:rsidP="0060790C">
            <w:pPr>
              <w:jc w:val="center"/>
              <w:rPr>
                <w:rFonts w:cs="Arial"/>
                <w:b/>
              </w:rPr>
            </w:pPr>
            <w:r w:rsidRPr="002A1D42">
              <w:rPr>
                <w:rFonts w:cs="Arial"/>
                <w:b/>
                <w:bCs/>
              </w:rPr>
              <w:t>£m</w:t>
            </w:r>
          </w:p>
        </w:tc>
        <w:tc>
          <w:tcPr>
            <w:tcW w:w="1276"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5E11C1D9" w14:textId="77777777" w:rsidR="00113D31" w:rsidRPr="002A1D42" w:rsidRDefault="00113D31" w:rsidP="0060790C">
            <w:pPr>
              <w:jc w:val="center"/>
              <w:rPr>
                <w:rFonts w:cs="Arial"/>
                <w:b/>
              </w:rPr>
            </w:pPr>
            <w:r w:rsidRPr="002A1D42">
              <w:rPr>
                <w:rFonts w:cs="Arial"/>
                <w:b/>
                <w:bCs/>
              </w:rPr>
              <w:t>2</w:t>
            </w:r>
            <w:r>
              <w:rPr>
                <w:rFonts w:cs="Arial"/>
                <w:b/>
                <w:bCs/>
              </w:rPr>
              <w:t>2</w:t>
            </w:r>
            <w:r w:rsidRPr="002A1D42">
              <w:rPr>
                <w:rFonts w:cs="Arial"/>
                <w:b/>
                <w:bCs/>
              </w:rPr>
              <w:t>/2</w:t>
            </w:r>
            <w:r>
              <w:rPr>
                <w:rFonts w:cs="Arial"/>
                <w:b/>
                <w:bCs/>
              </w:rPr>
              <w:t>3</w:t>
            </w:r>
          </w:p>
          <w:p w14:paraId="6A46784C" w14:textId="77777777" w:rsidR="00113D31" w:rsidRPr="002A1D42" w:rsidRDefault="00113D31" w:rsidP="0060790C">
            <w:pPr>
              <w:jc w:val="center"/>
              <w:rPr>
                <w:rFonts w:cs="Arial"/>
                <w:b/>
              </w:rPr>
            </w:pPr>
            <w:r w:rsidRPr="002A1D42">
              <w:rPr>
                <w:rFonts w:cs="Arial"/>
                <w:b/>
                <w:bCs/>
              </w:rPr>
              <w:t>£m</w:t>
            </w:r>
          </w:p>
        </w:tc>
        <w:tc>
          <w:tcPr>
            <w:tcW w:w="996"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2C81ECFA" w14:textId="77777777" w:rsidR="00113D31" w:rsidRPr="002A1D42" w:rsidRDefault="00113D31" w:rsidP="0060790C">
            <w:pPr>
              <w:jc w:val="center"/>
              <w:rPr>
                <w:rFonts w:cs="Arial"/>
                <w:b/>
              </w:rPr>
            </w:pPr>
            <w:r w:rsidRPr="002A1D42">
              <w:rPr>
                <w:rFonts w:cs="Arial"/>
                <w:b/>
                <w:bCs/>
              </w:rPr>
              <w:t>Total</w:t>
            </w:r>
          </w:p>
          <w:p w14:paraId="0F6D05D8" w14:textId="77777777" w:rsidR="00113D31" w:rsidRPr="002A1D42" w:rsidRDefault="00113D31" w:rsidP="0060790C">
            <w:pPr>
              <w:jc w:val="center"/>
              <w:rPr>
                <w:rFonts w:cs="Arial"/>
                <w:b/>
              </w:rPr>
            </w:pPr>
            <w:r w:rsidRPr="002A1D42">
              <w:rPr>
                <w:rFonts w:cs="Arial"/>
                <w:b/>
                <w:bCs/>
              </w:rPr>
              <w:t>£m</w:t>
            </w:r>
          </w:p>
        </w:tc>
      </w:tr>
      <w:tr w:rsidR="00113D31" w14:paraId="140FC3B3" w14:textId="77777777" w:rsidTr="0060790C">
        <w:trPr>
          <w:trHeight w:val="270"/>
          <w:jc w:val="center"/>
        </w:trPr>
        <w:tc>
          <w:tcPr>
            <w:tcW w:w="3539" w:type="dxa"/>
            <w:tcBorders>
              <w:top w:val="single" w:sz="4" w:space="0" w:color="000000"/>
              <w:left w:val="single" w:sz="4" w:space="0" w:color="000000"/>
              <w:bottom w:val="single" w:sz="4" w:space="0" w:color="000000"/>
              <w:right w:val="single" w:sz="4" w:space="0" w:color="000000"/>
            </w:tcBorders>
            <w:hideMark/>
          </w:tcPr>
          <w:p w14:paraId="00DB9E85" w14:textId="77777777" w:rsidR="00113D31" w:rsidRPr="00B26563" w:rsidRDefault="00113D31" w:rsidP="0060790C">
            <w:pPr>
              <w:rPr>
                <w:rFonts w:cs="Arial"/>
                <w:bCs/>
              </w:rPr>
            </w:pPr>
            <w:r w:rsidRPr="00B26563">
              <w:rPr>
                <w:rFonts w:cs="Arial"/>
                <w:bCs/>
              </w:rPr>
              <w:t>General recurring efficiency and redesign savings</w:t>
            </w:r>
            <w:r>
              <w:rPr>
                <w:rFonts w:cs="Arial"/>
                <w:bCs/>
              </w:rPr>
              <w:t>(2% of pay and non-pay budgets)</w:t>
            </w:r>
          </w:p>
        </w:tc>
        <w:tc>
          <w:tcPr>
            <w:tcW w:w="1276" w:type="dxa"/>
            <w:tcBorders>
              <w:top w:val="single" w:sz="4" w:space="0" w:color="000000"/>
              <w:left w:val="single" w:sz="4" w:space="0" w:color="000000"/>
              <w:bottom w:val="single" w:sz="4" w:space="0" w:color="000000"/>
              <w:right w:val="single" w:sz="4" w:space="0" w:color="000000"/>
            </w:tcBorders>
            <w:hideMark/>
          </w:tcPr>
          <w:p w14:paraId="045D0074" w14:textId="77777777" w:rsidR="00113D31" w:rsidRPr="00B26563" w:rsidRDefault="00113D31" w:rsidP="0060790C">
            <w:pPr>
              <w:jc w:val="center"/>
              <w:rPr>
                <w:rFonts w:cs="Arial"/>
                <w:bCs/>
              </w:rPr>
            </w:pPr>
            <w:r w:rsidRPr="00B26563">
              <w:rPr>
                <w:rFonts w:cs="Arial"/>
                <w:bCs/>
              </w:rPr>
              <w:t>(18.0)</w:t>
            </w:r>
          </w:p>
        </w:tc>
        <w:tc>
          <w:tcPr>
            <w:tcW w:w="1134" w:type="dxa"/>
            <w:tcBorders>
              <w:top w:val="single" w:sz="4" w:space="0" w:color="000000"/>
              <w:left w:val="single" w:sz="4" w:space="0" w:color="000000"/>
              <w:bottom w:val="single" w:sz="4" w:space="0" w:color="000000"/>
              <w:right w:val="single" w:sz="4" w:space="0" w:color="000000"/>
            </w:tcBorders>
          </w:tcPr>
          <w:p w14:paraId="7EE71517" w14:textId="77777777" w:rsidR="00113D31" w:rsidRPr="002A1D42" w:rsidRDefault="00113D31" w:rsidP="0060790C">
            <w:pPr>
              <w:jc w:val="center"/>
              <w:rPr>
                <w:rFonts w:cs="Arial"/>
                <w:bCs/>
              </w:rPr>
            </w:pPr>
            <w:r>
              <w:rPr>
                <w:rFonts w:cs="Arial"/>
                <w:bCs/>
              </w:rPr>
              <w:t>(18.0)</w:t>
            </w:r>
          </w:p>
        </w:tc>
        <w:tc>
          <w:tcPr>
            <w:tcW w:w="1276" w:type="dxa"/>
            <w:tcBorders>
              <w:top w:val="single" w:sz="4" w:space="0" w:color="000000"/>
              <w:left w:val="single" w:sz="4" w:space="0" w:color="000000"/>
              <w:bottom w:val="single" w:sz="4" w:space="0" w:color="000000"/>
              <w:right w:val="single" w:sz="4" w:space="0" w:color="000000"/>
            </w:tcBorders>
          </w:tcPr>
          <w:p w14:paraId="02210C7A" w14:textId="77777777" w:rsidR="00113D31" w:rsidRPr="002A1D42" w:rsidRDefault="00113D31" w:rsidP="0060790C">
            <w:pPr>
              <w:jc w:val="center"/>
              <w:rPr>
                <w:rFonts w:cs="Arial"/>
                <w:bCs/>
              </w:rPr>
            </w:pPr>
            <w:r>
              <w:rPr>
                <w:rFonts w:cs="Arial"/>
                <w:bCs/>
              </w:rPr>
              <w:t>(18.0)</w:t>
            </w:r>
          </w:p>
        </w:tc>
        <w:tc>
          <w:tcPr>
            <w:tcW w:w="996" w:type="dxa"/>
            <w:tcBorders>
              <w:top w:val="single" w:sz="4" w:space="0" w:color="000000"/>
              <w:left w:val="single" w:sz="4" w:space="0" w:color="000000"/>
              <w:bottom w:val="single" w:sz="4" w:space="0" w:color="000000"/>
              <w:right w:val="single" w:sz="4" w:space="0" w:color="000000"/>
            </w:tcBorders>
          </w:tcPr>
          <w:p w14:paraId="48E854F3" w14:textId="77777777" w:rsidR="00113D31" w:rsidRPr="002A1D42" w:rsidRDefault="00113D31" w:rsidP="0060790C">
            <w:pPr>
              <w:jc w:val="center"/>
              <w:rPr>
                <w:rFonts w:cs="Arial"/>
                <w:bCs/>
              </w:rPr>
            </w:pPr>
            <w:r>
              <w:rPr>
                <w:rFonts w:cs="Arial"/>
                <w:bCs/>
              </w:rPr>
              <w:t>(54.0)</w:t>
            </w:r>
          </w:p>
        </w:tc>
      </w:tr>
      <w:tr w:rsidR="00113D31" w14:paraId="4865E657" w14:textId="77777777" w:rsidTr="0060790C">
        <w:trPr>
          <w:trHeight w:val="270"/>
          <w:jc w:val="center"/>
        </w:trPr>
        <w:tc>
          <w:tcPr>
            <w:tcW w:w="3539" w:type="dxa"/>
            <w:tcBorders>
              <w:top w:val="single" w:sz="4" w:space="0" w:color="000000"/>
              <w:left w:val="single" w:sz="4" w:space="0" w:color="000000"/>
              <w:bottom w:val="single" w:sz="4" w:space="0" w:color="000000"/>
              <w:right w:val="single" w:sz="4" w:space="0" w:color="000000"/>
            </w:tcBorders>
          </w:tcPr>
          <w:p w14:paraId="3BD37734" w14:textId="77777777" w:rsidR="00113D31" w:rsidRPr="00B26563" w:rsidRDefault="00113D31" w:rsidP="0060790C">
            <w:pPr>
              <w:rPr>
                <w:rFonts w:cs="Arial"/>
                <w:bCs/>
              </w:rPr>
            </w:pPr>
            <w:r w:rsidRPr="00B26563">
              <w:rPr>
                <w:rFonts w:cs="Arial"/>
                <w:bCs/>
              </w:rPr>
              <w:t>Specific recurring efficiency and redesign savings- Primary care prescribing</w:t>
            </w:r>
          </w:p>
        </w:tc>
        <w:tc>
          <w:tcPr>
            <w:tcW w:w="1276" w:type="dxa"/>
            <w:tcBorders>
              <w:top w:val="single" w:sz="4" w:space="0" w:color="000000"/>
              <w:left w:val="single" w:sz="4" w:space="0" w:color="000000"/>
              <w:bottom w:val="single" w:sz="4" w:space="0" w:color="000000"/>
              <w:right w:val="single" w:sz="4" w:space="0" w:color="000000"/>
            </w:tcBorders>
          </w:tcPr>
          <w:p w14:paraId="3A90E32D" w14:textId="77777777" w:rsidR="00113D31" w:rsidRPr="00B26563" w:rsidRDefault="00113D31" w:rsidP="0060790C">
            <w:pPr>
              <w:jc w:val="center"/>
              <w:rPr>
                <w:rFonts w:cs="Arial"/>
                <w:bCs/>
              </w:rPr>
            </w:pPr>
            <w:r w:rsidRPr="00B26563">
              <w:rPr>
                <w:rFonts w:cs="Arial"/>
                <w:bCs/>
              </w:rPr>
              <w:t>(4.0)</w:t>
            </w:r>
          </w:p>
        </w:tc>
        <w:tc>
          <w:tcPr>
            <w:tcW w:w="1134" w:type="dxa"/>
            <w:tcBorders>
              <w:top w:val="single" w:sz="4" w:space="0" w:color="000000"/>
              <w:left w:val="single" w:sz="4" w:space="0" w:color="000000"/>
              <w:bottom w:val="single" w:sz="4" w:space="0" w:color="000000"/>
              <w:right w:val="single" w:sz="4" w:space="0" w:color="000000"/>
            </w:tcBorders>
          </w:tcPr>
          <w:p w14:paraId="636814A8" w14:textId="77777777" w:rsidR="00113D31" w:rsidRPr="002A1D42" w:rsidRDefault="00113D31" w:rsidP="0060790C">
            <w:pPr>
              <w:jc w:val="center"/>
              <w:rPr>
                <w:rFonts w:cs="Arial"/>
                <w:b/>
                <w:bCs/>
              </w:rPr>
            </w:pPr>
            <w:r>
              <w:rPr>
                <w:rFonts w:cs="Arial"/>
                <w:b/>
                <w:bCs/>
              </w:rPr>
              <w:t>(4.0)</w:t>
            </w:r>
          </w:p>
        </w:tc>
        <w:tc>
          <w:tcPr>
            <w:tcW w:w="1276" w:type="dxa"/>
            <w:tcBorders>
              <w:top w:val="single" w:sz="4" w:space="0" w:color="000000"/>
              <w:left w:val="single" w:sz="4" w:space="0" w:color="000000"/>
              <w:bottom w:val="single" w:sz="4" w:space="0" w:color="000000"/>
              <w:right w:val="single" w:sz="4" w:space="0" w:color="000000"/>
            </w:tcBorders>
          </w:tcPr>
          <w:p w14:paraId="2AED4CAC" w14:textId="77777777" w:rsidR="00113D31" w:rsidRPr="002A1D42" w:rsidRDefault="00113D31" w:rsidP="0060790C">
            <w:pPr>
              <w:jc w:val="center"/>
              <w:rPr>
                <w:rFonts w:cs="Arial"/>
                <w:b/>
                <w:bCs/>
              </w:rPr>
            </w:pPr>
            <w:r>
              <w:rPr>
                <w:rFonts w:cs="Arial"/>
                <w:b/>
                <w:bCs/>
              </w:rPr>
              <w:t>(4.0)</w:t>
            </w:r>
          </w:p>
        </w:tc>
        <w:tc>
          <w:tcPr>
            <w:tcW w:w="996" w:type="dxa"/>
            <w:tcBorders>
              <w:top w:val="single" w:sz="4" w:space="0" w:color="000000"/>
              <w:left w:val="single" w:sz="4" w:space="0" w:color="000000"/>
              <w:bottom w:val="single" w:sz="4" w:space="0" w:color="000000"/>
              <w:right w:val="single" w:sz="4" w:space="0" w:color="000000"/>
            </w:tcBorders>
          </w:tcPr>
          <w:p w14:paraId="6CA31B94" w14:textId="77777777" w:rsidR="00113D31" w:rsidRPr="002A1D42" w:rsidRDefault="00113D31" w:rsidP="0060790C">
            <w:pPr>
              <w:jc w:val="center"/>
              <w:rPr>
                <w:rFonts w:cs="Arial"/>
                <w:b/>
                <w:bCs/>
              </w:rPr>
            </w:pPr>
            <w:r>
              <w:rPr>
                <w:rFonts w:cs="Arial"/>
                <w:b/>
                <w:bCs/>
              </w:rPr>
              <w:t>(12.0)</w:t>
            </w:r>
          </w:p>
        </w:tc>
      </w:tr>
      <w:tr w:rsidR="00113D31" w14:paraId="2C5C3A9E" w14:textId="77777777" w:rsidTr="0060790C">
        <w:trPr>
          <w:trHeight w:val="270"/>
          <w:jc w:val="center"/>
        </w:trPr>
        <w:tc>
          <w:tcPr>
            <w:tcW w:w="3539" w:type="dxa"/>
            <w:tcBorders>
              <w:top w:val="single" w:sz="4" w:space="0" w:color="000000"/>
              <w:left w:val="single" w:sz="4" w:space="0" w:color="000000"/>
              <w:bottom w:val="single" w:sz="4" w:space="0" w:color="000000"/>
              <w:right w:val="single" w:sz="4" w:space="0" w:color="000000"/>
            </w:tcBorders>
          </w:tcPr>
          <w:p w14:paraId="08426EE7" w14:textId="77777777" w:rsidR="00113D31" w:rsidRPr="00B26563" w:rsidRDefault="00113D31" w:rsidP="0060790C">
            <w:pPr>
              <w:rPr>
                <w:rFonts w:cs="Arial"/>
                <w:bCs/>
              </w:rPr>
            </w:pPr>
            <w:r w:rsidRPr="00B26563">
              <w:rPr>
                <w:rFonts w:cs="Arial"/>
                <w:bCs/>
              </w:rPr>
              <w:t>Strategic recurring efficiency and redesign savings</w:t>
            </w:r>
          </w:p>
        </w:tc>
        <w:tc>
          <w:tcPr>
            <w:tcW w:w="1276" w:type="dxa"/>
            <w:tcBorders>
              <w:top w:val="single" w:sz="4" w:space="0" w:color="000000"/>
              <w:left w:val="single" w:sz="4" w:space="0" w:color="000000"/>
              <w:bottom w:val="single" w:sz="4" w:space="0" w:color="000000"/>
              <w:right w:val="single" w:sz="4" w:space="0" w:color="000000"/>
            </w:tcBorders>
          </w:tcPr>
          <w:p w14:paraId="77A5387B" w14:textId="77777777" w:rsidR="00113D31" w:rsidRPr="00B26563" w:rsidRDefault="00113D31" w:rsidP="0060790C">
            <w:pPr>
              <w:jc w:val="center"/>
              <w:rPr>
                <w:rFonts w:cs="Arial"/>
                <w:bCs/>
              </w:rPr>
            </w:pPr>
            <w:r w:rsidRPr="00B26563">
              <w:rPr>
                <w:rFonts w:cs="Arial"/>
                <w:bCs/>
              </w:rPr>
              <w:t>(4.0)</w:t>
            </w:r>
          </w:p>
        </w:tc>
        <w:tc>
          <w:tcPr>
            <w:tcW w:w="1134" w:type="dxa"/>
            <w:tcBorders>
              <w:top w:val="single" w:sz="4" w:space="0" w:color="000000"/>
              <w:left w:val="single" w:sz="4" w:space="0" w:color="000000"/>
              <w:bottom w:val="single" w:sz="4" w:space="0" w:color="000000"/>
              <w:right w:val="single" w:sz="4" w:space="0" w:color="000000"/>
            </w:tcBorders>
          </w:tcPr>
          <w:p w14:paraId="1874B91A" w14:textId="77777777" w:rsidR="00113D31" w:rsidRPr="002A1D42" w:rsidRDefault="00113D31" w:rsidP="0060790C">
            <w:pPr>
              <w:jc w:val="center"/>
              <w:rPr>
                <w:rFonts w:cs="Arial"/>
                <w:b/>
                <w:bCs/>
              </w:rPr>
            </w:pPr>
            <w:r>
              <w:rPr>
                <w:rFonts w:cs="Arial"/>
                <w:b/>
                <w:bCs/>
              </w:rPr>
              <w:t>(4.0)</w:t>
            </w:r>
          </w:p>
        </w:tc>
        <w:tc>
          <w:tcPr>
            <w:tcW w:w="1276" w:type="dxa"/>
            <w:tcBorders>
              <w:top w:val="single" w:sz="4" w:space="0" w:color="000000"/>
              <w:left w:val="single" w:sz="4" w:space="0" w:color="000000"/>
              <w:bottom w:val="single" w:sz="4" w:space="0" w:color="000000"/>
              <w:right w:val="single" w:sz="4" w:space="0" w:color="000000"/>
            </w:tcBorders>
          </w:tcPr>
          <w:p w14:paraId="50EDDC02" w14:textId="77777777" w:rsidR="00113D31" w:rsidRPr="002A1D42" w:rsidRDefault="00113D31" w:rsidP="0060790C">
            <w:pPr>
              <w:jc w:val="center"/>
              <w:rPr>
                <w:rFonts w:cs="Arial"/>
                <w:b/>
                <w:bCs/>
              </w:rPr>
            </w:pPr>
            <w:r>
              <w:rPr>
                <w:rFonts w:cs="Arial"/>
                <w:b/>
                <w:bCs/>
              </w:rPr>
              <w:t>0</w:t>
            </w:r>
          </w:p>
        </w:tc>
        <w:tc>
          <w:tcPr>
            <w:tcW w:w="996" w:type="dxa"/>
            <w:tcBorders>
              <w:top w:val="single" w:sz="4" w:space="0" w:color="000000"/>
              <w:left w:val="single" w:sz="4" w:space="0" w:color="000000"/>
              <w:bottom w:val="single" w:sz="4" w:space="0" w:color="000000"/>
              <w:right w:val="single" w:sz="4" w:space="0" w:color="000000"/>
            </w:tcBorders>
          </w:tcPr>
          <w:p w14:paraId="501E1018" w14:textId="77777777" w:rsidR="00113D31" w:rsidRPr="002A1D42" w:rsidRDefault="00113D31" w:rsidP="0060790C">
            <w:pPr>
              <w:jc w:val="center"/>
              <w:rPr>
                <w:rFonts w:cs="Arial"/>
                <w:b/>
                <w:bCs/>
              </w:rPr>
            </w:pPr>
            <w:r>
              <w:rPr>
                <w:rFonts w:cs="Arial"/>
                <w:b/>
                <w:bCs/>
              </w:rPr>
              <w:t>(8.0)</w:t>
            </w:r>
          </w:p>
        </w:tc>
      </w:tr>
      <w:tr w:rsidR="00113D31" w14:paraId="08A007B6" w14:textId="77777777" w:rsidTr="0060790C">
        <w:trPr>
          <w:trHeight w:val="270"/>
          <w:jc w:val="center"/>
        </w:trPr>
        <w:tc>
          <w:tcPr>
            <w:tcW w:w="3539" w:type="dxa"/>
            <w:tcBorders>
              <w:top w:val="single" w:sz="4" w:space="0" w:color="000000"/>
              <w:left w:val="single" w:sz="4" w:space="0" w:color="000000"/>
              <w:bottom w:val="single" w:sz="4" w:space="0" w:color="000000"/>
              <w:right w:val="single" w:sz="4" w:space="0" w:color="000000"/>
            </w:tcBorders>
          </w:tcPr>
          <w:p w14:paraId="69418754" w14:textId="77777777" w:rsidR="00113D31" w:rsidRPr="00B26563" w:rsidRDefault="00113D31" w:rsidP="0060790C">
            <w:pPr>
              <w:rPr>
                <w:rFonts w:cs="Arial"/>
                <w:bCs/>
              </w:rPr>
            </w:pPr>
            <w:r>
              <w:rPr>
                <w:rFonts w:cs="Arial"/>
                <w:bCs/>
              </w:rPr>
              <w:t xml:space="preserve">Recurrent cost release resulting from transformation investment </w:t>
            </w:r>
          </w:p>
        </w:tc>
        <w:tc>
          <w:tcPr>
            <w:tcW w:w="1276" w:type="dxa"/>
            <w:tcBorders>
              <w:top w:val="single" w:sz="4" w:space="0" w:color="000000"/>
              <w:left w:val="single" w:sz="4" w:space="0" w:color="000000"/>
              <w:bottom w:val="single" w:sz="4" w:space="0" w:color="000000"/>
              <w:right w:val="single" w:sz="4" w:space="0" w:color="000000"/>
            </w:tcBorders>
          </w:tcPr>
          <w:p w14:paraId="11F189BE" w14:textId="77777777" w:rsidR="00113D31" w:rsidRPr="00B26563" w:rsidRDefault="00113D31" w:rsidP="0060790C">
            <w:pPr>
              <w:jc w:val="center"/>
              <w:rPr>
                <w:rFonts w:cs="Arial"/>
                <w:bCs/>
              </w:rPr>
            </w:pPr>
            <w:r>
              <w:rPr>
                <w:rFonts w:cs="Arial"/>
                <w:bCs/>
              </w:rPr>
              <w:t>0</w:t>
            </w:r>
          </w:p>
        </w:tc>
        <w:tc>
          <w:tcPr>
            <w:tcW w:w="1134" w:type="dxa"/>
            <w:tcBorders>
              <w:top w:val="single" w:sz="4" w:space="0" w:color="000000"/>
              <w:left w:val="single" w:sz="4" w:space="0" w:color="000000"/>
              <w:bottom w:val="single" w:sz="4" w:space="0" w:color="000000"/>
              <w:right w:val="single" w:sz="4" w:space="0" w:color="000000"/>
            </w:tcBorders>
          </w:tcPr>
          <w:p w14:paraId="7A3E0AE6" w14:textId="77777777" w:rsidR="00113D31" w:rsidRDefault="00113D31" w:rsidP="0060790C">
            <w:pPr>
              <w:jc w:val="center"/>
              <w:rPr>
                <w:rFonts w:cs="Arial"/>
                <w:b/>
                <w:bCs/>
              </w:rPr>
            </w:pPr>
            <w:r>
              <w:rPr>
                <w:rFonts w:cs="Arial"/>
                <w:b/>
                <w:bCs/>
              </w:rPr>
              <w:t>(6.2)</w:t>
            </w:r>
          </w:p>
        </w:tc>
        <w:tc>
          <w:tcPr>
            <w:tcW w:w="1276" w:type="dxa"/>
            <w:tcBorders>
              <w:top w:val="single" w:sz="4" w:space="0" w:color="000000"/>
              <w:left w:val="single" w:sz="4" w:space="0" w:color="000000"/>
              <w:bottom w:val="single" w:sz="4" w:space="0" w:color="000000"/>
              <w:right w:val="single" w:sz="4" w:space="0" w:color="000000"/>
            </w:tcBorders>
          </w:tcPr>
          <w:p w14:paraId="39350155" w14:textId="77777777" w:rsidR="00113D31" w:rsidRDefault="00113D31" w:rsidP="0060790C">
            <w:pPr>
              <w:jc w:val="center"/>
              <w:rPr>
                <w:rFonts w:cs="Arial"/>
                <w:b/>
                <w:bCs/>
              </w:rPr>
            </w:pPr>
            <w:r>
              <w:rPr>
                <w:rFonts w:cs="Arial"/>
                <w:b/>
                <w:bCs/>
              </w:rPr>
              <w:t>0</w:t>
            </w:r>
          </w:p>
        </w:tc>
        <w:tc>
          <w:tcPr>
            <w:tcW w:w="996" w:type="dxa"/>
            <w:tcBorders>
              <w:top w:val="single" w:sz="4" w:space="0" w:color="000000"/>
              <w:left w:val="single" w:sz="4" w:space="0" w:color="000000"/>
              <w:bottom w:val="single" w:sz="4" w:space="0" w:color="000000"/>
              <w:right w:val="single" w:sz="4" w:space="0" w:color="000000"/>
            </w:tcBorders>
          </w:tcPr>
          <w:p w14:paraId="4180E362" w14:textId="77777777" w:rsidR="00113D31" w:rsidRDefault="00113D31" w:rsidP="0060790C">
            <w:pPr>
              <w:jc w:val="center"/>
              <w:rPr>
                <w:rFonts w:cs="Arial"/>
                <w:b/>
                <w:bCs/>
              </w:rPr>
            </w:pPr>
            <w:r>
              <w:rPr>
                <w:rFonts w:cs="Arial"/>
                <w:b/>
                <w:bCs/>
              </w:rPr>
              <w:t>(6.2)</w:t>
            </w:r>
          </w:p>
        </w:tc>
      </w:tr>
      <w:tr w:rsidR="00113D31" w14:paraId="73F952BE" w14:textId="77777777" w:rsidTr="0060790C">
        <w:trPr>
          <w:trHeight w:val="270"/>
          <w:jc w:val="center"/>
        </w:trPr>
        <w:tc>
          <w:tcPr>
            <w:tcW w:w="3539" w:type="dxa"/>
            <w:tcBorders>
              <w:top w:val="single" w:sz="4" w:space="0" w:color="000000"/>
              <w:left w:val="single" w:sz="4" w:space="0" w:color="000000"/>
              <w:bottom w:val="single" w:sz="4" w:space="0" w:color="000000"/>
              <w:right w:val="single" w:sz="4" w:space="0" w:color="000000"/>
            </w:tcBorders>
            <w:hideMark/>
          </w:tcPr>
          <w:p w14:paraId="7E54942D" w14:textId="77777777" w:rsidR="00113D31" w:rsidRPr="002A1D42" w:rsidRDefault="00113D31" w:rsidP="0060790C">
            <w:pPr>
              <w:rPr>
                <w:rFonts w:cs="Arial"/>
                <w:b/>
                <w:bCs/>
              </w:rPr>
            </w:pPr>
            <w:r w:rsidRPr="002A1D42">
              <w:rPr>
                <w:rFonts w:cs="Arial"/>
                <w:b/>
                <w:bCs/>
              </w:rPr>
              <w:t xml:space="preserve">Total </w:t>
            </w:r>
          </w:p>
        </w:tc>
        <w:tc>
          <w:tcPr>
            <w:tcW w:w="1276" w:type="dxa"/>
            <w:tcBorders>
              <w:top w:val="single" w:sz="4" w:space="0" w:color="000000"/>
              <w:left w:val="single" w:sz="4" w:space="0" w:color="000000"/>
              <w:bottom w:val="single" w:sz="4" w:space="0" w:color="000000"/>
              <w:right w:val="single" w:sz="4" w:space="0" w:color="000000"/>
            </w:tcBorders>
            <w:hideMark/>
          </w:tcPr>
          <w:p w14:paraId="0DC571FF" w14:textId="77777777" w:rsidR="00113D31" w:rsidRPr="002A1D42" w:rsidRDefault="00113D31" w:rsidP="0060790C">
            <w:pPr>
              <w:jc w:val="center"/>
              <w:rPr>
                <w:rFonts w:cs="Arial"/>
                <w:b/>
                <w:bCs/>
              </w:rPr>
            </w:pPr>
            <w:r w:rsidRPr="002A1D42">
              <w:rPr>
                <w:rFonts w:cs="Arial"/>
                <w:b/>
                <w:bCs/>
              </w:rPr>
              <w:t>(</w:t>
            </w:r>
            <w:r>
              <w:rPr>
                <w:rFonts w:cs="Arial"/>
                <w:b/>
                <w:bCs/>
              </w:rPr>
              <w:t>26.0)</w:t>
            </w:r>
          </w:p>
        </w:tc>
        <w:tc>
          <w:tcPr>
            <w:tcW w:w="1134" w:type="dxa"/>
            <w:tcBorders>
              <w:top w:val="single" w:sz="4" w:space="0" w:color="000000"/>
              <w:left w:val="single" w:sz="4" w:space="0" w:color="000000"/>
              <w:bottom w:val="single" w:sz="4" w:space="0" w:color="000000"/>
              <w:right w:val="single" w:sz="4" w:space="0" w:color="000000"/>
            </w:tcBorders>
          </w:tcPr>
          <w:p w14:paraId="6AB2E9A0" w14:textId="77777777" w:rsidR="00113D31" w:rsidRPr="002A1D42" w:rsidRDefault="00113D31" w:rsidP="0060790C">
            <w:pPr>
              <w:jc w:val="center"/>
              <w:rPr>
                <w:rFonts w:cs="Arial"/>
                <w:b/>
                <w:bCs/>
              </w:rPr>
            </w:pPr>
            <w:r>
              <w:rPr>
                <w:rFonts w:cs="Arial"/>
                <w:b/>
                <w:bCs/>
              </w:rPr>
              <w:t>(32.2)</w:t>
            </w:r>
          </w:p>
        </w:tc>
        <w:tc>
          <w:tcPr>
            <w:tcW w:w="1276" w:type="dxa"/>
            <w:tcBorders>
              <w:top w:val="single" w:sz="4" w:space="0" w:color="000000"/>
              <w:left w:val="single" w:sz="4" w:space="0" w:color="000000"/>
              <w:bottom w:val="single" w:sz="4" w:space="0" w:color="000000"/>
              <w:right w:val="single" w:sz="4" w:space="0" w:color="000000"/>
            </w:tcBorders>
          </w:tcPr>
          <w:p w14:paraId="6CB97C7C" w14:textId="77777777" w:rsidR="00113D31" w:rsidRPr="002A1D42" w:rsidRDefault="00113D31" w:rsidP="0060790C">
            <w:pPr>
              <w:jc w:val="center"/>
              <w:rPr>
                <w:rFonts w:cs="Arial"/>
                <w:b/>
                <w:bCs/>
              </w:rPr>
            </w:pPr>
            <w:r>
              <w:rPr>
                <w:rFonts w:cs="Arial"/>
                <w:b/>
                <w:bCs/>
              </w:rPr>
              <w:t>(22.0)</w:t>
            </w:r>
          </w:p>
        </w:tc>
        <w:tc>
          <w:tcPr>
            <w:tcW w:w="996" w:type="dxa"/>
            <w:tcBorders>
              <w:top w:val="single" w:sz="4" w:space="0" w:color="000000"/>
              <w:left w:val="single" w:sz="4" w:space="0" w:color="000000"/>
              <w:bottom w:val="single" w:sz="4" w:space="0" w:color="000000"/>
              <w:right w:val="single" w:sz="4" w:space="0" w:color="000000"/>
            </w:tcBorders>
          </w:tcPr>
          <w:p w14:paraId="22E98753" w14:textId="77777777" w:rsidR="00113D31" w:rsidRPr="002A1D42" w:rsidRDefault="00113D31" w:rsidP="0060790C">
            <w:pPr>
              <w:jc w:val="center"/>
              <w:rPr>
                <w:rFonts w:cs="Arial"/>
                <w:b/>
                <w:bCs/>
              </w:rPr>
            </w:pPr>
            <w:r>
              <w:rPr>
                <w:rFonts w:cs="Arial"/>
                <w:b/>
                <w:bCs/>
              </w:rPr>
              <w:t>(80.2)</w:t>
            </w:r>
          </w:p>
        </w:tc>
      </w:tr>
    </w:tbl>
    <w:p w14:paraId="3EE829D3" w14:textId="77777777" w:rsidR="00113D31" w:rsidRDefault="00113D31" w:rsidP="00113D31"/>
    <w:p w14:paraId="6B996595" w14:textId="77777777" w:rsidR="00113D31" w:rsidRPr="002D1CBC" w:rsidRDefault="00113D31" w:rsidP="00113D31">
      <w:pPr>
        <w:rPr>
          <w:i/>
        </w:rPr>
      </w:pPr>
      <w:r w:rsidRPr="007E2D76">
        <w:t>The total recurring savings over the three year period is £</w:t>
      </w:r>
      <w:r>
        <w:t>80.2</w:t>
      </w:r>
      <w:r w:rsidRPr="007E2D76">
        <w:t>m which is around 8.</w:t>
      </w:r>
      <w:r>
        <w:t>9</w:t>
      </w:r>
      <w:r w:rsidRPr="007E2D76">
        <w:t>% of the Health Board’s controllable expenditure (excluding capital charges and primary care contracts) of circa £900m.</w:t>
      </w:r>
      <w:r>
        <w:t xml:space="preserve">  </w:t>
      </w:r>
    </w:p>
    <w:p w14:paraId="76DAEE7A" w14:textId="77777777" w:rsidR="00113D31" w:rsidRPr="00986EAA" w:rsidRDefault="00113D31" w:rsidP="003B1653">
      <w:pPr>
        <w:pStyle w:val="Heading3"/>
      </w:pPr>
      <w:r>
        <w:t xml:space="preserve">Savings </w:t>
      </w:r>
      <w:r w:rsidRPr="003B1653">
        <w:t xml:space="preserve">Plans </w:t>
      </w:r>
      <w:r w:rsidRPr="00986EAA">
        <w:t>for 20</w:t>
      </w:r>
      <w:r>
        <w:t>20/21</w:t>
      </w:r>
    </w:p>
    <w:p w14:paraId="47FBA725" w14:textId="77777777" w:rsidR="00113D31" w:rsidRPr="003B1653" w:rsidRDefault="00113D31" w:rsidP="00113D31">
      <w:pPr>
        <w:rPr>
          <w:rFonts w:cs="Arial"/>
          <w:color w:val="943634" w:themeColor="accent2" w:themeShade="BF"/>
        </w:rPr>
      </w:pPr>
      <w:r w:rsidRPr="003B1653">
        <w:rPr>
          <w:rFonts w:cs="Arial"/>
          <w:color w:val="943634" w:themeColor="accent2" w:themeShade="BF"/>
        </w:rPr>
        <w:t>To Follow</w:t>
      </w:r>
    </w:p>
    <w:p w14:paraId="1C4814C7" w14:textId="77777777" w:rsidR="00113D31" w:rsidRPr="00986EAA" w:rsidRDefault="00113D31" w:rsidP="003B1653">
      <w:pPr>
        <w:pStyle w:val="Heading3"/>
      </w:pPr>
      <w:r w:rsidRPr="003B1653">
        <w:t>Savings</w:t>
      </w:r>
      <w:r>
        <w:t xml:space="preserve"> P</w:t>
      </w:r>
      <w:r w:rsidRPr="00986EAA">
        <w:t xml:space="preserve">lans for Years </w:t>
      </w:r>
      <w:r>
        <w:t>2 and 3</w:t>
      </w:r>
    </w:p>
    <w:p w14:paraId="1451E412" w14:textId="77777777" w:rsidR="00113D31" w:rsidRPr="003B1653" w:rsidRDefault="00113D31" w:rsidP="00113D31">
      <w:pPr>
        <w:rPr>
          <w:rFonts w:cs="Arial"/>
          <w:color w:val="943634" w:themeColor="accent2" w:themeShade="BF"/>
        </w:rPr>
      </w:pPr>
      <w:r w:rsidRPr="003B1653">
        <w:rPr>
          <w:rFonts w:cs="Arial"/>
          <w:color w:val="943634" w:themeColor="accent2" w:themeShade="BF"/>
        </w:rPr>
        <w:t>To Follow</w:t>
      </w:r>
    </w:p>
    <w:p w14:paraId="24A74ED9" w14:textId="77777777" w:rsidR="00113D31" w:rsidRDefault="00113D31" w:rsidP="00113D31">
      <w:pPr>
        <w:pStyle w:val="Heading3"/>
      </w:pPr>
      <w:r>
        <w:t xml:space="preserve">Cost release resulting from investment in out of hospital transformation </w:t>
      </w:r>
    </w:p>
    <w:p w14:paraId="4188992C" w14:textId="77777777" w:rsidR="00113D31" w:rsidRDefault="00113D31" w:rsidP="00113D31">
      <w:pPr>
        <w:rPr>
          <w:rFonts w:cs="Arial"/>
          <w:b/>
        </w:rPr>
      </w:pPr>
      <w:r>
        <w:rPr>
          <w:rFonts w:cs="Arial"/>
          <w:b/>
        </w:rPr>
        <w:tab/>
      </w:r>
    </w:p>
    <w:p w14:paraId="30690B9F" w14:textId="77777777" w:rsidR="00113D31" w:rsidRDefault="00113D31" w:rsidP="00113D31">
      <w:pPr>
        <w:rPr>
          <w:rFonts w:cs="Arial"/>
          <w:b/>
        </w:rPr>
      </w:pPr>
      <w:r>
        <w:rPr>
          <w:rFonts w:cs="Arial"/>
        </w:rPr>
        <w:t>Cost reductions of £6.2m are included in the plan.</w:t>
      </w:r>
      <w:r w:rsidRPr="00667A89">
        <w:rPr>
          <w:rFonts w:cs="Arial"/>
          <w:b/>
        </w:rPr>
        <w:t xml:space="preserve"> </w:t>
      </w:r>
      <w:r>
        <w:rPr>
          <w:rFonts w:cs="Arial"/>
        </w:rPr>
        <w:t xml:space="preserve">Of this £4.7m is assumed to be cost avoidance (£1.7m in 2019/20, £1.5m in 2020/21 and £1.5m in 2021/22), and £1.5m from absolute cost reduction in 2021/22 </w:t>
      </w:r>
      <w:r>
        <w:rPr>
          <w:rFonts w:cs="Arial"/>
          <w:b/>
        </w:rPr>
        <w:t>(</w:t>
      </w:r>
      <w:r w:rsidRPr="004A4573">
        <w:rPr>
          <w:rFonts w:cs="Arial"/>
          <w:b/>
        </w:rPr>
        <w:t>see section 7.4.3)</w:t>
      </w:r>
      <w:r>
        <w:rPr>
          <w:rFonts w:cs="Arial"/>
          <w:b/>
        </w:rPr>
        <w:t>.</w:t>
      </w:r>
    </w:p>
    <w:p w14:paraId="48EF960C" w14:textId="77777777" w:rsidR="00113D31" w:rsidRDefault="00113D31" w:rsidP="00113D31">
      <w:pPr>
        <w:rPr>
          <w:rFonts w:cs="Arial"/>
          <w:b/>
        </w:rPr>
      </w:pPr>
    </w:p>
    <w:p w14:paraId="2A5C288C" w14:textId="77777777" w:rsidR="00113D31" w:rsidRPr="003B1653" w:rsidRDefault="00113D31" w:rsidP="00113D31">
      <w:pPr>
        <w:rPr>
          <w:rFonts w:cs="Arial"/>
          <w:color w:val="943634" w:themeColor="accent2" w:themeShade="BF"/>
        </w:rPr>
      </w:pPr>
      <w:r w:rsidRPr="003B1653">
        <w:rPr>
          <w:rFonts w:cs="Arial"/>
          <w:color w:val="943634" w:themeColor="accent2" w:themeShade="BF"/>
        </w:rPr>
        <w:t xml:space="preserve">This element of the plan requires further development </w:t>
      </w:r>
    </w:p>
    <w:p w14:paraId="2C8C42B3" w14:textId="77777777" w:rsidR="00113D31" w:rsidRPr="00986EAA" w:rsidRDefault="00113D31" w:rsidP="00113D31">
      <w:pPr>
        <w:pStyle w:val="Heading2"/>
        <w:ind w:left="1077" w:hanging="1077"/>
      </w:pPr>
      <w:bookmarkStart w:id="202" w:name="_Toc536195584"/>
      <w:bookmarkStart w:id="203" w:name="_Toc536528066"/>
      <w:bookmarkStart w:id="204" w:name="_Toc25262198"/>
      <w:r w:rsidRPr="00986EAA">
        <w:t>Key Risks to the 20</w:t>
      </w:r>
      <w:r>
        <w:t>20</w:t>
      </w:r>
      <w:r w:rsidRPr="00986EAA">
        <w:t>/2</w:t>
      </w:r>
      <w:r>
        <w:t>1</w:t>
      </w:r>
      <w:r w:rsidRPr="00986EAA">
        <w:t xml:space="preserve"> Financial Plan</w:t>
      </w:r>
      <w:bookmarkEnd w:id="202"/>
      <w:bookmarkEnd w:id="203"/>
      <w:bookmarkEnd w:id="204"/>
      <w:r w:rsidRPr="00986EAA">
        <w:t xml:space="preserve">    </w:t>
      </w:r>
    </w:p>
    <w:p w14:paraId="1BE79D94" w14:textId="77777777" w:rsidR="00113D31" w:rsidRDefault="00113D31" w:rsidP="00113D31">
      <w:r w:rsidRPr="006337E4">
        <w:t>The key risks to the 20</w:t>
      </w:r>
      <w:r>
        <w:t>20/21</w:t>
      </w:r>
      <w:r w:rsidRPr="006337E4">
        <w:t xml:space="preserve"> financial plan are summarised in the following table</w:t>
      </w:r>
      <w:r>
        <w:t xml:space="preserve">.  </w:t>
      </w:r>
      <w:r w:rsidRPr="006337E4">
        <w:t>The table show</w:t>
      </w:r>
      <w:r>
        <w:t>s</w:t>
      </w:r>
      <w:r w:rsidRPr="006337E4">
        <w:t xml:space="preserve"> the worst case position (as per the WG financial templates) and also a more realistic probability adjusted risk which applies probability assessments to the worse case position:</w:t>
      </w:r>
      <w:r>
        <w:t xml:space="preserve"> </w:t>
      </w:r>
    </w:p>
    <w:p w14:paraId="1F94F45C" w14:textId="77777777" w:rsidR="00113D31" w:rsidRDefault="00113D31" w:rsidP="00113D31">
      <w:pPr>
        <w:rPr>
          <w:rFonts w:cs="Arial"/>
          <w:highlight w:val="green"/>
        </w:rPr>
      </w:pPr>
    </w:p>
    <w:p w14:paraId="306F2CBD" w14:textId="77777777" w:rsidR="00113D31" w:rsidRPr="003B1653" w:rsidRDefault="00113D31" w:rsidP="00113D31">
      <w:pPr>
        <w:rPr>
          <w:rFonts w:cs="Arial"/>
          <w:color w:val="943634" w:themeColor="accent2" w:themeShade="BF"/>
        </w:rPr>
      </w:pPr>
      <w:r w:rsidRPr="003B1653">
        <w:rPr>
          <w:rFonts w:cs="Arial"/>
          <w:color w:val="943634" w:themeColor="accent2" w:themeShade="BF"/>
        </w:rPr>
        <w:t xml:space="preserve">To be developed </w:t>
      </w:r>
    </w:p>
    <w:p w14:paraId="341414CB" w14:textId="77777777" w:rsidR="00113D31" w:rsidRPr="006337E4" w:rsidRDefault="00113D31" w:rsidP="00113D31"/>
    <w:p w14:paraId="016E8A30" w14:textId="77777777" w:rsidR="00113D31" w:rsidRPr="00986EAA" w:rsidRDefault="00113D31" w:rsidP="003B1653">
      <w:pPr>
        <w:pStyle w:val="Heading3"/>
      </w:pPr>
      <w:r w:rsidRPr="00986EAA">
        <w:lastRenderedPageBreak/>
        <w:t>Financial Risk Management Plans for 20</w:t>
      </w:r>
      <w:r>
        <w:t>20/21</w:t>
      </w:r>
    </w:p>
    <w:p w14:paraId="08B81022" w14:textId="77777777" w:rsidR="00113D31" w:rsidRPr="00986EAA" w:rsidRDefault="00113D31" w:rsidP="003B1653">
      <w:pPr>
        <w:pStyle w:val="NormaBullet"/>
        <w:numPr>
          <w:ilvl w:val="0"/>
          <w:numId w:val="8"/>
        </w:numPr>
      </w:pPr>
      <w:r w:rsidRPr="00986EAA">
        <w:t xml:space="preserve">Further development of </w:t>
      </w:r>
      <w:r>
        <w:t xml:space="preserve">savings plans, and </w:t>
      </w:r>
      <w:r w:rsidRPr="00986EAA">
        <w:t>the capability and capacity to plan and deliver service improvement and change.</w:t>
      </w:r>
    </w:p>
    <w:p w14:paraId="184FA0C7" w14:textId="77777777" w:rsidR="00113D31" w:rsidRPr="00986EAA" w:rsidRDefault="00113D31" w:rsidP="00113D31">
      <w:pPr>
        <w:pStyle w:val="NormaBullet"/>
      </w:pPr>
      <w:r w:rsidRPr="00986EAA">
        <w:t>Further development of demand and capacity planning, reflecting both improved pathways and improved productivity in the delivery of services.</w:t>
      </w:r>
    </w:p>
    <w:p w14:paraId="41D7A8A7" w14:textId="77777777" w:rsidR="00113D31" w:rsidRPr="00986EAA" w:rsidRDefault="00113D31" w:rsidP="00113D31">
      <w:pPr>
        <w:pStyle w:val="NormaBullet"/>
      </w:pPr>
      <w:r w:rsidRPr="00986EAA">
        <w:t xml:space="preserve">Further increasing the rigour of requiring clear expected outcomes to be demonstrated before investment in re-designed services is approved.  </w:t>
      </w:r>
    </w:p>
    <w:p w14:paraId="096DF343" w14:textId="77777777" w:rsidR="00113D31" w:rsidRPr="00986EAA" w:rsidRDefault="00113D31" w:rsidP="00113D31">
      <w:pPr>
        <w:pStyle w:val="Heading2"/>
        <w:ind w:left="1077" w:hanging="1077"/>
      </w:pPr>
      <w:bookmarkStart w:id="205" w:name="_Toc536195585"/>
      <w:bookmarkStart w:id="206" w:name="_Toc536528067"/>
      <w:bookmarkStart w:id="207" w:name="_Toc25262199"/>
      <w:r w:rsidRPr="00986EAA">
        <w:t xml:space="preserve">Key Risks to the Financial Plan in Years </w:t>
      </w:r>
      <w:r>
        <w:t>2 and 3</w:t>
      </w:r>
      <w:bookmarkEnd w:id="205"/>
      <w:bookmarkEnd w:id="206"/>
      <w:bookmarkEnd w:id="207"/>
    </w:p>
    <w:p w14:paraId="5A1A1260" w14:textId="77777777" w:rsidR="00113D31" w:rsidRDefault="00113D31" w:rsidP="00113D31">
      <w:r w:rsidRPr="006337E4">
        <w:t>The key risks for years two and three are similar to those in 2019/20:</w:t>
      </w:r>
    </w:p>
    <w:p w14:paraId="353FE031" w14:textId="77777777" w:rsidR="00113D31" w:rsidRDefault="00113D31" w:rsidP="00113D31"/>
    <w:p w14:paraId="6E88802E" w14:textId="77777777" w:rsidR="00113D31" w:rsidRPr="00986EAA" w:rsidRDefault="00113D31" w:rsidP="003B1653">
      <w:pPr>
        <w:pStyle w:val="NormaBullet"/>
        <w:numPr>
          <w:ilvl w:val="0"/>
          <w:numId w:val="8"/>
        </w:numPr>
      </w:pPr>
      <w:r w:rsidRPr="00986EAA">
        <w:t xml:space="preserve">Welsh Government </w:t>
      </w:r>
      <w:r>
        <w:t>allocation</w:t>
      </w:r>
      <w:r w:rsidRPr="00986EAA">
        <w:t xml:space="preserve"> assumptions</w:t>
      </w:r>
      <w:r>
        <w:t>, particularly regarding further transition support for the Bridgend transfer.</w:t>
      </w:r>
    </w:p>
    <w:p w14:paraId="05AA5063" w14:textId="77777777" w:rsidR="00113D31" w:rsidRDefault="00113D31" w:rsidP="00113D31">
      <w:pPr>
        <w:pStyle w:val="NormaBullet"/>
      </w:pPr>
      <w:r w:rsidRPr="00986EAA">
        <w:t>Delivery of savings</w:t>
      </w:r>
      <w:r>
        <w:t>, and the cost release from transformation</w:t>
      </w:r>
      <w:r w:rsidRPr="00986EAA">
        <w:t xml:space="preserve"> in line with the plan.</w:t>
      </w:r>
    </w:p>
    <w:p w14:paraId="71DA9A30" w14:textId="4CC9035D" w:rsidR="003B1653" w:rsidRDefault="00113D31" w:rsidP="00113D31">
      <w:pPr>
        <w:pStyle w:val="NormaBullet"/>
      </w:pPr>
      <w:r w:rsidRPr="00986EAA">
        <w:t>Managing cost and demand pressures in line with the</w:t>
      </w:r>
      <w:r>
        <w:t xml:space="preserve"> plan.</w:t>
      </w:r>
    </w:p>
    <w:p w14:paraId="5692F647" w14:textId="77777777" w:rsidR="003B1653" w:rsidRDefault="003B1653">
      <w:pPr>
        <w:jc w:val="left"/>
      </w:pPr>
      <w:r>
        <w:br w:type="page"/>
      </w:r>
    </w:p>
    <w:p w14:paraId="1E81C6FC" w14:textId="1BF996EE" w:rsidR="00AA3895" w:rsidRPr="005913B0" w:rsidRDefault="00AA3895" w:rsidP="00D852F5">
      <w:pPr>
        <w:pStyle w:val="Heading1"/>
        <w:rPr>
          <w:color w:val="000000" w:themeColor="text1"/>
          <w:szCs w:val="26"/>
        </w:rPr>
      </w:pPr>
      <w:bookmarkStart w:id="208" w:name="_Toc25262200"/>
      <w:r w:rsidRPr="005913B0">
        <w:rPr>
          <w:color w:val="000000" w:themeColor="text1"/>
          <w:szCs w:val="26"/>
        </w:rPr>
        <w:lastRenderedPageBreak/>
        <w:t>ENABLERS</w:t>
      </w:r>
      <w:bookmarkEnd w:id="168"/>
      <w:bookmarkEnd w:id="169"/>
      <w:bookmarkEnd w:id="170"/>
      <w:bookmarkEnd w:id="171"/>
      <w:bookmarkEnd w:id="172"/>
      <w:bookmarkEnd w:id="173"/>
      <w:bookmarkEnd w:id="174"/>
      <w:bookmarkEnd w:id="175"/>
      <w:bookmarkEnd w:id="208"/>
    </w:p>
    <w:p w14:paraId="1FF633AB" w14:textId="77777777" w:rsidR="006C353B" w:rsidRPr="005913B0" w:rsidRDefault="006C353B" w:rsidP="006C353B">
      <w:pPr>
        <w:pStyle w:val="Heading2"/>
        <w:rPr>
          <w:rFonts w:asciiTheme="minorHAnsi" w:hAnsiTheme="minorHAnsi"/>
          <w:color w:val="000000" w:themeColor="text1"/>
          <w:szCs w:val="22"/>
        </w:rPr>
      </w:pPr>
      <w:bookmarkStart w:id="209" w:name="_Toc503816722"/>
      <w:bookmarkStart w:id="210" w:name="_Toc532299708"/>
      <w:bookmarkStart w:id="211" w:name="_Toc532464114"/>
      <w:bookmarkStart w:id="212" w:name="_Toc536195587"/>
      <w:bookmarkStart w:id="213" w:name="_Toc25262201"/>
      <w:r w:rsidRPr="005913B0">
        <w:rPr>
          <w:color w:val="000000" w:themeColor="text1"/>
          <w:szCs w:val="22"/>
        </w:rPr>
        <w:t>Innovation, Learning and Purposeful Collaboration</w:t>
      </w:r>
      <w:bookmarkEnd w:id="209"/>
      <w:bookmarkEnd w:id="210"/>
      <w:bookmarkEnd w:id="211"/>
      <w:bookmarkEnd w:id="212"/>
      <w:bookmarkEnd w:id="213"/>
    </w:p>
    <w:p w14:paraId="5CC9EDE0" w14:textId="4B85A9E2" w:rsidR="005913B0" w:rsidRDefault="005913B0" w:rsidP="005913B0">
      <w:r>
        <w:t>Within Cwm Taf Morgannwg University Health Board, we want to be recognised as a population well-being organisation that continually makes a positive contribution to improving the lives of our residents. We have developed a set of well-being objectives that are aimed at contributing to long term and sustainable improvements in the health, prosperity, resilience and cohesiveness of communities in Cwm Taf Morgannwg.</w:t>
      </w:r>
    </w:p>
    <w:p w14:paraId="796FA7CF" w14:textId="77777777" w:rsidR="005913B0" w:rsidRDefault="005913B0" w:rsidP="005913B0"/>
    <w:p w14:paraId="49B7826A" w14:textId="77777777" w:rsidR="005913B0" w:rsidRDefault="005913B0" w:rsidP="005913B0">
      <w:r>
        <w:t>Innovation is at the heart of our objectives and we are strengthening our role as a catalyst for transformation and accelerated improvement in health care delivery. We have also built our profile and partnerships with those within and outside of Cwm Taf Morgannwg in order to enhance the local economy and our reputation for innovation.</w:t>
      </w:r>
    </w:p>
    <w:p w14:paraId="74CC9DE8" w14:textId="77777777" w:rsidR="005913B0" w:rsidRDefault="005913B0" w:rsidP="005913B0"/>
    <w:p w14:paraId="201306C2" w14:textId="77777777" w:rsidR="005913B0" w:rsidRDefault="005913B0" w:rsidP="005913B0">
      <w:r w:rsidRPr="006F5274">
        <w:t>This integration of continuous learning, quality improvement and strategic innovation is a key thrust of our development as an organisation over the next few years. The Executive Board has approved an innovation strategy</w:t>
      </w:r>
      <w:r>
        <w:t xml:space="preserve"> ‘Cwm Taf IDEAS’</w:t>
      </w:r>
      <w:r w:rsidRPr="006F5274">
        <w:t xml:space="preserve"> which describes the key pillars of innovation as we see them operating in a context of academic partnerships of which citizens are part. This ‘house of </w:t>
      </w:r>
      <w:r>
        <w:t>linked innovation’</w:t>
      </w:r>
      <w:r w:rsidRPr="006F5274">
        <w:t xml:space="preserve"> also shows the domains of innovation which we will focus on and seek to integrate with a bottom-to-to</w:t>
      </w:r>
      <w:r>
        <w:t>p quality improvement programme ‘Improvement CTM’.</w:t>
      </w:r>
    </w:p>
    <w:p w14:paraId="3A2992C3" w14:textId="77777777" w:rsidR="005913B0" w:rsidRDefault="005913B0" w:rsidP="005913B0"/>
    <w:p w14:paraId="68AE2873" w14:textId="77777777" w:rsidR="005913B0" w:rsidRPr="00855155" w:rsidRDefault="005913B0" w:rsidP="005913B0">
      <w:pPr>
        <w:jc w:val="center"/>
        <w:rPr>
          <w:b/>
        </w:rPr>
      </w:pPr>
      <w:r>
        <w:rPr>
          <w:b/>
        </w:rPr>
        <w:t>House of Linked Innovation</w:t>
      </w:r>
    </w:p>
    <w:p w14:paraId="67F00B5E" w14:textId="7EF10EC1" w:rsidR="005913B0" w:rsidRDefault="005913B0" w:rsidP="005913B0">
      <w:pPr>
        <w:jc w:val="center"/>
      </w:pPr>
      <w:r>
        <w:rPr>
          <w:noProof/>
        </w:rPr>
        <w:drawing>
          <wp:inline distT="0" distB="0" distL="0" distR="0" wp14:anchorId="00CFFAC1" wp14:editId="45D35C4F">
            <wp:extent cx="3228975" cy="2667000"/>
            <wp:effectExtent l="0" t="0" r="9525" b="0"/>
            <wp:docPr id="450" name="Picture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0"/>
                    <a:srcRect l="33888" t="35008" r="30700" b="25997"/>
                    <a:stretch/>
                  </pic:blipFill>
                  <pic:spPr bwMode="auto">
                    <a:xfrm>
                      <a:off x="0" y="0"/>
                      <a:ext cx="3230174" cy="2667990"/>
                    </a:xfrm>
                    <a:prstGeom prst="rect">
                      <a:avLst/>
                    </a:prstGeom>
                    <a:ln>
                      <a:noFill/>
                    </a:ln>
                    <a:extLst>
                      <a:ext uri="{53640926-AAD7-44D8-BBD7-CCE9431645EC}">
                        <a14:shadowObscured xmlns:a14="http://schemas.microsoft.com/office/drawing/2010/main"/>
                      </a:ext>
                    </a:extLst>
                  </pic:spPr>
                </pic:pic>
              </a:graphicData>
            </a:graphic>
          </wp:inline>
        </w:drawing>
      </w:r>
    </w:p>
    <w:p w14:paraId="0C935E59" w14:textId="77777777" w:rsidR="005913B0" w:rsidRPr="00AA4595" w:rsidRDefault="005913B0" w:rsidP="00AA4595">
      <w:pPr>
        <w:rPr>
          <w:szCs w:val="22"/>
        </w:rPr>
      </w:pPr>
    </w:p>
    <w:p w14:paraId="0C97404C" w14:textId="77777777" w:rsidR="005913B0" w:rsidRPr="00AA4595" w:rsidRDefault="005913B0" w:rsidP="00AA4595">
      <w:pPr>
        <w:rPr>
          <w:szCs w:val="22"/>
        </w:rPr>
      </w:pPr>
      <w:r w:rsidRPr="00AA4595">
        <w:rPr>
          <w:szCs w:val="22"/>
        </w:rPr>
        <w:t>Current Innovation activities include:</w:t>
      </w:r>
    </w:p>
    <w:p w14:paraId="51C8E959" w14:textId="58CF8AFF" w:rsidR="005913B0" w:rsidRPr="00AA4595" w:rsidRDefault="005913B0" w:rsidP="003B1653">
      <w:pPr>
        <w:pStyle w:val="ListParagraph"/>
        <w:numPr>
          <w:ilvl w:val="0"/>
          <w:numId w:val="80"/>
        </w:numPr>
        <w:spacing w:after="160"/>
        <w:ind w:left="357" w:hanging="357"/>
        <w:rPr>
          <w:szCs w:val="22"/>
        </w:rPr>
      </w:pPr>
      <w:r w:rsidRPr="00AA4595">
        <w:rPr>
          <w:szCs w:val="22"/>
        </w:rPr>
        <w:t>Ward based e-Whiteboards: Developed internally by CTMUHB ICT dept the e-whiteboards replicate the traditional pen and board approach used in secondary care wards to represent inpatients. A successful application to the Accelerate programme to help develop and refine the concept has been made and is currently underway. The potential commercialisation of this approach is being explored,</w:t>
      </w:r>
    </w:p>
    <w:p w14:paraId="4DCF0571" w14:textId="6228788D" w:rsidR="005913B0" w:rsidRPr="00AA4595" w:rsidRDefault="005913B0" w:rsidP="003B1653">
      <w:pPr>
        <w:pStyle w:val="ListParagraph"/>
        <w:numPr>
          <w:ilvl w:val="0"/>
          <w:numId w:val="80"/>
        </w:numPr>
        <w:spacing w:after="160"/>
        <w:ind w:left="357" w:hanging="357"/>
        <w:rPr>
          <w:szCs w:val="22"/>
        </w:rPr>
      </w:pPr>
      <w:r w:rsidRPr="00AA4595">
        <w:rPr>
          <w:szCs w:val="22"/>
        </w:rPr>
        <w:t>Recycling of Waste material</w:t>
      </w:r>
      <w:r w:rsidR="00AA4595" w:rsidRPr="00AA4595">
        <w:rPr>
          <w:szCs w:val="22"/>
        </w:rPr>
        <w:t xml:space="preserve">: </w:t>
      </w:r>
      <w:r w:rsidRPr="00AA4595">
        <w:rPr>
          <w:szCs w:val="22"/>
        </w:rPr>
        <w:t>Growing interest and awareness of the volume of hospital waste has driven a number of innovative projects to explore ways of reducing the impact of waste.</w:t>
      </w:r>
      <w:r w:rsidR="00AA4595" w:rsidRPr="00AA4595">
        <w:rPr>
          <w:szCs w:val="22"/>
        </w:rPr>
        <w:t xml:space="preserve">  </w:t>
      </w:r>
      <w:r w:rsidRPr="00AA4595">
        <w:rPr>
          <w:szCs w:val="22"/>
        </w:rPr>
        <w:t>Linking into the Sustainable Operating Theatres initiative in partnership with Cardiff &amp; Vale UHB, Life Sciences Hub and the Accelerate programme.</w:t>
      </w:r>
      <w:r w:rsidR="00AA4595" w:rsidRPr="00AA4595">
        <w:rPr>
          <w:szCs w:val="22"/>
        </w:rPr>
        <w:t xml:space="preserve">  </w:t>
      </w:r>
      <w:r w:rsidRPr="00AA4595">
        <w:rPr>
          <w:szCs w:val="22"/>
        </w:rPr>
        <w:t>Working with a joint KeSS studentship between the University of South Wales and an industrial partner, Thermal Compaction Group Ltd to explore the recycling potential of some of the most common non-hazardous types of plastic.</w:t>
      </w:r>
    </w:p>
    <w:p w14:paraId="0942F922" w14:textId="431B6090" w:rsidR="005913B0" w:rsidRPr="00AA4595" w:rsidRDefault="005913B0" w:rsidP="003B1653">
      <w:pPr>
        <w:pStyle w:val="ListParagraph"/>
        <w:numPr>
          <w:ilvl w:val="0"/>
          <w:numId w:val="80"/>
        </w:numPr>
        <w:ind w:left="357" w:hanging="357"/>
        <w:jc w:val="left"/>
        <w:rPr>
          <w:color w:val="000000" w:themeColor="text1"/>
          <w:szCs w:val="22"/>
        </w:rPr>
      </w:pPr>
      <w:r w:rsidRPr="00AA4595">
        <w:rPr>
          <w:szCs w:val="22"/>
        </w:rPr>
        <w:t>WAST Ideas portal</w:t>
      </w:r>
      <w:r w:rsidR="00AA4595" w:rsidRPr="00AA4595">
        <w:rPr>
          <w:szCs w:val="22"/>
        </w:rPr>
        <w:t xml:space="preserve">: </w:t>
      </w:r>
      <w:r w:rsidRPr="00AA4595">
        <w:rPr>
          <w:szCs w:val="22"/>
        </w:rPr>
        <w:t xml:space="preserve">The Welsh Ambulance Services have created the Welsh Innovation Improvement Network (WINN) and we have been exploring with them the potential to adapt many of their ideas. Primarily this includes the WIIN online ideas portal which takes staff through a set process to structure </w:t>
      </w:r>
      <w:r w:rsidRPr="00AA4595">
        <w:rPr>
          <w:szCs w:val="22"/>
        </w:rPr>
        <w:lastRenderedPageBreak/>
        <w:t>their idea and to allow it to be triaged appropriately into either a research, innovation or improvement pathways</w:t>
      </w:r>
      <w:r w:rsidRPr="00AA4595">
        <w:rPr>
          <w:color w:val="000000" w:themeColor="text1"/>
          <w:szCs w:val="22"/>
        </w:rPr>
        <w:t>. We are looking at ways to incorporate this into the current CTMUHB structure.</w:t>
      </w:r>
    </w:p>
    <w:p w14:paraId="730A25A8" w14:textId="77777777" w:rsidR="005D5241" w:rsidRPr="00AA4595" w:rsidRDefault="005D5241" w:rsidP="005D5241">
      <w:pPr>
        <w:autoSpaceDE w:val="0"/>
        <w:autoSpaceDN w:val="0"/>
        <w:adjustRightInd w:val="0"/>
        <w:rPr>
          <w:rFonts w:asciiTheme="minorHAnsi" w:hAnsiTheme="minorHAnsi" w:cs="Verdana"/>
          <w:color w:val="000000" w:themeColor="text1"/>
          <w:szCs w:val="22"/>
        </w:rPr>
      </w:pPr>
    </w:p>
    <w:p w14:paraId="2BAC505A" w14:textId="03012127" w:rsidR="005913B0" w:rsidRPr="00AA4595" w:rsidRDefault="00AA4595" w:rsidP="005D5241">
      <w:pPr>
        <w:autoSpaceDE w:val="0"/>
        <w:autoSpaceDN w:val="0"/>
        <w:adjustRightInd w:val="0"/>
        <w:rPr>
          <w:rFonts w:asciiTheme="minorHAnsi" w:hAnsiTheme="minorHAnsi" w:cs="Verdana"/>
          <w:b/>
          <w:color w:val="000000" w:themeColor="text1"/>
          <w:szCs w:val="22"/>
        </w:rPr>
      </w:pPr>
      <w:r w:rsidRPr="00AA4595">
        <w:rPr>
          <w:rFonts w:asciiTheme="minorHAnsi" w:hAnsiTheme="minorHAnsi" w:cs="Verdana"/>
          <w:b/>
          <w:color w:val="000000" w:themeColor="text1"/>
          <w:szCs w:val="22"/>
        </w:rPr>
        <w:t>NHS Wales Innovation Leads Group</w:t>
      </w:r>
    </w:p>
    <w:p w14:paraId="42881E08" w14:textId="77777777" w:rsidR="00AA4595" w:rsidRPr="00AA4595" w:rsidRDefault="00AA4595" w:rsidP="00AA4595">
      <w:pPr>
        <w:pStyle w:val="PlainText"/>
        <w:rPr>
          <w:rFonts w:asciiTheme="minorHAnsi" w:hAnsiTheme="minorHAnsi" w:cs="Arial"/>
          <w:sz w:val="22"/>
          <w:szCs w:val="22"/>
        </w:rPr>
      </w:pPr>
      <w:r w:rsidRPr="00AA4595">
        <w:rPr>
          <w:rFonts w:asciiTheme="minorHAnsi" w:hAnsiTheme="minorHAnsi" w:cs="Arial"/>
          <w:sz w:val="22"/>
          <w:szCs w:val="22"/>
        </w:rPr>
        <w:t>The NHS Wales Innovation group are the leads for innovation within our respective organisations. We meet regularly with a remit to discuss areas of mutual interest, share knowledge and support the adoption and scale of innovation nationally. The Group has agreed to focus on the following three areas initially:</w:t>
      </w:r>
    </w:p>
    <w:p w14:paraId="1F56DA7D" w14:textId="77777777" w:rsidR="00AA4595" w:rsidRPr="00AA4595" w:rsidRDefault="00AA4595" w:rsidP="003B1653">
      <w:pPr>
        <w:pStyle w:val="PlainText"/>
        <w:numPr>
          <w:ilvl w:val="0"/>
          <w:numId w:val="81"/>
        </w:numPr>
        <w:ind w:left="357" w:hanging="357"/>
        <w:rPr>
          <w:rFonts w:asciiTheme="minorHAnsi" w:hAnsiTheme="minorHAnsi" w:cs="Arial"/>
          <w:sz w:val="22"/>
          <w:szCs w:val="22"/>
        </w:rPr>
      </w:pPr>
      <w:r w:rsidRPr="00AA4595">
        <w:rPr>
          <w:rFonts w:asciiTheme="minorHAnsi" w:hAnsiTheme="minorHAnsi" w:cs="Arial"/>
          <w:sz w:val="22"/>
          <w:szCs w:val="22"/>
        </w:rPr>
        <w:t>Intellectual Property policy and approaches</w:t>
      </w:r>
    </w:p>
    <w:p w14:paraId="6208A47B" w14:textId="77777777" w:rsidR="00AA4595" w:rsidRPr="00AA4595" w:rsidRDefault="00AA4595" w:rsidP="003B1653">
      <w:pPr>
        <w:pStyle w:val="PlainText"/>
        <w:numPr>
          <w:ilvl w:val="0"/>
          <w:numId w:val="81"/>
        </w:numPr>
        <w:ind w:left="357" w:hanging="357"/>
        <w:rPr>
          <w:rFonts w:asciiTheme="minorHAnsi" w:hAnsiTheme="minorHAnsi" w:cs="Arial"/>
          <w:color w:val="000000" w:themeColor="text1"/>
          <w:sz w:val="22"/>
          <w:szCs w:val="22"/>
        </w:rPr>
      </w:pPr>
      <w:r w:rsidRPr="00AA4595">
        <w:rPr>
          <w:rFonts w:asciiTheme="minorHAnsi" w:hAnsiTheme="minorHAnsi" w:cs="Arial"/>
          <w:color w:val="000000" w:themeColor="text1"/>
          <w:sz w:val="22"/>
          <w:szCs w:val="22"/>
        </w:rPr>
        <w:t>Social enterprises/revenue creation vehicles</w:t>
      </w:r>
    </w:p>
    <w:p w14:paraId="009AEFEF" w14:textId="77777777" w:rsidR="00AA4595" w:rsidRPr="00AA4595" w:rsidRDefault="00AA4595" w:rsidP="003B1653">
      <w:pPr>
        <w:pStyle w:val="PlainText"/>
        <w:numPr>
          <w:ilvl w:val="0"/>
          <w:numId w:val="81"/>
        </w:numPr>
        <w:ind w:left="357" w:hanging="357"/>
        <w:rPr>
          <w:rFonts w:asciiTheme="minorHAnsi" w:hAnsiTheme="minorHAnsi" w:cs="Arial"/>
          <w:color w:val="000000" w:themeColor="text1"/>
          <w:sz w:val="22"/>
          <w:szCs w:val="22"/>
        </w:rPr>
      </w:pPr>
      <w:r w:rsidRPr="00AA4595">
        <w:rPr>
          <w:rFonts w:asciiTheme="minorHAnsi" w:hAnsiTheme="minorHAnsi" w:cs="Arial"/>
          <w:color w:val="000000" w:themeColor="text1"/>
          <w:sz w:val="22"/>
          <w:szCs w:val="22"/>
        </w:rPr>
        <w:t>Development of a shared NHS Wales Innovation competency framework and skillset</w:t>
      </w:r>
    </w:p>
    <w:p w14:paraId="159B5463" w14:textId="77777777" w:rsidR="00AA4595" w:rsidRPr="00AA4595" w:rsidRDefault="00AA4595" w:rsidP="005D5241">
      <w:pPr>
        <w:autoSpaceDE w:val="0"/>
        <w:autoSpaceDN w:val="0"/>
        <w:adjustRightInd w:val="0"/>
        <w:rPr>
          <w:rFonts w:asciiTheme="minorHAnsi" w:hAnsiTheme="minorHAnsi" w:cs="Verdana"/>
          <w:color w:val="000000" w:themeColor="text1"/>
          <w:szCs w:val="22"/>
        </w:rPr>
      </w:pPr>
    </w:p>
    <w:p w14:paraId="15D78512" w14:textId="0818C674" w:rsidR="00AA4595" w:rsidRPr="00AA4595" w:rsidRDefault="00AA4595" w:rsidP="005D5241">
      <w:pPr>
        <w:autoSpaceDE w:val="0"/>
        <w:autoSpaceDN w:val="0"/>
        <w:adjustRightInd w:val="0"/>
        <w:rPr>
          <w:rFonts w:asciiTheme="minorHAnsi" w:hAnsiTheme="minorHAnsi" w:cs="Verdana"/>
          <w:b/>
          <w:color w:val="000000" w:themeColor="text1"/>
          <w:szCs w:val="22"/>
        </w:rPr>
      </w:pPr>
      <w:r w:rsidRPr="00AA4595">
        <w:rPr>
          <w:rFonts w:asciiTheme="minorHAnsi" w:hAnsiTheme="minorHAnsi" w:cs="Verdana"/>
          <w:b/>
          <w:color w:val="000000" w:themeColor="text1"/>
          <w:szCs w:val="22"/>
        </w:rPr>
        <w:t>Commercialisation of Innovation</w:t>
      </w:r>
    </w:p>
    <w:p w14:paraId="1F54FCC9" w14:textId="178C2297" w:rsidR="00AA4595" w:rsidRDefault="00AA4595" w:rsidP="00AA4595">
      <w:r>
        <w:t>We will continue to develop the capacity to pursue the commercialisation of innovations developed within CTMUHB. There are number of options that can be adapted to allow this to occur which includes the industrial commercialisation CTMUHB IP, alongside the creation of social enterprises, community interest companies and co-operative models.</w:t>
      </w:r>
    </w:p>
    <w:p w14:paraId="7678E8E9" w14:textId="77777777" w:rsidR="00AA4595" w:rsidRDefault="00AA4595" w:rsidP="00AA4595"/>
    <w:p w14:paraId="1A72787F" w14:textId="77777777" w:rsidR="00AA4595" w:rsidRDefault="00AA4595" w:rsidP="00AA4595">
      <w:r>
        <w:t>Innovations that may have potential for commercialisation realisation include (but are not limited to) training courses for healthcare staff, patients and the general public; consultancy services; devices; software tools; and services.  Our intention in pursuing the commercialisation of at least some innovations is not, primarily, to generate income (though this may be a welcome by-product), but, rather, because we perceive that this route encourages in at least some cases a certain rigour, and provides opportunities to achieve spread and scale, which will ultimately result in greater patient benefit and greater impact in support of the strategic priorities of the Health Board, NHS Wales and Welsh Government.</w:t>
      </w:r>
    </w:p>
    <w:p w14:paraId="7617BCB7" w14:textId="77777777" w:rsidR="00AA4595" w:rsidRDefault="00AA4595" w:rsidP="00AA4595"/>
    <w:p w14:paraId="348572EF" w14:textId="77777777" w:rsidR="00AA4595" w:rsidRDefault="00AA4595" w:rsidP="00AA4595">
      <w:r>
        <w:t xml:space="preserve">The Health Board has an excellent working relationship with AgorIP (hosted by Swansea University), an organisation funded by Welsh Government. AgorIP provide an all Wales support and advisory service for recognising and developing partnership (industry, academia, investors) and commercialisation opportunities in academia and health. Through the joint appointment of an IP development manger CTMUHB will look to access AgorIP support to commercialise IP where relevant and the potential to create spinouts as required. </w:t>
      </w:r>
    </w:p>
    <w:p w14:paraId="07AFABB9" w14:textId="77777777" w:rsidR="00AA4595" w:rsidRDefault="00AA4595" w:rsidP="00AA4595"/>
    <w:p w14:paraId="7E9709A5" w14:textId="77777777" w:rsidR="00AA4595" w:rsidRPr="00AA4595" w:rsidRDefault="00AA4595" w:rsidP="00AA4595">
      <w:r w:rsidRPr="00AA4595">
        <w:t xml:space="preserve">Key outcomes include </w:t>
      </w:r>
    </w:p>
    <w:p w14:paraId="035A0272" w14:textId="77777777" w:rsidR="00AA4595" w:rsidRDefault="00AA4595" w:rsidP="003B1653">
      <w:pPr>
        <w:pStyle w:val="ListParagraph"/>
        <w:numPr>
          <w:ilvl w:val="0"/>
          <w:numId w:val="82"/>
        </w:numPr>
        <w:ind w:left="357" w:hanging="357"/>
        <w:jc w:val="left"/>
      </w:pPr>
      <w:proofErr w:type="gramStart"/>
      <w:r>
        <w:t>as</w:t>
      </w:r>
      <w:proofErr w:type="gramEnd"/>
      <w:r>
        <w:t xml:space="preserve"> part of our ongoing relationship with AgorIP through the joint appointment of an IP Development Manager we are actively looking at the ways in which we can work with industrial partners to commercialise IP.  </w:t>
      </w:r>
    </w:p>
    <w:p w14:paraId="2F1C7A80" w14:textId="77777777" w:rsidR="00AA4595" w:rsidRDefault="00AA4595" w:rsidP="003B1653">
      <w:pPr>
        <w:pStyle w:val="ListParagraph"/>
        <w:numPr>
          <w:ilvl w:val="0"/>
          <w:numId w:val="82"/>
        </w:numPr>
        <w:ind w:left="357" w:hanging="357"/>
        <w:jc w:val="left"/>
      </w:pPr>
      <w:r>
        <w:t>Exploring the potential of creating a social enterprise based in the innovative Colorectal Education work of Professor Haray.</w:t>
      </w:r>
    </w:p>
    <w:p w14:paraId="5D6177B5" w14:textId="77777777" w:rsidR="00AA4595" w:rsidRPr="00AA4595" w:rsidRDefault="00AA4595" w:rsidP="005D5241">
      <w:pPr>
        <w:autoSpaceDE w:val="0"/>
        <w:autoSpaceDN w:val="0"/>
        <w:adjustRightInd w:val="0"/>
        <w:rPr>
          <w:rFonts w:asciiTheme="minorHAnsi" w:hAnsiTheme="minorHAnsi" w:cs="Verdana"/>
          <w:color w:val="000000" w:themeColor="text1"/>
          <w:szCs w:val="22"/>
        </w:rPr>
      </w:pPr>
    </w:p>
    <w:p w14:paraId="0B4558E2" w14:textId="4375A2EC" w:rsidR="00AA4595" w:rsidRPr="00AA4595" w:rsidRDefault="00AA4595" w:rsidP="005D5241">
      <w:pPr>
        <w:autoSpaceDE w:val="0"/>
        <w:autoSpaceDN w:val="0"/>
        <w:adjustRightInd w:val="0"/>
        <w:rPr>
          <w:rFonts w:asciiTheme="minorHAnsi" w:hAnsiTheme="minorHAnsi" w:cs="Verdana"/>
          <w:b/>
          <w:color w:val="000000" w:themeColor="text1"/>
          <w:szCs w:val="22"/>
        </w:rPr>
      </w:pPr>
      <w:r w:rsidRPr="00AA4595">
        <w:rPr>
          <w:rFonts w:asciiTheme="minorHAnsi" w:hAnsiTheme="minorHAnsi" w:cs="Verdana"/>
          <w:b/>
          <w:color w:val="000000" w:themeColor="text1"/>
          <w:szCs w:val="22"/>
        </w:rPr>
        <w:t>Academic Partnership Board</w:t>
      </w:r>
    </w:p>
    <w:p w14:paraId="345638DB" w14:textId="77777777" w:rsidR="00AA4595" w:rsidRDefault="00AA4595" w:rsidP="00AA4595">
      <w:r>
        <w:t>CTMUHB and its academic partners are driven by a shared commitment to ensure excellent health, medical care, research, innovation and health care education in the region. The parties recognise that there are synergies between them that provide positive opportunities for collaboration which potentially exceed the traditional university hospital model with a key objective of promoting quality and service improvement.</w:t>
      </w:r>
    </w:p>
    <w:p w14:paraId="43D4FFA7" w14:textId="77777777" w:rsidR="00AA4595" w:rsidRDefault="00AA4595" w:rsidP="00AA4595"/>
    <w:p w14:paraId="6ACFE640" w14:textId="77777777" w:rsidR="00AA4595" w:rsidRDefault="00AA4595" w:rsidP="00AA4595">
      <w:r>
        <w:t>As such there is a long history of collaborative working between the Healthboard and its academic partners and the Academic Partnership Board (APB) provides a formal mechanism whereby the strategic and operational benefits of partnership can be established and integrated across CTMUHB and the Universities.  Its primary aim is to promote collaborative efforts to improve the health, wellbeing, education and wealth of patients and the population.</w:t>
      </w:r>
    </w:p>
    <w:p w14:paraId="5D6091E4" w14:textId="77777777" w:rsidR="00AA4595" w:rsidRDefault="00AA4595" w:rsidP="00AA4595"/>
    <w:p w14:paraId="44C10409" w14:textId="77777777" w:rsidR="00AA4595" w:rsidRDefault="00AA4595" w:rsidP="00AA4595">
      <w:r>
        <w:t>The APB is chaired by Professor Kelechi Nnoaham Executive Lead for Research, Innovation and Improvement and brings together senior leaders from the University of South Wales, Cardiff Metropolitan and Cardiff. Recently academic membership has been expanded to include the Open University in Wales and it is expected further academic partners will be invited to join.</w:t>
      </w:r>
    </w:p>
    <w:p w14:paraId="5CC9CB11" w14:textId="77777777" w:rsidR="00AA4595" w:rsidRDefault="00AA4595" w:rsidP="00AA4595"/>
    <w:p w14:paraId="3BC49E91" w14:textId="77777777" w:rsidR="00AA4595" w:rsidRDefault="00AA4595" w:rsidP="00AA4595">
      <w:r>
        <w:t>The APB provides to explore opportunities for the further development of collaborative activities between the members of the partnership - especially in relation to clinical services, research, teaching, innovation and improvement, providing advice thereon to appropriate decision- making bodies.</w:t>
      </w:r>
    </w:p>
    <w:p w14:paraId="448032F4" w14:textId="77777777" w:rsidR="00AA4595" w:rsidRDefault="00AA4595" w:rsidP="00AA4595"/>
    <w:p w14:paraId="0103FD97" w14:textId="61575A64" w:rsidR="00AA4595" w:rsidRDefault="00AA4595" w:rsidP="00AA4595">
      <w:r>
        <w:t>To support the APB, the Academic Partnership Steering Group (APSG) chaired by Professor John Geen, R&amp;D lead for the Healthboard, acts as its operational delivery function. The APSG ensures that all appropriate action is taken to deliver the operational obligations set out by the APB and it has delegated authority for effective decision-making in respect of the implementation of the workplan agreed by the APB.</w:t>
      </w:r>
    </w:p>
    <w:p w14:paraId="0AEA80AE" w14:textId="77777777" w:rsidR="00AA4595" w:rsidRDefault="00AA4595" w:rsidP="00AA4595"/>
    <w:p w14:paraId="11244653" w14:textId="77777777" w:rsidR="00AA4595" w:rsidRDefault="00AA4595" w:rsidP="00AA4595">
      <w:r>
        <w:t xml:space="preserve">With the recent creation of a dedicated UHB Innovation team which act as the secretariat for both the APB and APSG the respective Terms of Reference and work programme have been refreshed and updated.  The APSG now regularly reports on each of the four key work programme themes which include: </w:t>
      </w:r>
    </w:p>
    <w:p w14:paraId="37AAA809" w14:textId="77777777" w:rsidR="00AA4595" w:rsidRDefault="00AA4595" w:rsidP="003B1653">
      <w:pPr>
        <w:pStyle w:val="ListParagraph"/>
        <w:numPr>
          <w:ilvl w:val="0"/>
          <w:numId w:val="83"/>
        </w:numPr>
        <w:ind w:left="357" w:hanging="357"/>
        <w:jc w:val="left"/>
      </w:pPr>
      <w:r>
        <w:t>Workforce Development (to include Training, Education and Workforce re-design)</w:t>
      </w:r>
    </w:p>
    <w:p w14:paraId="28FD23FF" w14:textId="77777777" w:rsidR="00AA4595" w:rsidRDefault="00AA4595" w:rsidP="003B1653">
      <w:pPr>
        <w:pStyle w:val="ListParagraph"/>
        <w:numPr>
          <w:ilvl w:val="0"/>
          <w:numId w:val="83"/>
        </w:numPr>
        <w:ind w:left="357" w:hanging="357"/>
        <w:jc w:val="left"/>
      </w:pPr>
      <w:r>
        <w:t>Innovation and Commercialisation</w:t>
      </w:r>
    </w:p>
    <w:p w14:paraId="125AAAC8" w14:textId="77777777" w:rsidR="00AA4595" w:rsidRDefault="00AA4595" w:rsidP="003B1653">
      <w:pPr>
        <w:pStyle w:val="ListParagraph"/>
        <w:numPr>
          <w:ilvl w:val="0"/>
          <w:numId w:val="83"/>
        </w:numPr>
        <w:ind w:left="357" w:hanging="357"/>
        <w:jc w:val="left"/>
      </w:pPr>
      <w:r>
        <w:t>Research And Development (includes Service developments, Service evaluations)</w:t>
      </w:r>
    </w:p>
    <w:p w14:paraId="3B567686" w14:textId="77777777" w:rsidR="00AA4595" w:rsidRDefault="00AA4595" w:rsidP="003B1653">
      <w:pPr>
        <w:pStyle w:val="ListParagraph"/>
        <w:numPr>
          <w:ilvl w:val="0"/>
          <w:numId w:val="83"/>
        </w:numPr>
        <w:ind w:left="357" w:hanging="357"/>
        <w:jc w:val="left"/>
      </w:pPr>
      <w:r>
        <w:t>Population and Public Benefit (includes Corporate and Social Responsibilities)</w:t>
      </w:r>
    </w:p>
    <w:p w14:paraId="56E725E8" w14:textId="77777777" w:rsidR="00AA4595" w:rsidRDefault="00AA4595" w:rsidP="00AA4595">
      <w:pPr>
        <w:rPr>
          <w:b/>
          <w:u w:val="single"/>
        </w:rPr>
      </w:pPr>
    </w:p>
    <w:p w14:paraId="7F0DD189" w14:textId="77777777" w:rsidR="00AA4595" w:rsidRPr="00AA4595" w:rsidRDefault="00AA4595" w:rsidP="00AA4595">
      <w:r w:rsidRPr="00AA4595">
        <w:t>Key Element from the current Work Programme include:</w:t>
      </w:r>
    </w:p>
    <w:p w14:paraId="502C7353" w14:textId="2AA5D311" w:rsidR="00AA4595" w:rsidRDefault="00AA4595" w:rsidP="003B1653">
      <w:pPr>
        <w:pStyle w:val="ListParagraph"/>
        <w:numPr>
          <w:ilvl w:val="0"/>
          <w:numId w:val="84"/>
        </w:numPr>
        <w:ind w:left="357" w:hanging="357"/>
      </w:pPr>
      <w:r>
        <w:t xml:space="preserve">Informing the format of, and responding to </w:t>
      </w:r>
      <w:proofErr w:type="gramStart"/>
      <w:r>
        <w:t>the  upcoming</w:t>
      </w:r>
      <w:proofErr w:type="gramEnd"/>
      <w:r>
        <w:t xml:space="preserve"> WG triennial review of UHB Status. This includes gathering key examples of partnership working across education &amp; Teaching, Research &amp; development and Innovation &amp; Improvement.</w:t>
      </w:r>
    </w:p>
    <w:p w14:paraId="5451090C" w14:textId="369EFA35" w:rsidR="00AA4595" w:rsidRDefault="00AA4595" w:rsidP="003B1653">
      <w:pPr>
        <w:pStyle w:val="ListParagraph"/>
        <w:numPr>
          <w:ilvl w:val="0"/>
          <w:numId w:val="84"/>
        </w:numPr>
        <w:ind w:left="357" w:hanging="357"/>
      </w:pPr>
      <w:r>
        <w:t>The process of capturing all honorary appointments, joint contracts and clinical academics between the UHB and its academic partners. Such colleagues are exemplars of academic partnership working and endeavours and a key priority of the APB is to both accurately capture this activity and increase the numbers of staff with these roles.</w:t>
      </w:r>
    </w:p>
    <w:p w14:paraId="7E6F9437" w14:textId="77777777" w:rsidR="00AA4595" w:rsidRDefault="00AA4595" w:rsidP="005D5241">
      <w:pPr>
        <w:autoSpaceDE w:val="0"/>
        <w:autoSpaceDN w:val="0"/>
        <w:adjustRightInd w:val="0"/>
        <w:rPr>
          <w:rFonts w:asciiTheme="minorHAnsi" w:hAnsiTheme="minorHAnsi" w:cs="Verdana"/>
          <w:color w:val="000000" w:themeColor="text1"/>
          <w:szCs w:val="22"/>
        </w:rPr>
      </w:pPr>
    </w:p>
    <w:p w14:paraId="6C568568" w14:textId="4E48D8AC" w:rsidR="00AA4595" w:rsidRPr="00AA4595" w:rsidRDefault="00AA4595" w:rsidP="005D5241">
      <w:pPr>
        <w:autoSpaceDE w:val="0"/>
        <w:autoSpaceDN w:val="0"/>
        <w:adjustRightInd w:val="0"/>
        <w:rPr>
          <w:rFonts w:asciiTheme="minorHAnsi" w:hAnsiTheme="minorHAnsi" w:cs="Verdana"/>
          <w:b/>
          <w:color w:val="000000" w:themeColor="text1"/>
          <w:szCs w:val="22"/>
        </w:rPr>
      </w:pPr>
      <w:r w:rsidRPr="00AA4595">
        <w:rPr>
          <w:rFonts w:asciiTheme="minorHAnsi" w:hAnsiTheme="minorHAnsi" w:cs="Verdana"/>
          <w:b/>
          <w:color w:val="000000" w:themeColor="text1"/>
          <w:szCs w:val="22"/>
        </w:rPr>
        <w:t xml:space="preserve">Research Innovation </w:t>
      </w:r>
      <w:proofErr w:type="gramStart"/>
      <w:r w:rsidRPr="00AA4595">
        <w:rPr>
          <w:rFonts w:asciiTheme="minorHAnsi" w:hAnsiTheme="minorHAnsi" w:cs="Verdana"/>
          <w:b/>
          <w:color w:val="000000" w:themeColor="text1"/>
          <w:szCs w:val="22"/>
        </w:rPr>
        <w:t>And</w:t>
      </w:r>
      <w:proofErr w:type="gramEnd"/>
      <w:r w:rsidRPr="00AA4595">
        <w:rPr>
          <w:rFonts w:asciiTheme="minorHAnsi" w:hAnsiTheme="minorHAnsi" w:cs="Verdana"/>
          <w:b/>
          <w:color w:val="000000" w:themeColor="text1"/>
          <w:szCs w:val="22"/>
        </w:rPr>
        <w:t xml:space="preserve"> Improvement Hub</w:t>
      </w:r>
    </w:p>
    <w:p w14:paraId="1E80DFC4" w14:textId="5461BAFF" w:rsidR="00AA4595" w:rsidRDefault="00AA4595" w:rsidP="00AA4595">
      <w:r>
        <w:t>Cwm Taf Morgannwg Social Services and Wellbeing Partnership Board (PB) has set out in its Regional Plan - a whole system population health and social care model which responds to the voice of the individual through three interwoven layers: Wellbeing; Integrated Community Care, Closer to Home; and Acute Health and Social Care and Tertiary Health Services.</w:t>
      </w:r>
    </w:p>
    <w:p w14:paraId="795887E1" w14:textId="77777777" w:rsidR="00AA4595" w:rsidRDefault="00AA4595" w:rsidP="00AA4595"/>
    <w:p w14:paraId="51153586" w14:textId="65B286B4" w:rsidR="00AA4595" w:rsidRDefault="00AA4595" w:rsidP="00AA4595">
      <w:r>
        <w:t>The partner organisations (Bridgend, Rhondda Cynon Taf and Merthyr Tydfil Councils, the Third Sector, Care Forum Wales, Social Care Wales alongside CTMUHHB  are responsible for making sure that safe and effective services are delivered that make a positive difference to people’s lives, now and in the future. Through the Welsh Government Transformation fund, these partners have successfully applied for £22.7 million to help deliver the vision set-out in A Healthier Wales, the long term plan for health and social care delivery in Wales, and the Partnership’s expectation is for the RI&amp;IC hub to help in this endeavour.</w:t>
      </w:r>
    </w:p>
    <w:p w14:paraId="412C908F" w14:textId="77777777" w:rsidR="00AA4595" w:rsidRDefault="00AA4595" w:rsidP="00AA4595"/>
    <w:p w14:paraId="35B32EEC" w14:textId="77777777" w:rsidR="00AA4595" w:rsidRDefault="00AA4595" w:rsidP="00AA4595">
      <w:r>
        <w:t xml:space="preserve">The ambition for the Research, Innovation and Improvement Hub is for it to act as a focal point, bringing together examples and the supporting evidence base of work and initiatives currently underway across our Health and Care Partnership. With the prudent focus of knowledge management mobilisation and best practice scale-up at its core, it will seek to drive the adoption and spread of promising </w:t>
      </w:r>
      <w:proofErr w:type="gramStart"/>
      <w:r>
        <w:t>RI&amp;I</w:t>
      </w:r>
      <w:proofErr w:type="gramEnd"/>
      <w:r>
        <w:t xml:space="preserve"> activity at pace and scale.</w:t>
      </w:r>
    </w:p>
    <w:p w14:paraId="0CE68F8B" w14:textId="77777777" w:rsidR="00AA4595" w:rsidRDefault="00AA4595" w:rsidP="00AA4595"/>
    <w:p w14:paraId="361BD406" w14:textId="6934B07B" w:rsidR="00AA4595" w:rsidRDefault="00AA4595" w:rsidP="00AA4595">
      <w:r>
        <w:t xml:space="preserve">The initial priority of the Hub and its team will be to focus on identifying existing examples of </w:t>
      </w:r>
      <w:proofErr w:type="gramStart"/>
      <w:r>
        <w:t>RI&amp;I</w:t>
      </w:r>
      <w:proofErr w:type="gramEnd"/>
      <w:r>
        <w:t xml:space="preserve"> activity across the footprint to evaluate its potential impact and the ability for it to be transferred across all partners. It will look to track such examples from initial innovations and pilots to more mature interventions that will create a pipeline of activity with a focussed and engaged Hub team. They will engage with all partners in a structured way driven to identify the activities that have the greatest potential impact on improving quality outcomes of health and social care value.</w:t>
      </w:r>
      <w:r w:rsidRPr="00341B50">
        <w:t xml:space="preserve"> </w:t>
      </w:r>
      <w:r>
        <w:t>This will provide a robust evidence based methodology that can accurately identify and prioritise the activities and initiatives and ultimately we would like to be able to undertake this approach for all RI&amp;IC hubs across Wales.</w:t>
      </w:r>
    </w:p>
    <w:p w14:paraId="7CC69450" w14:textId="77777777" w:rsidR="00AA4595" w:rsidRDefault="00AA4595" w:rsidP="00AA4595"/>
    <w:p w14:paraId="64A1BE2C" w14:textId="77777777" w:rsidR="00AA4595" w:rsidRDefault="00AA4595" w:rsidP="00AA4595">
      <w:r>
        <w:t>Anchored within the Partnership Board and engaging equally with its partner organisations the hub will be positioned in the centre to act as a focal point for RI &amp;I knowledge generation and capture.</w:t>
      </w:r>
    </w:p>
    <w:p w14:paraId="25633C6C" w14:textId="77777777" w:rsidR="00AA4595" w:rsidRDefault="00AA4595" w:rsidP="00AA4595"/>
    <w:p w14:paraId="2C098F94" w14:textId="77777777" w:rsidR="00AA4595" w:rsidRDefault="00AA4595" w:rsidP="00AA4595">
      <w:r>
        <w:t>It will help to:</w:t>
      </w:r>
    </w:p>
    <w:p w14:paraId="02A30D73" w14:textId="33CFD0AE" w:rsidR="00AA4595" w:rsidRDefault="00AA4595" w:rsidP="003B1653">
      <w:pPr>
        <w:pStyle w:val="ListParagraph"/>
        <w:numPr>
          <w:ilvl w:val="0"/>
          <w:numId w:val="85"/>
        </w:numPr>
        <w:ind w:left="357" w:hanging="357"/>
      </w:pPr>
      <w:r>
        <w:t xml:space="preserve">IDENTIFY examples of innovation and good practice from across the region to help deliver whole system population health and social care new models as set out by the PB in its regional area plan. </w:t>
      </w:r>
    </w:p>
    <w:p w14:paraId="4447A9C0" w14:textId="46856D51" w:rsidR="00AA4595" w:rsidRDefault="00AA4595" w:rsidP="003B1653">
      <w:pPr>
        <w:pStyle w:val="ListParagraph"/>
        <w:numPr>
          <w:ilvl w:val="0"/>
          <w:numId w:val="85"/>
        </w:numPr>
        <w:ind w:left="357" w:hanging="357"/>
      </w:pPr>
      <w:r>
        <w:t>PRIORITISE and coordinate RI&amp;I activity based on existing population health &amp; care  management (PH&amp;CM) expertise, providing PH&amp;CM expertise to other RI&amp;I hubs and championing a population segmentation and risk stratification approach for Wales.</w:t>
      </w:r>
    </w:p>
    <w:p w14:paraId="0C4814B4" w14:textId="07BF888F" w:rsidR="00AA4595" w:rsidRPr="002057A5" w:rsidRDefault="00AA4595" w:rsidP="003B1653">
      <w:pPr>
        <w:pStyle w:val="ListParagraph"/>
        <w:numPr>
          <w:ilvl w:val="0"/>
          <w:numId w:val="85"/>
        </w:numPr>
        <w:ind w:left="357" w:hanging="357"/>
      </w:pPr>
      <w:r>
        <w:t>ENGAGE with and support key stakeholders at all organisational levels to accelerate the implementation and adoption of innovative approaches to health and care service delivery.</w:t>
      </w:r>
    </w:p>
    <w:p w14:paraId="444F01BA" w14:textId="77777777" w:rsidR="00AA4595" w:rsidRPr="00AA4595" w:rsidRDefault="00AA4595" w:rsidP="00AA4595">
      <w:r w:rsidRPr="00AA4595">
        <w:t xml:space="preserve">Key Element from the </w:t>
      </w:r>
      <w:proofErr w:type="gramStart"/>
      <w:r w:rsidRPr="00AA4595">
        <w:t>RI&amp;I</w:t>
      </w:r>
      <w:proofErr w:type="gramEnd"/>
      <w:r w:rsidRPr="00AA4595">
        <w:t xml:space="preserve"> workplan include:</w:t>
      </w:r>
    </w:p>
    <w:p w14:paraId="26020939" w14:textId="67B934F1" w:rsidR="00AA4595" w:rsidRPr="002057A5" w:rsidRDefault="00AA4595" w:rsidP="003B1653">
      <w:pPr>
        <w:pStyle w:val="ListParagraph"/>
        <w:numPr>
          <w:ilvl w:val="0"/>
          <w:numId w:val="86"/>
        </w:numPr>
        <w:ind w:left="357" w:hanging="357"/>
      </w:pPr>
      <w:r w:rsidRPr="002057A5">
        <w:t xml:space="preserve">Develop a robust process to gather examples of RI&amp;I activity to include proforma’s to capture case studies and  identification of key stakeholders such as R&amp;D leads, QI managers etc to link with colleagues undertaking activity. </w:t>
      </w:r>
    </w:p>
    <w:p w14:paraId="3728A294" w14:textId="4B1B44D6" w:rsidR="00AA4595" w:rsidRPr="002057A5" w:rsidRDefault="00AA4595" w:rsidP="003B1653">
      <w:pPr>
        <w:pStyle w:val="ListParagraph"/>
        <w:numPr>
          <w:ilvl w:val="0"/>
          <w:numId w:val="86"/>
        </w:numPr>
        <w:ind w:left="357" w:hanging="357"/>
      </w:pPr>
      <w:r w:rsidRPr="002057A5">
        <w:t>Connect and link to evaluating experts to develop capacity so that activities with the greatest potential impact and/or scalability can be championed and promoted.</w:t>
      </w:r>
    </w:p>
    <w:p w14:paraId="2CF1DD8F" w14:textId="33821175" w:rsidR="00AA4595" w:rsidRPr="002057A5" w:rsidRDefault="00AA4595" w:rsidP="003B1653">
      <w:pPr>
        <w:pStyle w:val="ListParagraph"/>
        <w:numPr>
          <w:ilvl w:val="0"/>
          <w:numId w:val="86"/>
        </w:numPr>
        <w:ind w:left="357" w:hanging="357"/>
      </w:pPr>
      <w:r w:rsidRPr="002057A5">
        <w:t>Work with RPB partners to publicise and promote examples of current good practice collected form the good practice census, both internally and externally</w:t>
      </w:r>
    </w:p>
    <w:p w14:paraId="55CD8FF7" w14:textId="78A0F23C" w:rsidR="00AA4595" w:rsidRPr="002057A5" w:rsidRDefault="00AA4595" w:rsidP="003B1653">
      <w:pPr>
        <w:pStyle w:val="ListParagraph"/>
        <w:numPr>
          <w:ilvl w:val="0"/>
          <w:numId w:val="86"/>
        </w:numPr>
        <w:ind w:left="357" w:hanging="357"/>
      </w:pPr>
      <w:r w:rsidRPr="002057A5">
        <w:t>Develop compendiums (electronic and hard versions) to detail activity that can be easily shared.</w:t>
      </w:r>
    </w:p>
    <w:p w14:paraId="4A18C87A" w14:textId="139445AB" w:rsidR="00AA4595" w:rsidRDefault="00AA4595" w:rsidP="003B1653">
      <w:pPr>
        <w:pStyle w:val="ListParagraph"/>
        <w:numPr>
          <w:ilvl w:val="0"/>
          <w:numId w:val="86"/>
        </w:numPr>
        <w:ind w:left="357" w:hanging="357"/>
      </w:pPr>
      <w:r w:rsidRPr="002057A5">
        <w:t>Develop the use of online ideas sharing portals across RPB organisations that (1) give staff the opportunity to generate ideas, (2) help identify improvement and innovation support for those ideas, and (3) act as a robust means of recording activity for governance and reporting purposes.</w:t>
      </w:r>
    </w:p>
    <w:p w14:paraId="68D45411" w14:textId="77777777" w:rsidR="00AA4595" w:rsidRDefault="00AA4595" w:rsidP="00AA4595"/>
    <w:p w14:paraId="5CEE3F7F" w14:textId="0EB06545" w:rsidR="00AA4595" w:rsidRPr="00AA4595" w:rsidRDefault="00AA4595" w:rsidP="00AA4595">
      <w:pPr>
        <w:rPr>
          <w:b/>
        </w:rPr>
      </w:pPr>
      <w:r w:rsidRPr="00AA4595">
        <w:rPr>
          <w:b/>
        </w:rPr>
        <w:t>Working with the Bevan Commission</w:t>
      </w:r>
    </w:p>
    <w:p w14:paraId="0E4F2E50" w14:textId="77777777" w:rsidR="00AA4595" w:rsidRPr="00AA4595" w:rsidRDefault="00AA4595" w:rsidP="00AA4595">
      <w:pPr>
        <w:rPr>
          <w:rFonts w:asciiTheme="minorHAnsi" w:hAnsiTheme="minorHAnsi"/>
          <w:color w:val="000000" w:themeColor="text1"/>
          <w:szCs w:val="22"/>
        </w:rPr>
      </w:pPr>
    </w:p>
    <w:p w14:paraId="3367B8D9" w14:textId="45F225F7" w:rsidR="00AA4595" w:rsidRPr="00AA4595" w:rsidRDefault="00AA4595" w:rsidP="00AA4595">
      <w:pPr>
        <w:pStyle w:val="Default"/>
        <w:jc w:val="both"/>
        <w:rPr>
          <w:rFonts w:asciiTheme="minorHAnsi" w:hAnsiTheme="minorHAnsi" w:cs="Tahoma"/>
          <w:color w:val="000000" w:themeColor="text1"/>
          <w:sz w:val="22"/>
          <w:szCs w:val="22"/>
        </w:rPr>
      </w:pPr>
      <w:r w:rsidRPr="00AA4595">
        <w:rPr>
          <w:rFonts w:asciiTheme="minorHAnsi" w:hAnsiTheme="minorHAnsi" w:cs="Tahoma"/>
          <w:color w:val="000000" w:themeColor="text1"/>
          <w:sz w:val="22"/>
          <w:szCs w:val="22"/>
        </w:rPr>
        <w:t>The Bevan Commission continues to support a number of Bevan exemplars, Health</w:t>
      </w:r>
      <w:r>
        <w:rPr>
          <w:rFonts w:asciiTheme="minorHAnsi" w:hAnsiTheme="minorHAnsi" w:cs="Tahoma"/>
          <w:color w:val="000000" w:themeColor="text1"/>
          <w:sz w:val="22"/>
          <w:szCs w:val="22"/>
        </w:rPr>
        <w:t xml:space="preserve"> B</w:t>
      </w:r>
      <w:r w:rsidRPr="00AA4595">
        <w:rPr>
          <w:rFonts w:asciiTheme="minorHAnsi" w:hAnsiTheme="minorHAnsi" w:cs="Tahoma"/>
          <w:color w:val="000000" w:themeColor="text1"/>
          <w:sz w:val="22"/>
          <w:szCs w:val="22"/>
        </w:rPr>
        <w:t xml:space="preserve">oard staff who have applied to the programme to design and develop innovative ideas. In addition CTMUHB is actively supporting staff to become innovation adopters as part of the Bevan adopt and spread programme.  The following 5 projects have been successfully accepted for Cohort 5 of the Bevan Exemplar Programme: </w:t>
      </w:r>
    </w:p>
    <w:p w14:paraId="07660969" w14:textId="77777777" w:rsidR="00AA4595" w:rsidRDefault="00AA4595" w:rsidP="00AA4595">
      <w:pPr>
        <w:pStyle w:val="Default"/>
        <w:rPr>
          <w:sz w:val="22"/>
          <w:szCs w:val="22"/>
        </w:rPr>
      </w:pPr>
    </w:p>
    <w:tbl>
      <w:tblPr>
        <w:tblW w:w="1006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9639"/>
      </w:tblGrid>
      <w:tr w:rsidR="00AA4595" w:rsidRPr="0024075D" w14:paraId="54C63760" w14:textId="77777777" w:rsidTr="00AA4595">
        <w:trPr>
          <w:trHeight w:val="283"/>
        </w:trPr>
        <w:tc>
          <w:tcPr>
            <w:tcW w:w="426" w:type="dxa"/>
          </w:tcPr>
          <w:p w14:paraId="7083BDC2" w14:textId="77777777" w:rsidR="00AA4595" w:rsidRPr="0024075D" w:rsidRDefault="00AA4595" w:rsidP="00AA4595">
            <w:pPr>
              <w:rPr>
                <w:rFonts w:cs="Arial"/>
              </w:rPr>
            </w:pPr>
            <w:r>
              <w:rPr>
                <w:rFonts w:cs="Arial"/>
              </w:rPr>
              <w:t>1</w:t>
            </w:r>
          </w:p>
        </w:tc>
        <w:tc>
          <w:tcPr>
            <w:tcW w:w="9639" w:type="dxa"/>
            <w:shd w:val="clear" w:color="auto" w:fill="auto"/>
          </w:tcPr>
          <w:p w14:paraId="0913B9A9" w14:textId="77777777" w:rsidR="00AA4595" w:rsidRPr="0024075D" w:rsidRDefault="00AA4595" w:rsidP="00AA4595">
            <w:r w:rsidRPr="0024075D">
              <w:rPr>
                <w:rFonts w:cs="Arial"/>
              </w:rPr>
              <w:t xml:space="preserve">Development of a communication tool that enables people to self-manage lifelong conditions </w:t>
            </w:r>
          </w:p>
        </w:tc>
      </w:tr>
      <w:tr w:rsidR="00AA4595" w:rsidRPr="0024075D" w14:paraId="63BCD2CA" w14:textId="77777777" w:rsidTr="00AA4595">
        <w:trPr>
          <w:trHeight w:val="233"/>
        </w:trPr>
        <w:tc>
          <w:tcPr>
            <w:tcW w:w="426" w:type="dxa"/>
          </w:tcPr>
          <w:p w14:paraId="53473371" w14:textId="77777777" w:rsidR="00AA4595" w:rsidRPr="0024075D" w:rsidRDefault="00AA4595" w:rsidP="00AA4595">
            <w:pPr>
              <w:rPr>
                <w:rFonts w:cs="Arial"/>
              </w:rPr>
            </w:pPr>
            <w:r>
              <w:rPr>
                <w:rFonts w:cs="Arial"/>
              </w:rPr>
              <w:t>2</w:t>
            </w:r>
          </w:p>
        </w:tc>
        <w:tc>
          <w:tcPr>
            <w:tcW w:w="9639" w:type="dxa"/>
            <w:shd w:val="clear" w:color="auto" w:fill="auto"/>
          </w:tcPr>
          <w:p w14:paraId="6D8D6085" w14:textId="77777777" w:rsidR="00AA4595" w:rsidRPr="0024075D" w:rsidRDefault="00AA4595" w:rsidP="00AA4595">
            <w:r w:rsidRPr="0024075D">
              <w:rPr>
                <w:rFonts w:cs="Arial"/>
              </w:rPr>
              <w:t>An Innovative Approach to ILD Management – Right People @ Right Time</w:t>
            </w:r>
          </w:p>
        </w:tc>
      </w:tr>
      <w:tr w:rsidR="00AA4595" w:rsidRPr="0024075D" w14:paraId="79D207C1" w14:textId="77777777" w:rsidTr="00AA4595">
        <w:trPr>
          <w:trHeight w:val="640"/>
        </w:trPr>
        <w:tc>
          <w:tcPr>
            <w:tcW w:w="426" w:type="dxa"/>
            <w:shd w:val="clear" w:color="auto" w:fill="FFFFFF"/>
          </w:tcPr>
          <w:p w14:paraId="5DEF6E9D" w14:textId="77777777" w:rsidR="00AA4595" w:rsidRPr="0024075D" w:rsidRDefault="00AA4595" w:rsidP="00AA4595">
            <w:pPr>
              <w:rPr>
                <w:rFonts w:cs="Arial"/>
              </w:rPr>
            </w:pPr>
            <w:r>
              <w:rPr>
                <w:rFonts w:cs="Arial"/>
              </w:rPr>
              <w:t>3</w:t>
            </w:r>
          </w:p>
        </w:tc>
        <w:tc>
          <w:tcPr>
            <w:tcW w:w="9639" w:type="dxa"/>
            <w:shd w:val="clear" w:color="auto" w:fill="FFFFFF"/>
          </w:tcPr>
          <w:p w14:paraId="45737811" w14:textId="77777777" w:rsidR="00AA4595" w:rsidRPr="0024075D" w:rsidRDefault="00AA4595" w:rsidP="00AA4595">
            <w:r w:rsidRPr="0024075D">
              <w:rPr>
                <w:rFonts w:cs="Arial"/>
              </w:rPr>
              <w:t>Connected Learning – using apps and virtual reality to facilitate pre-registration pharmacist (PRP) training in the primary care sector</w:t>
            </w:r>
          </w:p>
        </w:tc>
      </w:tr>
      <w:tr w:rsidR="00AA4595" w:rsidRPr="0024075D" w14:paraId="7FC70C09" w14:textId="77777777" w:rsidTr="00AA4595">
        <w:trPr>
          <w:trHeight w:val="451"/>
        </w:trPr>
        <w:tc>
          <w:tcPr>
            <w:tcW w:w="426" w:type="dxa"/>
          </w:tcPr>
          <w:p w14:paraId="09806051" w14:textId="77777777" w:rsidR="00AA4595" w:rsidRPr="0024075D" w:rsidRDefault="00AA4595" w:rsidP="00AA4595">
            <w:r>
              <w:t>4</w:t>
            </w:r>
          </w:p>
        </w:tc>
        <w:tc>
          <w:tcPr>
            <w:tcW w:w="9639" w:type="dxa"/>
            <w:shd w:val="clear" w:color="auto" w:fill="auto"/>
          </w:tcPr>
          <w:p w14:paraId="1CFBB7CE" w14:textId="77777777" w:rsidR="00AA4595" w:rsidRPr="0024075D" w:rsidRDefault="00AA4595" w:rsidP="00AA4595">
            <w:r w:rsidRPr="0024075D">
              <w:t>Reducing DNA’s in Respiratory Departments</w:t>
            </w:r>
          </w:p>
        </w:tc>
      </w:tr>
      <w:tr w:rsidR="00AA4595" w:rsidRPr="0024075D" w14:paraId="58588A96" w14:textId="77777777" w:rsidTr="00AA4595">
        <w:trPr>
          <w:trHeight w:val="513"/>
        </w:trPr>
        <w:tc>
          <w:tcPr>
            <w:tcW w:w="426" w:type="dxa"/>
          </w:tcPr>
          <w:p w14:paraId="1225A9F0" w14:textId="77777777" w:rsidR="00AA4595" w:rsidRPr="0024075D" w:rsidRDefault="00AA4595" w:rsidP="00AA4595">
            <w:pPr>
              <w:rPr>
                <w:rFonts w:cs="Arial"/>
              </w:rPr>
            </w:pPr>
            <w:r>
              <w:rPr>
                <w:rFonts w:cs="Arial"/>
              </w:rPr>
              <w:t>5</w:t>
            </w:r>
          </w:p>
        </w:tc>
        <w:tc>
          <w:tcPr>
            <w:tcW w:w="9639" w:type="dxa"/>
            <w:shd w:val="clear" w:color="auto" w:fill="auto"/>
          </w:tcPr>
          <w:p w14:paraId="49F5089F" w14:textId="77777777" w:rsidR="00AA4595" w:rsidRPr="0024075D" w:rsidRDefault="00AA4595" w:rsidP="00AA4595">
            <w:r w:rsidRPr="0024075D">
              <w:rPr>
                <w:rFonts w:cs="Arial"/>
              </w:rPr>
              <w:t>Using Population Segmentation and Risk Stratification to Deliver Asthma Care Where it’s Needed Most</w:t>
            </w:r>
          </w:p>
        </w:tc>
      </w:tr>
    </w:tbl>
    <w:p w14:paraId="3DF783E3" w14:textId="77777777" w:rsidR="005D5241" w:rsidRPr="00AA4595" w:rsidRDefault="005D5241" w:rsidP="00AA4595">
      <w:pPr>
        <w:rPr>
          <w:rFonts w:asciiTheme="minorHAnsi" w:hAnsiTheme="minorHAnsi"/>
          <w:color w:val="000000" w:themeColor="text1"/>
          <w:szCs w:val="22"/>
        </w:rPr>
      </w:pPr>
    </w:p>
    <w:p w14:paraId="6920F855" w14:textId="77777777" w:rsidR="007048B0" w:rsidRPr="00F4594C" w:rsidRDefault="007048B0" w:rsidP="007048B0">
      <w:pPr>
        <w:rPr>
          <w:rFonts w:asciiTheme="minorHAnsi" w:hAnsiTheme="minorHAnsi"/>
          <w:b/>
          <w:szCs w:val="22"/>
        </w:rPr>
      </w:pPr>
      <w:r w:rsidRPr="00F4594C">
        <w:rPr>
          <w:rFonts w:asciiTheme="minorHAnsi" w:hAnsiTheme="minorHAnsi"/>
          <w:b/>
          <w:szCs w:val="22"/>
        </w:rPr>
        <w:t>Research and Development</w:t>
      </w:r>
    </w:p>
    <w:p w14:paraId="1C800BE9" w14:textId="77806D25" w:rsidR="002B103C" w:rsidRPr="002B103C" w:rsidRDefault="002B103C" w:rsidP="002B103C">
      <w:pPr>
        <w:autoSpaceDE w:val="0"/>
        <w:autoSpaceDN w:val="0"/>
        <w:adjustRightInd w:val="0"/>
        <w:rPr>
          <w:rFonts w:asciiTheme="minorHAnsi" w:hAnsiTheme="minorHAnsi" w:cstheme="minorHAnsi"/>
        </w:rPr>
      </w:pPr>
      <w:bookmarkStart w:id="214" w:name="_Toc532299709"/>
      <w:bookmarkStart w:id="215" w:name="_Toc532464115"/>
      <w:bookmarkStart w:id="216" w:name="_Toc536195588"/>
      <w:r w:rsidRPr="0087345A">
        <w:rPr>
          <w:rFonts w:cs="Arial"/>
        </w:rPr>
        <w:t xml:space="preserve">Cwm Taf </w:t>
      </w:r>
      <w:r>
        <w:rPr>
          <w:rFonts w:cs="Arial"/>
        </w:rPr>
        <w:t xml:space="preserve">Morgannwg </w:t>
      </w:r>
      <w:r w:rsidRPr="0087345A">
        <w:rPr>
          <w:rFonts w:cs="Arial"/>
        </w:rPr>
        <w:t xml:space="preserve">is an ambitious Health Board which has a distinct population on which to undertake high </w:t>
      </w:r>
      <w:r w:rsidRPr="002B103C">
        <w:rPr>
          <w:rFonts w:asciiTheme="minorHAnsi" w:hAnsiTheme="minorHAnsi" w:cstheme="minorHAnsi"/>
        </w:rPr>
        <w:t xml:space="preserve">quality, ethical and collaborative research, with the aim of helping to develop and change patient care, population health, outcomes and experience for the better.  Details of the extensive research and development portfolio can be found in </w:t>
      </w:r>
      <w:r w:rsidRPr="002B103C">
        <w:rPr>
          <w:rFonts w:asciiTheme="minorHAnsi" w:hAnsiTheme="minorHAnsi" w:cstheme="minorHAnsi"/>
          <w:b/>
        </w:rPr>
        <w:t>Book A2</w:t>
      </w:r>
      <w:r w:rsidRPr="002B103C">
        <w:rPr>
          <w:rFonts w:asciiTheme="minorHAnsi" w:hAnsiTheme="minorHAnsi" w:cstheme="minorHAnsi"/>
        </w:rPr>
        <w:t xml:space="preserve"> and the key targets for the Academic Partnership Board include:</w:t>
      </w:r>
    </w:p>
    <w:p w14:paraId="7755A1C3" w14:textId="77777777" w:rsidR="002B103C" w:rsidRPr="002B103C" w:rsidRDefault="002B103C" w:rsidP="003B1653">
      <w:pPr>
        <w:pStyle w:val="ListParagraph"/>
        <w:numPr>
          <w:ilvl w:val="0"/>
          <w:numId w:val="99"/>
        </w:numPr>
        <w:autoSpaceDE w:val="0"/>
        <w:autoSpaceDN w:val="0"/>
        <w:adjustRightInd w:val="0"/>
        <w:ind w:left="357" w:hanging="357"/>
        <w:rPr>
          <w:rFonts w:asciiTheme="minorHAnsi" w:hAnsiTheme="minorHAnsi" w:cstheme="minorHAnsi"/>
        </w:rPr>
      </w:pPr>
      <w:r w:rsidRPr="002B103C">
        <w:rPr>
          <w:rFonts w:asciiTheme="minorHAnsi" w:hAnsiTheme="minorHAnsi" w:cstheme="minorHAnsi"/>
        </w:rPr>
        <w:t>Establishment of a Clinical Research Facility at the Royal Glamorgan Hospital (March 2020) to develop the infra-structure to increase commercial research for the Health Board and our patients and develop further collaborative research opportunities with our Academic partners.</w:t>
      </w:r>
    </w:p>
    <w:p w14:paraId="2B2BB7EB" w14:textId="77777777" w:rsidR="002B103C" w:rsidRPr="002B103C" w:rsidRDefault="002B103C" w:rsidP="003B1653">
      <w:pPr>
        <w:pStyle w:val="ListParagraph"/>
        <w:numPr>
          <w:ilvl w:val="0"/>
          <w:numId w:val="99"/>
        </w:numPr>
        <w:autoSpaceDE w:val="0"/>
        <w:autoSpaceDN w:val="0"/>
        <w:adjustRightInd w:val="0"/>
        <w:ind w:left="357" w:hanging="357"/>
        <w:rPr>
          <w:rFonts w:asciiTheme="minorHAnsi" w:hAnsiTheme="minorHAnsi" w:cstheme="minorHAnsi"/>
        </w:rPr>
      </w:pPr>
      <w:r w:rsidRPr="002B103C">
        <w:rPr>
          <w:rFonts w:asciiTheme="minorHAnsi" w:hAnsiTheme="minorHAnsi" w:cstheme="minorHAnsi"/>
        </w:rPr>
        <w:t>Following the formation of Cwm Taf Morgannwg UHB, the CTMUHB R&amp;D team to progress the full integration of all research in Primary, Secondary, Community care and Population Health across the Health Board.</w:t>
      </w:r>
    </w:p>
    <w:p w14:paraId="473B726F" w14:textId="77777777" w:rsidR="002B103C" w:rsidRPr="002B103C" w:rsidRDefault="002B103C" w:rsidP="003B1653">
      <w:pPr>
        <w:pStyle w:val="ListParagraph"/>
        <w:numPr>
          <w:ilvl w:val="0"/>
          <w:numId w:val="99"/>
        </w:numPr>
        <w:autoSpaceDE w:val="0"/>
        <w:autoSpaceDN w:val="0"/>
        <w:adjustRightInd w:val="0"/>
        <w:ind w:left="357" w:hanging="357"/>
        <w:rPr>
          <w:rFonts w:asciiTheme="minorHAnsi" w:hAnsiTheme="minorHAnsi" w:cstheme="minorHAnsi"/>
        </w:rPr>
      </w:pPr>
      <w:r w:rsidRPr="002B103C">
        <w:rPr>
          <w:rFonts w:asciiTheme="minorHAnsi" w:hAnsiTheme="minorHAnsi" w:cstheme="minorHAnsi"/>
        </w:rPr>
        <w:t>Ensure equitable access of our researchers, research partners and population to high quality research to support change and improvement in the wealth, health and well-being of all.</w:t>
      </w:r>
    </w:p>
    <w:p w14:paraId="4EA1F1C7" w14:textId="77777777" w:rsidR="002B103C" w:rsidRPr="002B103C" w:rsidRDefault="002B103C" w:rsidP="003B1653">
      <w:pPr>
        <w:pStyle w:val="ListParagraph"/>
        <w:numPr>
          <w:ilvl w:val="0"/>
          <w:numId w:val="99"/>
        </w:numPr>
        <w:autoSpaceDE w:val="0"/>
        <w:autoSpaceDN w:val="0"/>
        <w:adjustRightInd w:val="0"/>
        <w:ind w:left="357" w:hanging="357"/>
        <w:rPr>
          <w:rFonts w:asciiTheme="minorHAnsi" w:hAnsiTheme="minorHAnsi" w:cstheme="minorHAnsi"/>
        </w:rPr>
      </w:pPr>
      <w:r w:rsidRPr="002B103C">
        <w:rPr>
          <w:rFonts w:asciiTheme="minorHAnsi" w:hAnsiTheme="minorHAnsi" w:cstheme="minorHAnsi"/>
        </w:rPr>
        <w:lastRenderedPageBreak/>
        <w:t>Support the delivery of the key aims of “A Healthier Wales” and the Quadruple Aims, by promoting research as a function of all the workforce, and by supporting the development of Principal and Chief Investigators in all specialties and professions.</w:t>
      </w:r>
    </w:p>
    <w:p w14:paraId="35C536E3" w14:textId="77777777" w:rsidR="002B103C" w:rsidRPr="002B103C" w:rsidRDefault="002B103C" w:rsidP="003B1653">
      <w:pPr>
        <w:pStyle w:val="ListParagraph"/>
        <w:numPr>
          <w:ilvl w:val="0"/>
          <w:numId w:val="99"/>
        </w:numPr>
        <w:autoSpaceDE w:val="0"/>
        <w:autoSpaceDN w:val="0"/>
        <w:adjustRightInd w:val="0"/>
        <w:ind w:left="357" w:hanging="357"/>
        <w:rPr>
          <w:rFonts w:asciiTheme="minorHAnsi" w:hAnsiTheme="minorHAnsi" w:cstheme="minorHAnsi"/>
        </w:rPr>
      </w:pPr>
      <w:r w:rsidRPr="002B103C">
        <w:rPr>
          <w:rFonts w:asciiTheme="minorHAnsi" w:hAnsiTheme="minorHAnsi" w:cstheme="minorHAnsi"/>
        </w:rPr>
        <w:t>To deliver on the 2019-2022 CTMUHB R&amp;D strategy to maintain University Health Board status through increased investment in research capacity, by increasing research activity and increased participant recruitment by opening and supporting more high quality non-commercial portfolio studies and commercial studies.</w:t>
      </w:r>
    </w:p>
    <w:p w14:paraId="69D762E7" w14:textId="77777777" w:rsidR="002B103C" w:rsidRPr="002B103C" w:rsidRDefault="002B103C" w:rsidP="003B1653">
      <w:pPr>
        <w:pStyle w:val="ListParagraph"/>
        <w:numPr>
          <w:ilvl w:val="0"/>
          <w:numId w:val="99"/>
        </w:numPr>
        <w:autoSpaceDE w:val="0"/>
        <w:autoSpaceDN w:val="0"/>
        <w:adjustRightInd w:val="0"/>
        <w:ind w:left="357" w:hanging="357"/>
        <w:rPr>
          <w:rFonts w:asciiTheme="minorHAnsi" w:hAnsiTheme="minorHAnsi" w:cstheme="minorHAnsi"/>
        </w:rPr>
      </w:pPr>
      <w:r w:rsidRPr="002B103C">
        <w:rPr>
          <w:rFonts w:asciiTheme="minorHAnsi" w:hAnsiTheme="minorHAnsi" w:cstheme="minorHAnsi"/>
        </w:rPr>
        <w:t>To work with Health and Care Research Wales with the implementation of the OneWales approach to research governance and study set-up.</w:t>
      </w:r>
    </w:p>
    <w:p w14:paraId="06FA19DA" w14:textId="77777777" w:rsidR="002B103C" w:rsidRPr="002B103C" w:rsidRDefault="002B103C" w:rsidP="003B1653">
      <w:pPr>
        <w:pStyle w:val="ListParagraph"/>
        <w:numPr>
          <w:ilvl w:val="0"/>
          <w:numId w:val="99"/>
        </w:numPr>
        <w:autoSpaceDE w:val="0"/>
        <w:autoSpaceDN w:val="0"/>
        <w:adjustRightInd w:val="0"/>
        <w:ind w:left="357" w:hanging="357"/>
        <w:rPr>
          <w:rFonts w:asciiTheme="minorHAnsi" w:hAnsiTheme="minorHAnsi" w:cstheme="minorHAnsi"/>
        </w:rPr>
      </w:pPr>
      <w:r w:rsidRPr="002B103C">
        <w:rPr>
          <w:rFonts w:asciiTheme="minorHAnsi" w:hAnsiTheme="minorHAnsi" w:cstheme="minorHAnsi"/>
        </w:rPr>
        <w:t>Following the recent increase in the research capacity, continue to progress the Primary Care, Community, Mental Health and Population Health research agendas and deliver on the documented frameworks and strategies in these areas.</w:t>
      </w:r>
    </w:p>
    <w:p w14:paraId="43BE832E" w14:textId="77777777" w:rsidR="002B103C" w:rsidRPr="002B103C" w:rsidRDefault="002B103C" w:rsidP="003B1653">
      <w:pPr>
        <w:pStyle w:val="ListParagraph"/>
        <w:numPr>
          <w:ilvl w:val="0"/>
          <w:numId w:val="99"/>
        </w:numPr>
        <w:autoSpaceDE w:val="0"/>
        <w:autoSpaceDN w:val="0"/>
        <w:adjustRightInd w:val="0"/>
        <w:ind w:left="357" w:hanging="357"/>
        <w:rPr>
          <w:rFonts w:asciiTheme="minorHAnsi" w:hAnsiTheme="minorHAnsi" w:cstheme="minorHAnsi"/>
        </w:rPr>
      </w:pPr>
      <w:r w:rsidRPr="002B103C">
        <w:rPr>
          <w:rFonts w:asciiTheme="minorHAnsi" w:hAnsiTheme="minorHAnsi" w:cstheme="minorHAnsi"/>
        </w:rPr>
        <w:t>Continue to seek and support new opportunities for research to include Community Diagnostics, Cell and Gene Therapy, Precision Medicine, Genomics, Social care, Therapeutics and Technologies.</w:t>
      </w:r>
    </w:p>
    <w:p w14:paraId="7EBB6462" w14:textId="77777777" w:rsidR="002B103C" w:rsidRPr="0087345A" w:rsidRDefault="002B103C" w:rsidP="003B1653">
      <w:pPr>
        <w:pStyle w:val="ListParagraph"/>
        <w:numPr>
          <w:ilvl w:val="0"/>
          <w:numId w:val="99"/>
        </w:numPr>
        <w:autoSpaceDE w:val="0"/>
        <w:autoSpaceDN w:val="0"/>
        <w:adjustRightInd w:val="0"/>
        <w:ind w:left="357" w:hanging="357"/>
        <w:rPr>
          <w:rFonts w:ascii="Verdana" w:hAnsi="Verdana" w:cs="Verdana"/>
        </w:rPr>
      </w:pPr>
      <w:r w:rsidRPr="002B103C">
        <w:rPr>
          <w:rFonts w:asciiTheme="minorHAnsi" w:hAnsiTheme="minorHAnsi" w:cstheme="minorHAnsi"/>
        </w:rPr>
        <w:t>Research and Development team will continue to build on recent successes and encourage, support and assist Health Board researchers and academic partners in the submission of high quality, collaborative funding applications to major funding schemes</w:t>
      </w:r>
      <w:r w:rsidRPr="0087345A">
        <w:rPr>
          <w:rFonts w:ascii="Verdana" w:hAnsi="Verdana" w:cs="Verdana"/>
        </w:rPr>
        <w:t>.</w:t>
      </w:r>
    </w:p>
    <w:p w14:paraId="01A48FB0" w14:textId="25027332" w:rsidR="00F4594C" w:rsidRPr="005B30B8" w:rsidRDefault="00F4594C" w:rsidP="00F4594C"/>
    <w:tbl>
      <w:tblPr>
        <w:tblStyle w:val="TableGrid"/>
        <w:tblW w:w="0" w:type="auto"/>
        <w:tblLook w:val="04A0" w:firstRow="1" w:lastRow="0" w:firstColumn="1" w:lastColumn="0" w:noHBand="0" w:noVBand="1"/>
      </w:tblPr>
      <w:tblGrid>
        <w:gridCol w:w="562"/>
        <w:gridCol w:w="7513"/>
        <w:gridCol w:w="1843"/>
      </w:tblGrid>
      <w:tr w:rsidR="00F4594C" w:rsidRPr="005B30B8" w14:paraId="600981BC" w14:textId="77777777" w:rsidTr="00F4594C">
        <w:tc>
          <w:tcPr>
            <w:tcW w:w="562" w:type="dxa"/>
            <w:tcBorders>
              <w:top w:val="single" w:sz="4" w:space="0" w:color="000000"/>
              <w:left w:val="single" w:sz="4" w:space="0" w:color="000000"/>
              <w:bottom w:val="single" w:sz="4" w:space="0" w:color="000000"/>
              <w:right w:val="single" w:sz="4" w:space="0" w:color="000000"/>
            </w:tcBorders>
          </w:tcPr>
          <w:p w14:paraId="2128F854" w14:textId="77777777" w:rsidR="00F4594C" w:rsidRPr="001332C0" w:rsidRDefault="00F4594C" w:rsidP="006F090B">
            <w:pPr>
              <w:rPr>
                <w:rFonts w:asciiTheme="minorHAnsi" w:hAnsiTheme="minorHAnsi" w:cstheme="minorHAnsi"/>
                <w:bCs/>
                <w:iCs/>
                <w:sz w:val="22"/>
                <w:szCs w:val="22"/>
              </w:rPr>
            </w:pPr>
          </w:p>
        </w:tc>
        <w:tc>
          <w:tcPr>
            <w:tcW w:w="7513" w:type="dxa"/>
            <w:tcBorders>
              <w:top w:val="single" w:sz="4" w:space="0" w:color="000000"/>
              <w:left w:val="single" w:sz="4" w:space="0" w:color="000000"/>
              <w:bottom w:val="single" w:sz="4" w:space="0" w:color="000000"/>
              <w:right w:val="single" w:sz="4" w:space="0" w:color="000000"/>
            </w:tcBorders>
            <w:hideMark/>
          </w:tcPr>
          <w:p w14:paraId="49E91878" w14:textId="77777777" w:rsidR="00F4594C" w:rsidRDefault="00F4594C" w:rsidP="006F090B">
            <w:pPr>
              <w:jc w:val="center"/>
              <w:rPr>
                <w:rFonts w:asciiTheme="minorHAnsi" w:hAnsiTheme="minorHAnsi" w:cstheme="minorHAnsi"/>
                <w:bCs/>
                <w:iCs/>
                <w:sz w:val="22"/>
                <w:szCs w:val="22"/>
              </w:rPr>
            </w:pPr>
            <w:r w:rsidRPr="001332C0">
              <w:rPr>
                <w:rFonts w:asciiTheme="minorHAnsi" w:hAnsiTheme="minorHAnsi" w:cstheme="minorHAnsi"/>
                <w:bCs/>
                <w:iCs/>
                <w:sz w:val="22"/>
                <w:szCs w:val="22"/>
              </w:rPr>
              <w:t>Priority</w:t>
            </w:r>
          </w:p>
          <w:p w14:paraId="3BCB7A7F" w14:textId="77777777" w:rsidR="00F4594C" w:rsidRPr="001332C0" w:rsidRDefault="00F4594C" w:rsidP="006F090B">
            <w:pPr>
              <w:jc w:val="center"/>
              <w:rPr>
                <w:rFonts w:asciiTheme="minorHAnsi" w:hAnsiTheme="minorHAnsi" w:cstheme="minorHAnsi"/>
                <w:bCs/>
                <w:iCs/>
                <w:sz w:val="22"/>
                <w:szCs w:val="22"/>
              </w:rPr>
            </w:pPr>
          </w:p>
        </w:tc>
        <w:tc>
          <w:tcPr>
            <w:tcW w:w="1843" w:type="dxa"/>
            <w:tcBorders>
              <w:top w:val="single" w:sz="4" w:space="0" w:color="000000"/>
              <w:left w:val="single" w:sz="4" w:space="0" w:color="000000"/>
              <w:bottom w:val="single" w:sz="4" w:space="0" w:color="000000"/>
              <w:right w:val="single" w:sz="4" w:space="0" w:color="000000"/>
            </w:tcBorders>
            <w:hideMark/>
          </w:tcPr>
          <w:p w14:paraId="08272029" w14:textId="4274516C" w:rsidR="00F4594C" w:rsidRPr="001332C0" w:rsidRDefault="00F4594C" w:rsidP="006F090B">
            <w:pPr>
              <w:jc w:val="center"/>
              <w:rPr>
                <w:rFonts w:asciiTheme="minorHAnsi" w:hAnsiTheme="minorHAnsi" w:cstheme="minorHAnsi"/>
                <w:bCs/>
                <w:iCs/>
                <w:sz w:val="22"/>
                <w:szCs w:val="22"/>
              </w:rPr>
            </w:pPr>
            <w:r w:rsidRPr="001332C0">
              <w:rPr>
                <w:rFonts w:asciiTheme="minorHAnsi" w:hAnsiTheme="minorHAnsi" w:cstheme="minorHAnsi"/>
                <w:bCs/>
                <w:iCs/>
                <w:sz w:val="22"/>
                <w:szCs w:val="22"/>
              </w:rPr>
              <w:t>Target Date</w:t>
            </w:r>
          </w:p>
        </w:tc>
      </w:tr>
      <w:tr w:rsidR="00F4594C" w:rsidRPr="005B30B8" w14:paraId="3766F662" w14:textId="77777777" w:rsidTr="00F4594C">
        <w:tc>
          <w:tcPr>
            <w:tcW w:w="562" w:type="dxa"/>
            <w:tcBorders>
              <w:top w:val="single" w:sz="4" w:space="0" w:color="000000"/>
              <w:left w:val="single" w:sz="4" w:space="0" w:color="000000"/>
              <w:bottom w:val="single" w:sz="4" w:space="0" w:color="000000"/>
              <w:right w:val="single" w:sz="4" w:space="0" w:color="000000"/>
            </w:tcBorders>
            <w:hideMark/>
          </w:tcPr>
          <w:p w14:paraId="67C2F604" w14:textId="77777777"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1.</w:t>
            </w:r>
          </w:p>
        </w:tc>
        <w:tc>
          <w:tcPr>
            <w:tcW w:w="7513" w:type="dxa"/>
            <w:tcBorders>
              <w:top w:val="single" w:sz="4" w:space="0" w:color="000000"/>
              <w:left w:val="single" w:sz="4" w:space="0" w:color="000000"/>
              <w:bottom w:val="single" w:sz="4" w:space="0" w:color="000000"/>
              <w:right w:val="single" w:sz="4" w:space="0" w:color="000000"/>
            </w:tcBorders>
            <w:hideMark/>
          </w:tcPr>
          <w:p w14:paraId="3D64E6CC" w14:textId="77777777"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 xml:space="preserve">Development of a Clinical Research Facility at the Royal Glamorgan Hospital site. </w:t>
            </w:r>
          </w:p>
        </w:tc>
        <w:tc>
          <w:tcPr>
            <w:tcW w:w="1843" w:type="dxa"/>
            <w:tcBorders>
              <w:top w:val="single" w:sz="4" w:space="0" w:color="000000"/>
              <w:left w:val="single" w:sz="4" w:space="0" w:color="000000"/>
              <w:bottom w:val="single" w:sz="4" w:space="0" w:color="000000"/>
              <w:right w:val="single" w:sz="4" w:space="0" w:color="000000"/>
            </w:tcBorders>
            <w:hideMark/>
          </w:tcPr>
          <w:p w14:paraId="62F6F6CD" w14:textId="77777777"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 xml:space="preserve">March 2020 </w:t>
            </w:r>
          </w:p>
        </w:tc>
      </w:tr>
      <w:tr w:rsidR="00F4594C" w:rsidRPr="005B30B8" w14:paraId="4EDE5A7D" w14:textId="77777777" w:rsidTr="00F4594C">
        <w:tc>
          <w:tcPr>
            <w:tcW w:w="562" w:type="dxa"/>
            <w:tcBorders>
              <w:top w:val="single" w:sz="4" w:space="0" w:color="000000"/>
              <w:left w:val="single" w:sz="4" w:space="0" w:color="000000"/>
              <w:bottom w:val="single" w:sz="4" w:space="0" w:color="000000"/>
              <w:right w:val="single" w:sz="4" w:space="0" w:color="000000"/>
            </w:tcBorders>
          </w:tcPr>
          <w:p w14:paraId="0406D443" w14:textId="77777777" w:rsidR="00F4594C" w:rsidRPr="001332C0" w:rsidRDefault="00F4594C" w:rsidP="006F090B">
            <w:pPr>
              <w:rPr>
                <w:rFonts w:cstheme="minorHAnsi"/>
                <w:bCs/>
                <w:iCs/>
              </w:rPr>
            </w:pPr>
            <w:r>
              <w:rPr>
                <w:rFonts w:cstheme="minorHAnsi"/>
                <w:bCs/>
                <w:iCs/>
              </w:rPr>
              <w:t>2.</w:t>
            </w:r>
          </w:p>
        </w:tc>
        <w:tc>
          <w:tcPr>
            <w:tcW w:w="7513" w:type="dxa"/>
            <w:tcBorders>
              <w:top w:val="single" w:sz="4" w:space="0" w:color="000000"/>
              <w:left w:val="single" w:sz="4" w:space="0" w:color="000000"/>
              <w:bottom w:val="single" w:sz="4" w:space="0" w:color="000000"/>
              <w:right w:val="single" w:sz="4" w:space="0" w:color="000000"/>
            </w:tcBorders>
          </w:tcPr>
          <w:p w14:paraId="1509CCD5" w14:textId="77777777" w:rsidR="00F4594C" w:rsidRPr="00AC5285" w:rsidRDefault="00F4594C" w:rsidP="006F090B">
            <w:pPr>
              <w:rPr>
                <w:rFonts w:asciiTheme="minorHAnsi" w:hAnsiTheme="minorHAnsi" w:cstheme="minorHAnsi"/>
                <w:bCs/>
                <w:iCs/>
              </w:rPr>
            </w:pPr>
            <w:r w:rsidRPr="00AC5285">
              <w:rPr>
                <w:rFonts w:asciiTheme="minorHAnsi" w:hAnsiTheme="minorHAnsi" w:cstheme="minorHAnsi"/>
                <w:bCs/>
                <w:iCs/>
                <w:sz w:val="22"/>
              </w:rPr>
              <w:t>Continue to monitor and review any proposed change in NHS R&amp;D funding model and its associated impact and risk to the CTMUHB R&amp;D function and activity.</w:t>
            </w:r>
          </w:p>
        </w:tc>
        <w:tc>
          <w:tcPr>
            <w:tcW w:w="1843" w:type="dxa"/>
            <w:tcBorders>
              <w:top w:val="single" w:sz="4" w:space="0" w:color="000000"/>
              <w:left w:val="single" w:sz="4" w:space="0" w:color="000000"/>
              <w:bottom w:val="single" w:sz="4" w:space="0" w:color="000000"/>
              <w:right w:val="single" w:sz="4" w:space="0" w:color="000000"/>
            </w:tcBorders>
          </w:tcPr>
          <w:p w14:paraId="10F2D4E7" w14:textId="77777777" w:rsidR="00F4594C" w:rsidRPr="00AC5285" w:rsidRDefault="00F4594C" w:rsidP="006F090B">
            <w:pPr>
              <w:rPr>
                <w:rFonts w:asciiTheme="minorHAnsi" w:hAnsiTheme="minorHAnsi" w:cstheme="minorHAnsi"/>
                <w:bCs/>
                <w:iCs/>
              </w:rPr>
            </w:pPr>
            <w:r w:rsidRPr="00AC5285">
              <w:rPr>
                <w:rFonts w:asciiTheme="minorHAnsi" w:hAnsiTheme="minorHAnsi" w:cstheme="minorHAnsi"/>
                <w:bCs/>
                <w:iCs/>
                <w:sz w:val="22"/>
              </w:rPr>
              <w:t>April 2020 - March 2021</w:t>
            </w:r>
          </w:p>
        </w:tc>
      </w:tr>
      <w:tr w:rsidR="00F4594C" w:rsidRPr="005B30B8" w14:paraId="120CDE40" w14:textId="77777777" w:rsidTr="00F4594C">
        <w:tc>
          <w:tcPr>
            <w:tcW w:w="562" w:type="dxa"/>
            <w:tcBorders>
              <w:top w:val="single" w:sz="4" w:space="0" w:color="000000"/>
              <w:left w:val="single" w:sz="4" w:space="0" w:color="000000"/>
              <w:bottom w:val="single" w:sz="4" w:space="0" w:color="000000"/>
              <w:right w:val="single" w:sz="4" w:space="0" w:color="000000"/>
            </w:tcBorders>
            <w:hideMark/>
          </w:tcPr>
          <w:p w14:paraId="43424C92" w14:textId="77777777" w:rsidR="00F4594C" w:rsidRPr="001332C0" w:rsidRDefault="00F4594C" w:rsidP="006F090B">
            <w:pPr>
              <w:rPr>
                <w:rFonts w:asciiTheme="minorHAnsi" w:hAnsiTheme="minorHAnsi" w:cstheme="minorHAnsi"/>
                <w:bCs/>
                <w:iCs/>
                <w:sz w:val="22"/>
                <w:szCs w:val="22"/>
              </w:rPr>
            </w:pPr>
            <w:r>
              <w:rPr>
                <w:rFonts w:asciiTheme="minorHAnsi" w:hAnsiTheme="minorHAnsi" w:cstheme="minorHAnsi"/>
                <w:bCs/>
                <w:iCs/>
                <w:sz w:val="22"/>
                <w:szCs w:val="22"/>
              </w:rPr>
              <w:t>3</w:t>
            </w:r>
            <w:r w:rsidRPr="001332C0">
              <w:rPr>
                <w:rFonts w:asciiTheme="minorHAnsi" w:hAnsiTheme="minorHAnsi" w:cstheme="minorHAnsi"/>
                <w:bCs/>
                <w:iCs/>
                <w:sz w:val="22"/>
                <w:szCs w:val="22"/>
              </w:rPr>
              <w:t>.</w:t>
            </w:r>
          </w:p>
        </w:tc>
        <w:tc>
          <w:tcPr>
            <w:tcW w:w="7513" w:type="dxa"/>
            <w:tcBorders>
              <w:top w:val="single" w:sz="4" w:space="0" w:color="000000"/>
              <w:left w:val="single" w:sz="4" w:space="0" w:color="000000"/>
              <w:bottom w:val="single" w:sz="4" w:space="0" w:color="000000"/>
              <w:right w:val="single" w:sz="4" w:space="0" w:color="000000"/>
            </w:tcBorders>
            <w:hideMark/>
          </w:tcPr>
          <w:p w14:paraId="61804ABD" w14:textId="77777777"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 xml:space="preserve">Recruit </w:t>
            </w:r>
            <w:r>
              <w:rPr>
                <w:rFonts w:asciiTheme="minorHAnsi" w:hAnsiTheme="minorHAnsi" w:cstheme="minorHAnsi"/>
                <w:bCs/>
                <w:iCs/>
                <w:sz w:val="22"/>
                <w:szCs w:val="22"/>
              </w:rPr>
              <w:t>x1 additional research officer and x1 Research Nurse</w:t>
            </w:r>
          </w:p>
        </w:tc>
        <w:tc>
          <w:tcPr>
            <w:tcW w:w="1843" w:type="dxa"/>
            <w:tcBorders>
              <w:top w:val="single" w:sz="4" w:space="0" w:color="000000"/>
              <w:left w:val="single" w:sz="4" w:space="0" w:color="000000"/>
              <w:bottom w:val="single" w:sz="4" w:space="0" w:color="000000"/>
              <w:right w:val="single" w:sz="4" w:space="0" w:color="000000"/>
            </w:tcBorders>
            <w:hideMark/>
          </w:tcPr>
          <w:p w14:paraId="11C01C5D" w14:textId="77777777"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March 2020</w:t>
            </w:r>
          </w:p>
        </w:tc>
      </w:tr>
      <w:tr w:rsidR="00F4594C" w:rsidRPr="005B30B8" w14:paraId="03B5BB33" w14:textId="77777777" w:rsidTr="00F4594C">
        <w:tc>
          <w:tcPr>
            <w:tcW w:w="562" w:type="dxa"/>
            <w:tcBorders>
              <w:top w:val="single" w:sz="4" w:space="0" w:color="000000"/>
              <w:left w:val="single" w:sz="4" w:space="0" w:color="000000"/>
              <w:bottom w:val="single" w:sz="4" w:space="0" w:color="000000"/>
              <w:right w:val="single" w:sz="4" w:space="0" w:color="000000"/>
            </w:tcBorders>
          </w:tcPr>
          <w:p w14:paraId="12B6F526" w14:textId="77777777" w:rsidR="00F4594C" w:rsidRPr="001332C0" w:rsidRDefault="00F4594C" w:rsidP="006F090B">
            <w:pPr>
              <w:rPr>
                <w:rFonts w:asciiTheme="minorHAnsi" w:hAnsiTheme="minorHAnsi" w:cstheme="minorHAnsi"/>
                <w:bCs/>
                <w:iCs/>
                <w:sz w:val="22"/>
                <w:szCs w:val="22"/>
              </w:rPr>
            </w:pPr>
            <w:r>
              <w:rPr>
                <w:rFonts w:asciiTheme="minorHAnsi" w:hAnsiTheme="minorHAnsi" w:cstheme="minorHAnsi"/>
                <w:bCs/>
                <w:iCs/>
                <w:sz w:val="22"/>
                <w:szCs w:val="22"/>
              </w:rPr>
              <w:t>4</w:t>
            </w:r>
            <w:r w:rsidRPr="001332C0">
              <w:rPr>
                <w:rFonts w:asciiTheme="minorHAnsi" w:hAnsiTheme="minorHAnsi" w:cstheme="minorHAnsi"/>
                <w:bCs/>
                <w:iCs/>
                <w:sz w:val="22"/>
                <w:szCs w:val="22"/>
              </w:rPr>
              <w:t>.</w:t>
            </w:r>
          </w:p>
        </w:tc>
        <w:tc>
          <w:tcPr>
            <w:tcW w:w="7513" w:type="dxa"/>
            <w:tcBorders>
              <w:top w:val="single" w:sz="4" w:space="0" w:color="000000"/>
              <w:left w:val="single" w:sz="4" w:space="0" w:color="000000"/>
              <w:bottom w:val="single" w:sz="4" w:space="0" w:color="000000"/>
              <w:right w:val="single" w:sz="4" w:space="0" w:color="000000"/>
            </w:tcBorders>
          </w:tcPr>
          <w:p w14:paraId="0FE7799D" w14:textId="77777777"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Development of an R&amp;D internet webpage.</w:t>
            </w:r>
          </w:p>
        </w:tc>
        <w:tc>
          <w:tcPr>
            <w:tcW w:w="1843" w:type="dxa"/>
            <w:tcBorders>
              <w:top w:val="single" w:sz="4" w:space="0" w:color="000000"/>
              <w:left w:val="single" w:sz="4" w:space="0" w:color="000000"/>
              <w:bottom w:val="single" w:sz="4" w:space="0" w:color="000000"/>
              <w:right w:val="single" w:sz="4" w:space="0" w:color="000000"/>
            </w:tcBorders>
          </w:tcPr>
          <w:p w14:paraId="3E314876" w14:textId="77777777"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March 2020</w:t>
            </w:r>
          </w:p>
        </w:tc>
      </w:tr>
      <w:tr w:rsidR="00F4594C" w:rsidRPr="005B30B8" w14:paraId="4ADB0CFF" w14:textId="77777777" w:rsidTr="00F4594C">
        <w:tc>
          <w:tcPr>
            <w:tcW w:w="562" w:type="dxa"/>
            <w:tcBorders>
              <w:top w:val="single" w:sz="4" w:space="0" w:color="000000"/>
              <w:left w:val="single" w:sz="4" w:space="0" w:color="000000"/>
              <w:bottom w:val="single" w:sz="4" w:space="0" w:color="000000"/>
              <w:right w:val="single" w:sz="4" w:space="0" w:color="000000"/>
            </w:tcBorders>
          </w:tcPr>
          <w:p w14:paraId="6DDB4F51" w14:textId="77777777" w:rsidR="00F4594C" w:rsidRPr="001332C0" w:rsidRDefault="00F4594C" w:rsidP="006F090B">
            <w:pPr>
              <w:rPr>
                <w:rFonts w:asciiTheme="minorHAnsi" w:hAnsiTheme="minorHAnsi" w:cstheme="minorHAnsi"/>
                <w:bCs/>
                <w:iCs/>
                <w:sz w:val="22"/>
                <w:szCs w:val="22"/>
              </w:rPr>
            </w:pPr>
            <w:r>
              <w:rPr>
                <w:rFonts w:asciiTheme="minorHAnsi" w:hAnsiTheme="minorHAnsi" w:cstheme="minorHAnsi"/>
                <w:bCs/>
                <w:iCs/>
                <w:sz w:val="22"/>
                <w:szCs w:val="22"/>
              </w:rPr>
              <w:t>5</w:t>
            </w:r>
            <w:r w:rsidRPr="001332C0">
              <w:rPr>
                <w:rFonts w:asciiTheme="minorHAnsi" w:hAnsiTheme="minorHAnsi" w:cstheme="minorHAnsi"/>
                <w:bCs/>
                <w:iCs/>
                <w:sz w:val="22"/>
                <w:szCs w:val="22"/>
              </w:rPr>
              <w:t>.</w:t>
            </w:r>
          </w:p>
        </w:tc>
        <w:tc>
          <w:tcPr>
            <w:tcW w:w="7513" w:type="dxa"/>
            <w:tcBorders>
              <w:top w:val="single" w:sz="4" w:space="0" w:color="000000"/>
              <w:left w:val="single" w:sz="4" w:space="0" w:color="000000"/>
              <w:bottom w:val="single" w:sz="4" w:space="0" w:color="000000"/>
              <w:right w:val="single" w:sz="4" w:space="0" w:color="000000"/>
            </w:tcBorders>
          </w:tcPr>
          <w:p w14:paraId="117ED4AF" w14:textId="77777777" w:rsidR="00F4594C" w:rsidRPr="001332C0" w:rsidRDefault="00F4594C" w:rsidP="006F090B">
            <w:pPr>
              <w:rPr>
                <w:rFonts w:asciiTheme="minorHAnsi" w:hAnsiTheme="minorHAnsi" w:cstheme="minorHAnsi"/>
                <w:bCs/>
                <w:iCs/>
                <w:sz w:val="22"/>
                <w:szCs w:val="22"/>
              </w:rPr>
            </w:pPr>
            <w:r>
              <w:rPr>
                <w:rFonts w:asciiTheme="minorHAnsi" w:hAnsiTheme="minorHAnsi" w:cstheme="minorHAnsi"/>
                <w:bCs/>
                <w:iCs/>
                <w:sz w:val="22"/>
                <w:szCs w:val="22"/>
              </w:rPr>
              <w:t>Com</w:t>
            </w:r>
            <w:r w:rsidRPr="001332C0">
              <w:rPr>
                <w:rFonts w:asciiTheme="minorHAnsi" w:hAnsiTheme="minorHAnsi" w:cstheme="minorHAnsi"/>
                <w:bCs/>
                <w:iCs/>
                <w:sz w:val="22"/>
                <w:szCs w:val="22"/>
              </w:rPr>
              <w:t>ple</w:t>
            </w:r>
            <w:r>
              <w:rPr>
                <w:rFonts w:asciiTheme="minorHAnsi" w:hAnsiTheme="minorHAnsi" w:cstheme="minorHAnsi"/>
                <w:bCs/>
                <w:iCs/>
                <w:sz w:val="22"/>
                <w:szCs w:val="22"/>
              </w:rPr>
              <w:t>te</w:t>
            </w:r>
            <w:r w:rsidRPr="001332C0">
              <w:rPr>
                <w:rFonts w:asciiTheme="minorHAnsi" w:hAnsiTheme="minorHAnsi" w:cstheme="minorHAnsi"/>
                <w:bCs/>
                <w:iCs/>
                <w:sz w:val="22"/>
                <w:szCs w:val="22"/>
              </w:rPr>
              <w:t xml:space="preserve"> the development of “in-house” SOPs</w:t>
            </w:r>
          </w:p>
        </w:tc>
        <w:tc>
          <w:tcPr>
            <w:tcW w:w="1843" w:type="dxa"/>
            <w:tcBorders>
              <w:top w:val="single" w:sz="4" w:space="0" w:color="000000"/>
              <w:left w:val="single" w:sz="4" w:space="0" w:color="000000"/>
              <w:bottom w:val="single" w:sz="4" w:space="0" w:color="000000"/>
              <w:right w:val="single" w:sz="4" w:space="0" w:color="000000"/>
            </w:tcBorders>
          </w:tcPr>
          <w:p w14:paraId="49B1F399" w14:textId="77777777" w:rsidR="00F4594C" w:rsidRPr="001332C0" w:rsidRDefault="00F4594C" w:rsidP="006F090B">
            <w:pPr>
              <w:rPr>
                <w:rFonts w:asciiTheme="minorHAnsi" w:hAnsiTheme="minorHAnsi" w:cstheme="minorHAnsi"/>
                <w:bCs/>
                <w:iCs/>
                <w:sz w:val="22"/>
                <w:szCs w:val="22"/>
              </w:rPr>
            </w:pPr>
            <w:r>
              <w:rPr>
                <w:rFonts w:asciiTheme="minorHAnsi" w:hAnsiTheme="minorHAnsi" w:cstheme="minorHAnsi"/>
                <w:bCs/>
                <w:iCs/>
                <w:sz w:val="22"/>
                <w:szCs w:val="22"/>
              </w:rPr>
              <w:t>April 2020</w:t>
            </w:r>
          </w:p>
        </w:tc>
      </w:tr>
      <w:tr w:rsidR="00F4594C" w:rsidRPr="005B30B8" w14:paraId="6290A7C4" w14:textId="77777777" w:rsidTr="00F4594C">
        <w:tc>
          <w:tcPr>
            <w:tcW w:w="562" w:type="dxa"/>
            <w:tcBorders>
              <w:top w:val="single" w:sz="4" w:space="0" w:color="000000"/>
              <w:left w:val="single" w:sz="4" w:space="0" w:color="000000"/>
              <w:bottom w:val="single" w:sz="4" w:space="0" w:color="000000"/>
              <w:right w:val="single" w:sz="4" w:space="0" w:color="000000"/>
            </w:tcBorders>
          </w:tcPr>
          <w:p w14:paraId="508E795D" w14:textId="77777777" w:rsidR="00F4594C" w:rsidRPr="001332C0" w:rsidRDefault="00F4594C" w:rsidP="006F090B">
            <w:pPr>
              <w:rPr>
                <w:rFonts w:asciiTheme="minorHAnsi" w:hAnsiTheme="minorHAnsi" w:cstheme="minorHAnsi"/>
                <w:bCs/>
                <w:iCs/>
                <w:sz w:val="22"/>
                <w:szCs w:val="22"/>
              </w:rPr>
            </w:pPr>
            <w:r>
              <w:rPr>
                <w:rFonts w:asciiTheme="minorHAnsi" w:hAnsiTheme="minorHAnsi" w:cstheme="minorHAnsi"/>
                <w:bCs/>
                <w:iCs/>
                <w:sz w:val="22"/>
                <w:szCs w:val="22"/>
              </w:rPr>
              <w:t>6</w:t>
            </w:r>
            <w:r w:rsidRPr="001332C0">
              <w:rPr>
                <w:rFonts w:asciiTheme="minorHAnsi" w:hAnsiTheme="minorHAnsi" w:cstheme="minorHAnsi"/>
                <w:bCs/>
                <w:iCs/>
                <w:sz w:val="22"/>
                <w:szCs w:val="22"/>
              </w:rPr>
              <w:t>.</w:t>
            </w:r>
          </w:p>
        </w:tc>
        <w:tc>
          <w:tcPr>
            <w:tcW w:w="7513" w:type="dxa"/>
            <w:tcBorders>
              <w:top w:val="single" w:sz="4" w:space="0" w:color="000000"/>
              <w:left w:val="single" w:sz="4" w:space="0" w:color="000000"/>
              <w:bottom w:val="single" w:sz="4" w:space="0" w:color="000000"/>
              <w:right w:val="single" w:sz="4" w:space="0" w:color="000000"/>
            </w:tcBorders>
          </w:tcPr>
          <w:p w14:paraId="04D2BFC1" w14:textId="77777777"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 xml:space="preserve">Development of a communications plan. </w:t>
            </w:r>
          </w:p>
          <w:p w14:paraId="2412EFDC" w14:textId="77777777" w:rsidR="00F4594C" w:rsidRPr="001332C0" w:rsidRDefault="00F4594C" w:rsidP="006F090B">
            <w:pPr>
              <w:rPr>
                <w:rFonts w:asciiTheme="minorHAnsi" w:hAnsiTheme="minorHAnsi" w:cstheme="minorHAnsi"/>
                <w:bCs/>
                <w:iCs/>
                <w:sz w:val="22"/>
                <w:szCs w:val="22"/>
              </w:rPr>
            </w:pPr>
          </w:p>
        </w:tc>
        <w:tc>
          <w:tcPr>
            <w:tcW w:w="1843" w:type="dxa"/>
            <w:tcBorders>
              <w:top w:val="single" w:sz="4" w:space="0" w:color="000000"/>
              <w:left w:val="single" w:sz="4" w:space="0" w:color="000000"/>
              <w:bottom w:val="single" w:sz="4" w:space="0" w:color="000000"/>
              <w:right w:val="single" w:sz="4" w:space="0" w:color="000000"/>
            </w:tcBorders>
          </w:tcPr>
          <w:p w14:paraId="05888CDD" w14:textId="77777777"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April 2020</w:t>
            </w:r>
          </w:p>
        </w:tc>
      </w:tr>
      <w:tr w:rsidR="00F4594C" w:rsidRPr="005B30B8" w14:paraId="1DF85261" w14:textId="77777777" w:rsidTr="00F4594C">
        <w:tc>
          <w:tcPr>
            <w:tcW w:w="562" w:type="dxa"/>
            <w:tcBorders>
              <w:top w:val="single" w:sz="4" w:space="0" w:color="000000"/>
              <w:left w:val="single" w:sz="4" w:space="0" w:color="000000"/>
              <w:bottom w:val="single" w:sz="4" w:space="0" w:color="000000"/>
              <w:right w:val="single" w:sz="4" w:space="0" w:color="000000"/>
            </w:tcBorders>
          </w:tcPr>
          <w:p w14:paraId="6280EDDB" w14:textId="77777777" w:rsidR="00F4594C" w:rsidRPr="001332C0" w:rsidRDefault="00F4594C" w:rsidP="006F090B">
            <w:pPr>
              <w:rPr>
                <w:rFonts w:asciiTheme="minorHAnsi" w:hAnsiTheme="minorHAnsi" w:cstheme="minorHAnsi"/>
                <w:bCs/>
                <w:iCs/>
                <w:sz w:val="22"/>
                <w:szCs w:val="22"/>
              </w:rPr>
            </w:pPr>
            <w:r>
              <w:rPr>
                <w:rFonts w:asciiTheme="minorHAnsi" w:hAnsiTheme="minorHAnsi" w:cstheme="minorHAnsi"/>
                <w:bCs/>
                <w:iCs/>
                <w:sz w:val="22"/>
                <w:szCs w:val="22"/>
              </w:rPr>
              <w:t>7</w:t>
            </w:r>
            <w:r w:rsidRPr="001332C0">
              <w:rPr>
                <w:rFonts w:asciiTheme="minorHAnsi" w:hAnsiTheme="minorHAnsi" w:cstheme="minorHAnsi"/>
                <w:bCs/>
                <w:iCs/>
                <w:sz w:val="22"/>
                <w:szCs w:val="22"/>
              </w:rPr>
              <w:t>.</w:t>
            </w:r>
          </w:p>
        </w:tc>
        <w:tc>
          <w:tcPr>
            <w:tcW w:w="7513" w:type="dxa"/>
            <w:tcBorders>
              <w:top w:val="single" w:sz="4" w:space="0" w:color="000000"/>
              <w:left w:val="single" w:sz="4" w:space="0" w:color="000000"/>
              <w:bottom w:val="single" w:sz="4" w:space="0" w:color="000000"/>
              <w:right w:val="single" w:sz="4" w:space="0" w:color="000000"/>
            </w:tcBorders>
          </w:tcPr>
          <w:p w14:paraId="0731DABB" w14:textId="77777777"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Developing a central research repository, to detail ongoing research, research findings, publications, service developments, best practice and quality initiatives.</w:t>
            </w:r>
          </w:p>
        </w:tc>
        <w:tc>
          <w:tcPr>
            <w:tcW w:w="1843" w:type="dxa"/>
            <w:tcBorders>
              <w:top w:val="single" w:sz="4" w:space="0" w:color="000000"/>
              <w:left w:val="single" w:sz="4" w:space="0" w:color="000000"/>
              <w:bottom w:val="single" w:sz="4" w:space="0" w:color="000000"/>
              <w:right w:val="single" w:sz="4" w:space="0" w:color="000000"/>
            </w:tcBorders>
          </w:tcPr>
          <w:p w14:paraId="1EA0E831" w14:textId="77777777"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June 2020</w:t>
            </w:r>
          </w:p>
        </w:tc>
      </w:tr>
      <w:tr w:rsidR="00F4594C" w:rsidRPr="005B30B8" w14:paraId="6667C43C" w14:textId="77777777" w:rsidTr="00F4594C">
        <w:tc>
          <w:tcPr>
            <w:tcW w:w="562" w:type="dxa"/>
            <w:tcBorders>
              <w:top w:val="single" w:sz="4" w:space="0" w:color="000000"/>
              <w:left w:val="single" w:sz="4" w:space="0" w:color="000000"/>
              <w:bottom w:val="single" w:sz="4" w:space="0" w:color="000000"/>
              <w:right w:val="single" w:sz="4" w:space="0" w:color="000000"/>
            </w:tcBorders>
            <w:hideMark/>
          </w:tcPr>
          <w:p w14:paraId="5A7D1E04" w14:textId="77777777" w:rsidR="00F4594C" w:rsidRPr="001332C0" w:rsidRDefault="00F4594C" w:rsidP="006F090B">
            <w:pPr>
              <w:rPr>
                <w:rFonts w:asciiTheme="minorHAnsi" w:hAnsiTheme="minorHAnsi" w:cstheme="minorHAnsi"/>
                <w:bCs/>
                <w:iCs/>
                <w:sz w:val="22"/>
                <w:szCs w:val="22"/>
              </w:rPr>
            </w:pPr>
            <w:r>
              <w:rPr>
                <w:rFonts w:asciiTheme="minorHAnsi" w:hAnsiTheme="minorHAnsi" w:cstheme="minorHAnsi"/>
                <w:bCs/>
                <w:iCs/>
                <w:sz w:val="22"/>
                <w:szCs w:val="22"/>
              </w:rPr>
              <w:t>8</w:t>
            </w:r>
            <w:r w:rsidRPr="001332C0">
              <w:rPr>
                <w:rFonts w:asciiTheme="minorHAnsi" w:hAnsiTheme="minorHAnsi" w:cstheme="minorHAnsi"/>
                <w:bCs/>
                <w:iCs/>
                <w:sz w:val="22"/>
                <w:szCs w:val="22"/>
              </w:rPr>
              <w:t>.</w:t>
            </w:r>
          </w:p>
        </w:tc>
        <w:tc>
          <w:tcPr>
            <w:tcW w:w="7513" w:type="dxa"/>
            <w:tcBorders>
              <w:top w:val="single" w:sz="4" w:space="0" w:color="000000"/>
              <w:left w:val="single" w:sz="4" w:space="0" w:color="000000"/>
              <w:bottom w:val="single" w:sz="4" w:space="0" w:color="000000"/>
              <w:right w:val="single" w:sz="4" w:space="0" w:color="000000"/>
            </w:tcBorders>
            <w:hideMark/>
          </w:tcPr>
          <w:p w14:paraId="0CF563EF" w14:textId="77777777"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Continue to support Primary Care research activity to i</w:t>
            </w:r>
            <w:r>
              <w:rPr>
                <w:rFonts w:asciiTheme="minorHAnsi" w:hAnsiTheme="minorHAnsi" w:cstheme="minorHAnsi"/>
                <w:bCs/>
                <w:iCs/>
                <w:sz w:val="22"/>
                <w:szCs w:val="22"/>
              </w:rPr>
              <w:t>nclude dentistry and optometry, and secure continued funding from CTMUHB in support of the Primary Care R&amp;D strategy to 2023.</w:t>
            </w:r>
          </w:p>
        </w:tc>
        <w:tc>
          <w:tcPr>
            <w:tcW w:w="1843" w:type="dxa"/>
            <w:tcBorders>
              <w:top w:val="single" w:sz="4" w:space="0" w:color="000000"/>
              <w:left w:val="single" w:sz="4" w:space="0" w:color="000000"/>
              <w:bottom w:val="single" w:sz="4" w:space="0" w:color="000000"/>
              <w:right w:val="single" w:sz="4" w:space="0" w:color="000000"/>
            </w:tcBorders>
            <w:hideMark/>
          </w:tcPr>
          <w:p w14:paraId="3D07918E" w14:textId="77777777"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Ongoing</w:t>
            </w:r>
          </w:p>
        </w:tc>
      </w:tr>
      <w:tr w:rsidR="00F4594C" w:rsidRPr="005B30B8" w14:paraId="6BD090B6" w14:textId="77777777" w:rsidTr="00F4594C">
        <w:tc>
          <w:tcPr>
            <w:tcW w:w="562" w:type="dxa"/>
            <w:tcBorders>
              <w:top w:val="single" w:sz="4" w:space="0" w:color="000000"/>
              <w:left w:val="single" w:sz="4" w:space="0" w:color="000000"/>
              <w:bottom w:val="single" w:sz="4" w:space="0" w:color="000000"/>
              <w:right w:val="single" w:sz="4" w:space="0" w:color="000000"/>
            </w:tcBorders>
          </w:tcPr>
          <w:p w14:paraId="35E00EDC" w14:textId="77777777" w:rsidR="00F4594C" w:rsidRPr="00FA2FFD" w:rsidRDefault="00F4594C" w:rsidP="006F090B">
            <w:pPr>
              <w:rPr>
                <w:rFonts w:asciiTheme="minorHAnsi" w:hAnsiTheme="minorHAnsi" w:cstheme="minorHAnsi"/>
                <w:bCs/>
                <w:iCs/>
                <w:sz w:val="22"/>
              </w:rPr>
            </w:pPr>
            <w:r w:rsidRPr="00FA2FFD">
              <w:rPr>
                <w:rFonts w:asciiTheme="minorHAnsi" w:hAnsiTheme="minorHAnsi" w:cstheme="minorHAnsi"/>
                <w:bCs/>
                <w:iCs/>
                <w:sz w:val="22"/>
              </w:rPr>
              <w:t>9.</w:t>
            </w:r>
          </w:p>
        </w:tc>
        <w:tc>
          <w:tcPr>
            <w:tcW w:w="7513" w:type="dxa"/>
            <w:tcBorders>
              <w:top w:val="single" w:sz="4" w:space="0" w:color="000000"/>
              <w:left w:val="single" w:sz="4" w:space="0" w:color="000000"/>
              <w:bottom w:val="single" w:sz="4" w:space="0" w:color="000000"/>
              <w:right w:val="single" w:sz="4" w:space="0" w:color="000000"/>
            </w:tcBorders>
          </w:tcPr>
          <w:p w14:paraId="6FA6D853" w14:textId="77777777" w:rsidR="00F4594C" w:rsidRPr="00FA2FFD" w:rsidRDefault="00F4594C" w:rsidP="006F090B">
            <w:pPr>
              <w:rPr>
                <w:rFonts w:asciiTheme="minorHAnsi" w:hAnsiTheme="minorHAnsi" w:cstheme="minorHAnsi"/>
                <w:bCs/>
                <w:iCs/>
                <w:sz w:val="22"/>
              </w:rPr>
            </w:pPr>
            <w:r w:rsidRPr="00FA2FFD">
              <w:rPr>
                <w:rFonts w:asciiTheme="minorHAnsi" w:hAnsiTheme="minorHAnsi" w:cstheme="minorHAnsi"/>
                <w:bCs/>
                <w:iCs/>
                <w:sz w:val="22"/>
              </w:rPr>
              <w:t>Support research into new technologies, therapeutics, and procedures (eg. Point of Care testing, Cell and Gene therapy, antibody conjugates etc)</w:t>
            </w:r>
          </w:p>
        </w:tc>
        <w:tc>
          <w:tcPr>
            <w:tcW w:w="1843" w:type="dxa"/>
            <w:tcBorders>
              <w:top w:val="single" w:sz="4" w:space="0" w:color="000000"/>
              <w:left w:val="single" w:sz="4" w:space="0" w:color="000000"/>
              <w:bottom w:val="single" w:sz="4" w:space="0" w:color="000000"/>
              <w:right w:val="single" w:sz="4" w:space="0" w:color="000000"/>
            </w:tcBorders>
          </w:tcPr>
          <w:p w14:paraId="6EC5D026" w14:textId="77777777" w:rsidR="00F4594C" w:rsidRPr="00FA2FFD" w:rsidRDefault="00F4594C" w:rsidP="006F090B">
            <w:pPr>
              <w:rPr>
                <w:rFonts w:asciiTheme="minorHAnsi" w:hAnsiTheme="minorHAnsi" w:cstheme="minorHAnsi"/>
                <w:bCs/>
                <w:iCs/>
                <w:sz w:val="22"/>
              </w:rPr>
            </w:pPr>
          </w:p>
          <w:p w14:paraId="35CF4681" w14:textId="77777777" w:rsidR="00F4594C" w:rsidRPr="00FA2FFD" w:rsidRDefault="00F4594C" w:rsidP="006F090B">
            <w:pPr>
              <w:rPr>
                <w:rFonts w:asciiTheme="minorHAnsi" w:hAnsiTheme="minorHAnsi" w:cstheme="minorHAnsi"/>
                <w:bCs/>
                <w:iCs/>
                <w:sz w:val="22"/>
              </w:rPr>
            </w:pPr>
            <w:r w:rsidRPr="00FA2FFD">
              <w:rPr>
                <w:rFonts w:asciiTheme="minorHAnsi" w:hAnsiTheme="minorHAnsi" w:cstheme="minorHAnsi"/>
                <w:bCs/>
                <w:iCs/>
                <w:sz w:val="22"/>
              </w:rPr>
              <w:t>Ongoing</w:t>
            </w:r>
          </w:p>
        </w:tc>
      </w:tr>
      <w:tr w:rsidR="00F4594C" w:rsidRPr="005B30B8" w14:paraId="1D36E266" w14:textId="77777777" w:rsidTr="00F4594C">
        <w:tc>
          <w:tcPr>
            <w:tcW w:w="562" w:type="dxa"/>
            <w:tcBorders>
              <w:top w:val="single" w:sz="4" w:space="0" w:color="000000"/>
              <w:left w:val="single" w:sz="4" w:space="0" w:color="000000"/>
              <w:bottom w:val="single" w:sz="4" w:space="0" w:color="000000"/>
              <w:right w:val="single" w:sz="4" w:space="0" w:color="000000"/>
            </w:tcBorders>
            <w:hideMark/>
          </w:tcPr>
          <w:p w14:paraId="3B4C8BC1" w14:textId="77777777" w:rsidR="00F4594C" w:rsidRPr="001332C0" w:rsidRDefault="00F4594C" w:rsidP="006F090B">
            <w:pPr>
              <w:rPr>
                <w:rFonts w:asciiTheme="minorHAnsi" w:hAnsiTheme="minorHAnsi" w:cstheme="minorHAnsi"/>
                <w:bCs/>
                <w:iCs/>
                <w:sz w:val="22"/>
                <w:szCs w:val="22"/>
              </w:rPr>
            </w:pPr>
            <w:r>
              <w:rPr>
                <w:rFonts w:asciiTheme="minorHAnsi" w:hAnsiTheme="minorHAnsi" w:cstheme="minorHAnsi"/>
                <w:bCs/>
                <w:iCs/>
                <w:sz w:val="22"/>
                <w:szCs w:val="22"/>
              </w:rPr>
              <w:t>10</w:t>
            </w:r>
            <w:r w:rsidRPr="001332C0">
              <w:rPr>
                <w:rFonts w:asciiTheme="minorHAnsi" w:hAnsiTheme="minorHAnsi" w:cstheme="minorHAnsi"/>
                <w:bCs/>
                <w:iCs/>
                <w:sz w:val="22"/>
                <w:szCs w:val="22"/>
              </w:rPr>
              <w:t>.</w:t>
            </w:r>
          </w:p>
        </w:tc>
        <w:tc>
          <w:tcPr>
            <w:tcW w:w="7513" w:type="dxa"/>
            <w:tcBorders>
              <w:top w:val="single" w:sz="4" w:space="0" w:color="000000"/>
              <w:left w:val="single" w:sz="4" w:space="0" w:color="000000"/>
              <w:bottom w:val="single" w:sz="4" w:space="0" w:color="000000"/>
              <w:right w:val="single" w:sz="4" w:space="0" w:color="000000"/>
            </w:tcBorders>
            <w:hideMark/>
          </w:tcPr>
          <w:p w14:paraId="029A4BDA" w14:textId="77777777"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 xml:space="preserve">Undertake at least 15 commercial studies and recruit at least 50 patients during 2020/21.  </w:t>
            </w:r>
          </w:p>
        </w:tc>
        <w:tc>
          <w:tcPr>
            <w:tcW w:w="1843" w:type="dxa"/>
            <w:tcBorders>
              <w:top w:val="single" w:sz="4" w:space="0" w:color="000000"/>
              <w:left w:val="single" w:sz="4" w:space="0" w:color="000000"/>
              <w:bottom w:val="single" w:sz="4" w:space="0" w:color="000000"/>
              <w:right w:val="single" w:sz="4" w:space="0" w:color="000000"/>
            </w:tcBorders>
            <w:hideMark/>
          </w:tcPr>
          <w:p w14:paraId="745C8A69" w14:textId="77777777"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March 2021</w:t>
            </w:r>
          </w:p>
        </w:tc>
      </w:tr>
      <w:tr w:rsidR="00F4594C" w:rsidRPr="005B30B8" w14:paraId="37A74089" w14:textId="77777777" w:rsidTr="00F4594C">
        <w:tc>
          <w:tcPr>
            <w:tcW w:w="562" w:type="dxa"/>
            <w:tcBorders>
              <w:top w:val="single" w:sz="4" w:space="0" w:color="000000"/>
              <w:left w:val="single" w:sz="4" w:space="0" w:color="000000"/>
              <w:bottom w:val="single" w:sz="4" w:space="0" w:color="000000"/>
              <w:right w:val="single" w:sz="4" w:space="0" w:color="000000"/>
            </w:tcBorders>
            <w:hideMark/>
          </w:tcPr>
          <w:p w14:paraId="5D981E06" w14:textId="77777777" w:rsidR="00F4594C" w:rsidRPr="001332C0" w:rsidRDefault="00F4594C" w:rsidP="006F090B">
            <w:pPr>
              <w:rPr>
                <w:rFonts w:asciiTheme="minorHAnsi" w:hAnsiTheme="minorHAnsi" w:cstheme="minorHAnsi"/>
                <w:bCs/>
                <w:iCs/>
                <w:sz w:val="22"/>
                <w:szCs w:val="22"/>
              </w:rPr>
            </w:pPr>
            <w:r>
              <w:rPr>
                <w:rFonts w:asciiTheme="minorHAnsi" w:hAnsiTheme="minorHAnsi" w:cstheme="minorHAnsi"/>
                <w:bCs/>
                <w:iCs/>
                <w:sz w:val="22"/>
                <w:szCs w:val="22"/>
              </w:rPr>
              <w:t>11</w:t>
            </w:r>
            <w:r w:rsidRPr="001332C0">
              <w:rPr>
                <w:rFonts w:asciiTheme="minorHAnsi" w:hAnsiTheme="minorHAnsi" w:cstheme="minorHAnsi"/>
                <w:bCs/>
                <w:iCs/>
                <w:sz w:val="22"/>
                <w:szCs w:val="22"/>
              </w:rPr>
              <w:t>.</w:t>
            </w:r>
          </w:p>
        </w:tc>
        <w:tc>
          <w:tcPr>
            <w:tcW w:w="7513" w:type="dxa"/>
            <w:tcBorders>
              <w:top w:val="single" w:sz="4" w:space="0" w:color="000000"/>
              <w:left w:val="single" w:sz="4" w:space="0" w:color="000000"/>
              <w:bottom w:val="single" w:sz="4" w:space="0" w:color="000000"/>
              <w:right w:val="single" w:sz="4" w:space="0" w:color="000000"/>
            </w:tcBorders>
            <w:hideMark/>
          </w:tcPr>
          <w:p w14:paraId="2FC4A426" w14:textId="77777777"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 xml:space="preserve">Undertake at least 85 </w:t>
            </w:r>
            <w:r>
              <w:rPr>
                <w:rFonts w:asciiTheme="minorHAnsi" w:hAnsiTheme="minorHAnsi" w:cstheme="minorHAnsi"/>
                <w:bCs/>
                <w:iCs/>
                <w:sz w:val="22"/>
                <w:szCs w:val="22"/>
              </w:rPr>
              <w:t>Clinical Research Portfolio</w:t>
            </w:r>
            <w:r w:rsidRPr="001332C0">
              <w:rPr>
                <w:rFonts w:asciiTheme="minorHAnsi" w:hAnsiTheme="minorHAnsi" w:cstheme="minorHAnsi"/>
                <w:bCs/>
                <w:iCs/>
                <w:sz w:val="22"/>
                <w:szCs w:val="22"/>
              </w:rPr>
              <w:t xml:space="preserve"> studies and recruit at least 3300 patients during 2020/21 </w:t>
            </w:r>
          </w:p>
        </w:tc>
        <w:tc>
          <w:tcPr>
            <w:tcW w:w="1843" w:type="dxa"/>
            <w:tcBorders>
              <w:top w:val="single" w:sz="4" w:space="0" w:color="000000"/>
              <w:left w:val="single" w:sz="4" w:space="0" w:color="000000"/>
              <w:bottom w:val="single" w:sz="4" w:space="0" w:color="000000"/>
              <w:right w:val="single" w:sz="4" w:space="0" w:color="000000"/>
            </w:tcBorders>
            <w:hideMark/>
          </w:tcPr>
          <w:p w14:paraId="25DA02B9" w14:textId="77777777" w:rsidR="00F4594C" w:rsidRPr="001332C0" w:rsidRDefault="00F4594C" w:rsidP="006F090B">
            <w:pPr>
              <w:rPr>
                <w:rFonts w:asciiTheme="minorHAnsi" w:hAnsiTheme="minorHAnsi" w:cstheme="minorHAnsi"/>
                <w:bCs/>
                <w:iCs/>
                <w:sz w:val="22"/>
                <w:szCs w:val="22"/>
              </w:rPr>
            </w:pPr>
            <w:r w:rsidRPr="001332C0">
              <w:rPr>
                <w:rFonts w:asciiTheme="minorHAnsi" w:hAnsiTheme="minorHAnsi" w:cstheme="minorHAnsi"/>
                <w:bCs/>
                <w:iCs/>
                <w:sz w:val="22"/>
                <w:szCs w:val="22"/>
              </w:rPr>
              <w:t>March 2021</w:t>
            </w:r>
          </w:p>
        </w:tc>
      </w:tr>
    </w:tbl>
    <w:p w14:paraId="65DAECC0" w14:textId="2A79B68F" w:rsidR="006C353B" w:rsidRPr="00C268C6" w:rsidRDefault="006C353B" w:rsidP="006C353B">
      <w:pPr>
        <w:pStyle w:val="Heading2"/>
        <w:rPr>
          <w:szCs w:val="22"/>
        </w:rPr>
      </w:pPr>
      <w:bookmarkStart w:id="217" w:name="_Toc25262202"/>
      <w:r w:rsidRPr="00C268C6">
        <w:rPr>
          <w:szCs w:val="22"/>
        </w:rPr>
        <w:t>Information and Communications Technology</w:t>
      </w:r>
      <w:bookmarkEnd w:id="214"/>
      <w:bookmarkEnd w:id="215"/>
      <w:r w:rsidR="000554F6" w:rsidRPr="00C268C6">
        <w:rPr>
          <w:szCs w:val="22"/>
        </w:rPr>
        <w:t xml:space="preserve"> (ICT)</w:t>
      </w:r>
      <w:bookmarkEnd w:id="216"/>
      <w:bookmarkEnd w:id="217"/>
    </w:p>
    <w:p w14:paraId="45F18369" w14:textId="77777777" w:rsidR="00C268C6" w:rsidRPr="00D11076" w:rsidRDefault="00C268C6" w:rsidP="00C268C6">
      <w:pPr>
        <w:rPr>
          <w:rFonts w:asciiTheme="minorHAnsi" w:hAnsiTheme="minorHAnsi"/>
          <w:szCs w:val="22"/>
        </w:rPr>
      </w:pPr>
      <w:r w:rsidRPr="00D11076">
        <w:rPr>
          <w:rFonts w:asciiTheme="minorHAnsi" w:hAnsiTheme="minorHAnsi"/>
          <w:szCs w:val="22"/>
        </w:rPr>
        <w:t xml:space="preserve">Investment in ICT is a critical enabler to allow the Health Board to support the challenge of working across traditional boundaries and </w:t>
      </w:r>
      <w:r>
        <w:rPr>
          <w:rFonts w:asciiTheme="minorHAnsi" w:hAnsiTheme="minorHAnsi"/>
          <w:szCs w:val="22"/>
        </w:rPr>
        <w:t xml:space="preserve">to </w:t>
      </w:r>
      <w:r w:rsidRPr="00D11076">
        <w:rPr>
          <w:rFonts w:asciiTheme="minorHAnsi" w:hAnsiTheme="minorHAnsi"/>
          <w:szCs w:val="22"/>
        </w:rPr>
        <w:t>support integration between the various Health Services and other Public Sector bodies</w:t>
      </w:r>
      <w:r>
        <w:rPr>
          <w:rFonts w:asciiTheme="minorHAnsi" w:hAnsiTheme="minorHAnsi"/>
          <w:szCs w:val="22"/>
        </w:rPr>
        <w:t>.</w:t>
      </w:r>
    </w:p>
    <w:p w14:paraId="5D4B390C" w14:textId="77777777" w:rsidR="00C268C6" w:rsidRPr="00D11076" w:rsidRDefault="00C268C6" w:rsidP="00C268C6">
      <w:pPr>
        <w:rPr>
          <w:rFonts w:asciiTheme="minorHAnsi" w:hAnsiTheme="minorHAnsi"/>
          <w:szCs w:val="22"/>
        </w:rPr>
      </w:pPr>
    </w:p>
    <w:p w14:paraId="29D85C66" w14:textId="77777777" w:rsidR="00C268C6" w:rsidRPr="00D11076" w:rsidRDefault="00C268C6" w:rsidP="00C268C6">
      <w:pPr>
        <w:rPr>
          <w:rFonts w:asciiTheme="minorHAnsi" w:hAnsiTheme="minorHAnsi"/>
          <w:szCs w:val="22"/>
        </w:rPr>
      </w:pPr>
      <w:r w:rsidRPr="00D11076">
        <w:rPr>
          <w:rFonts w:asciiTheme="minorHAnsi" w:hAnsiTheme="minorHAnsi"/>
          <w:szCs w:val="22"/>
        </w:rPr>
        <w:t>Our clinical and ICT strategy enable</w:t>
      </w:r>
      <w:r>
        <w:rPr>
          <w:rFonts w:asciiTheme="minorHAnsi" w:hAnsiTheme="minorHAnsi"/>
          <w:szCs w:val="22"/>
        </w:rPr>
        <w:t>s</w:t>
      </w:r>
      <w:r w:rsidRPr="00D11076">
        <w:rPr>
          <w:rFonts w:asciiTheme="minorHAnsi" w:hAnsiTheme="minorHAnsi"/>
          <w:szCs w:val="22"/>
        </w:rPr>
        <w:t xml:space="preserve"> working across the artificial boundaries of hospital and community.  From the patient perspective, the services should be integrated and seamless, with health, social care, and other professionals being able to work supported by common, reliable, up-to-date information.</w:t>
      </w:r>
      <w:r>
        <w:rPr>
          <w:rFonts w:asciiTheme="minorHAnsi" w:hAnsiTheme="minorHAnsi"/>
          <w:szCs w:val="22"/>
        </w:rPr>
        <w:t xml:space="preserve"> The Health Board’s strategy aligns </w:t>
      </w:r>
      <w:r w:rsidRPr="00D11076">
        <w:rPr>
          <w:rFonts w:asciiTheme="minorHAnsi" w:hAnsiTheme="minorHAnsi"/>
          <w:szCs w:val="22"/>
        </w:rPr>
        <w:t>with national policies and direction such as the Service Redesign, South Wales Plan</w:t>
      </w:r>
      <w:r>
        <w:rPr>
          <w:rFonts w:asciiTheme="minorHAnsi" w:hAnsiTheme="minorHAnsi"/>
          <w:szCs w:val="22"/>
        </w:rPr>
        <w:t>.</w:t>
      </w:r>
    </w:p>
    <w:p w14:paraId="6C5D8321" w14:textId="77777777" w:rsidR="00C268C6" w:rsidRPr="00D11076" w:rsidRDefault="00C268C6" w:rsidP="00C268C6">
      <w:pPr>
        <w:rPr>
          <w:rFonts w:asciiTheme="minorHAnsi" w:hAnsiTheme="minorHAnsi"/>
          <w:szCs w:val="22"/>
        </w:rPr>
      </w:pPr>
    </w:p>
    <w:p w14:paraId="5A7C6D2B" w14:textId="77777777" w:rsidR="00C268C6" w:rsidRPr="00D11076" w:rsidRDefault="00C268C6" w:rsidP="00C268C6">
      <w:pPr>
        <w:rPr>
          <w:rFonts w:asciiTheme="minorHAnsi" w:hAnsiTheme="minorHAnsi"/>
          <w:szCs w:val="22"/>
        </w:rPr>
      </w:pPr>
      <w:r w:rsidRPr="00D11076">
        <w:rPr>
          <w:rFonts w:asciiTheme="minorHAnsi" w:hAnsiTheme="minorHAnsi"/>
          <w:szCs w:val="22"/>
        </w:rPr>
        <w:t xml:space="preserve">For this vision to succeed, as the patient moves physically between care settings and providers, all the appropriate clinical and social care documents must be available at the point of treatment in a timely manner.  Clinical teams must have the tools and ability to work in a more agile manner, access to the records of patients </w:t>
      </w:r>
      <w:r w:rsidRPr="00D11076">
        <w:rPr>
          <w:rFonts w:asciiTheme="minorHAnsi" w:hAnsiTheme="minorHAnsi"/>
          <w:szCs w:val="22"/>
        </w:rPr>
        <w:lastRenderedPageBreak/>
        <w:t>must move from inconvenient paper based and hospital based systems, to electronic records, accessible using the latest technology, and delivered in a manner that does not compromise patient confidentiality and safety.</w:t>
      </w:r>
    </w:p>
    <w:p w14:paraId="7274DEEA" w14:textId="77777777" w:rsidR="00C268C6" w:rsidRPr="00D11076" w:rsidRDefault="00C268C6" w:rsidP="00C268C6">
      <w:pPr>
        <w:rPr>
          <w:rFonts w:asciiTheme="minorHAnsi" w:hAnsiTheme="minorHAnsi"/>
          <w:szCs w:val="22"/>
        </w:rPr>
      </w:pPr>
    </w:p>
    <w:p w14:paraId="08989E1D" w14:textId="77777777" w:rsidR="00C268C6" w:rsidRDefault="00C268C6" w:rsidP="00C268C6">
      <w:pPr>
        <w:rPr>
          <w:rFonts w:asciiTheme="minorHAnsi" w:hAnsiTheme="minorHAnsi"/>
          <w:szCs w:val="22"/>
        </w:rPr>
      </w:pPr>
      <w:r w:rsidRPr="00D11076">
        <w:rPr>
          <w:rFonts w:asciiTheme="minorHAnsi" w:hAnsiTheme="minorHAnsi"/>
          <w:szCs w:val="22"/>
        </w:rPr>
        <w:t>To support this mobile working vision ICT must provide infrastructure and hardware to deliver the clinical record and applications at the point of care.  The era of static working is rapidly becoming replaced with the concept of agile staff based and working where most appropriate to meet clinical needs.</w:t>
      </w:r>
    </w:p>
    <w:p w14:paraId="61F66F9D" w14:textId="77777777" w:rsidR="00C268C6" w:rsidRDefault="00C268C6" w:rsidP="00C268C6">
      <w:pPr>
        <w:rPr>
          <w:rFonts w:asciiTheme="minorHAnsi" w:hAnsiTheme="minorHAnsi"/>
          <w:szCs w:val="22"/>
        </w:rPr>
      </w:pPr>
    </w:p>
    <w:p w14:paraId="4624B2E6" w14:textId="77777777" w:rsidR="00C268C6" w:rsidRPr="00777BC8" w:rsidRDefault="00C268C6" w:rsidP="00C268C6">
      <w:pPr>
        <w:pStyle w:val="ListParagraph"/>
        <w:ind w:left="0"/>
      </w:pPr>
      <w:r w:rsidRPr="00777BC8">
        <w:t xml:space="preserve">ICT needs to enable a Digital workforce but alongside this there is a requirement to both train and support to enable the business change processes to be achieved. </w:t>
      </w:r>
    </w:p>
    <w:p w14:paraId="08F00BBB" w14:textId="77777777" w:rsidR="00C268C6" w:rsidRPr="00D11076" w:rsidRDefault="00C268C6" w:rsidP="00C268C6">
      <w:pPr>
        <w:rPr>
          <w:rFonts w:asciiTheme="minorHAnsi" w:hAnsiTheme="minorHAnsi"/>
          <w:szCs w:val="22"/>
        </w:rPr>
      </w:pPr>
    </w:p>
    <w:p w14:paraId="7BFEC72B" w14:textId="77777777" w:rsidR="00C268C6" w:rsidRPr="00C268C6" w:rsidRDefault="00C268C6" w:rsidP="00C268C6">
      <w:pPr>
        <w:rPr>
          <w:rFonts w:asciiTheme="minorHAnsi" w:hAnsiTheme="minorHAnsi"/>
          <w:szCs w:val="22"/>
        </w:rPr>
      </w:pPr>
      <w:r w:rsidRPr="00D11076">
        <w:rPr>
          <w:rFonts w:asciiTheme="minorHAnsi" w:hAnsiTheme="minorHAnsi"/>
          <w:szCs w:val="22"/>
        </w:rPr>
        <w:t>The clinical application design itself needs to be re thought with the requirement to provide</w:t>
      </w:r>
      <w:r>
        <w:rPr>
          <w:rFonts w:asciiTheme="minorHAnsi" w:hAnsiTheme="minorHAnsi"/>
          <w:szCs w:val="22"/>
        </w:rPr>
        <w:t xml:space="preserve"> information at the point </w:t>
      </w:r>
      <w:r w:rsidRPr="00C268C6">
        <w:rPr>
          <w:rFonts w:asciiTheme="minorHAnsi" w:hAnsiTheme="minorHAnsi"/>
          <w:szCs w:val="22"/>
        </w:rPr>
        <w:t>of care using both tablet and app based designs as opposed to traditional desk top deployments.</w:t>
      </w:r>
    </w:p>
    <w:p w14:paraId="782BAC56" w14:textId="77777777" w:rsidR="00C268C6" w:rsidRPr="00C268C6" w:rsidRDefault="00C268C6" w:rsidP="00C268C6">
      <w:pPr>
        <w:rPr>
          <w:rFonts w:asciiTheme="minorHAnsi" w:hAnsiTheme="minorHAnsi"/>
          <w:szCs w:val="22"/>
        </w:rPr>
      </w:pPr>
      <w:r w:rsidRPr="00C268C6">
        <w:rPr>
          <w:rFonts w:asciiTheme="minorHAnsi" w:hAnsiTheme="minorHAnsi"/>
          <w:szCs w:val="22"/>
        </w:rPr>
        <w:t>The strategic direction as defined in the Informed Health and Care Digital Strategy states:</w:t>
      </w:r>
    </w:p>
    <w:p w14:paraId="49780730" w14:textId="77777777" w:rsidR="00AA4595" w:rsidRPr="00C268C6" w:rsidRDefault="00AA4595" w:rsidP="004D0E81">
      <w:pPr>
        <w:rPr>
          <w:rFonts w:asciiTheme="minorHAnsi" w:hAnsiTheme="minorHAnsi"/>
          <w:szCs w:val="22"/>
        </w:rPr>
      </w:pPr>
    </w:p>
    <w:tbl>
      <w:tblPr>
        <w:tblStyle w:val="TableGrid"/>
        <w:tblW w:w="0" w:type="auto"/>
        <w:jc w:val="center"/>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shd w:val="clear" w:color="auto" w:fill="DBE5F1" w:themeFill="accent1" w:themeFillTint="33"/>
        <w:tblLook w:val="04A0" w:firstRow="1" w:lastRow="0" w:firstColumn="1" w:lastColumn="0" w:noHBand="0" w:noVBand="1"/>
      </w:tblPr>
      <w:tblGrid>
        <w:gridCol w:w="9016"/>
      </w:tblGrid>
      <w:tr w:rsidR="004D0E81" w:rsidRPr="00C268C6" w14:paraId="047F81B3" w14:textId="77777777" w:rsidTr="00A77280">
        <w:trPr>
          <w:jc w:val="center"/>
        </w:trPr>
        <w:tc>
          <w:tcPr>
            <w:tcW w:w="9016" w:type="dxa"/>
            <w:shd w:val="clear" w:color="auto" w:fill="DBE5F1" w:themeFill="accent1" w:themeFillTint="33"/>
          </w:tcPr>
          <w:p w14:paraId="04712AB1" w14:textId="77777777" w:rsidR="004D0E81" w:rsidRPr="00C268C6" w:rsidRDefault="004D0E81" w:rsidP="00A77280">
            <w:pPr>
              <w:rPr>
                <w:rFonts w:asciiTheme="minorHAnsi" w:hAnsiTheme="minorHAnsi"/>
                <w:sz w:val="22"/>
                <w:szCs w:val="22"/>
              </w:rPr>
            </w:pPr>
            <w:r w:rsidRPr="00C268C6">
              <w:rPr>
                <w:rFonts w:asciiTheme="minorHAnsi" w:hAnsiTheme="minorHAnsi"/>
                <w:sz w:val="22"/>
                <w:szCs w:val="22"/>
              </w:rPr>
              <w:t xml:space="preserve">Digital technologies and online services have become part of the daily lives of many people in Wales.  We can bank, shop, work, read, </w:t>
            </w:r>
            <w:proofErr w:type="gramStart"/>
            <w:r w:rsidRPr="00C268C6">
              <w:rPr>
                <w:rFonts w:asciiTheme="minorHAnsi" w:hAnsiTheme="minorHAnsi"/>
                <w:sz w:val="22"/>
                <w:szCs w:val="22"/>
              </w:rPr>
              <w:t>enjoy</w:t>
            </w:r>
            <w:proofErr w:type="gramEnd"/>
            <w:r w:rsidRPr="00C268C6">
              <w:rPr>
                <w:rFonts w:asciiTheme="minorHAnsi" w:hAnsiTheme="minorHAnsi"/>
                <w:sz w:val="22"/>
                <w:szCs w:val="22"/>
              </w:rPr>
              <w:t xml:space="preserve"> music and films, book holidays and stay in touch with friends and colleagues across the globe online, using PCs, tablets and mobile devices such as smartphones.  The Informed Health and Care Digital Strategy outlines how we will use technology and greater access to information to help improve the health and well-being of the people of Wales.  It describes a Wales where citizens have more control of their health and social care, can access their information and interact with services online as easily as they do with other public sectors or other aspects of their lives, promoting equity between those that provide and those that use our services in line with prudent healthcare and sustainable social services.</w:t>
            </w:r>
          </w:p>
        </w:tc>
      </w:tr>
    </w:tbl>
    <w:p w14:paraId="2A9F68C0" w14:textId="77777777" w:rsidR="004D0E81" w:rsidRPr="00C268C6" w:rsidRDefault="004D0E81" w:rsidP="004D0E81">
      <w:pPr>
        <w:rPr>
          <w:rFonts w:asciiTheme="minorHAnsi" w:hAnsiTheme="minorHAnsi"/>
          <w:szCs w:val="22"/>
        </w:rPr>
      </w:pPr>
    </w:p>
    <w:p w14:paraId="4082547C" w14:textId="77777777" w:rsidR="004D0E81" w:rsidRPr="00C268C6" w:rsidRDefault="004D0E81" w:rsidP="004D0E81">
      <w:pPr>
        <w:rPr>
          <w:rFonts w:asciiTheme="minorHAnsi" w:hAnsiTheme="minorHAnsi"/>
          <w:szCs w:val="22"/>
        </w:rPr>
      </w:pPr>
      <w:r w:rsidRPr="00C268C6">
        <w:rPr>
          <w:rFonts w:asciiTheme="minorHAnsi" w:hAnsiTheme="minorHAnsi"/>
          <w:szCs w:val="22"/>
        </w:rPr>
        <w:t xml:space="preserve">The Plan sets out the strategic context, in which ICT is operating, the Health Board requirements for the Directorate in line with the Corporate Business Plans and the collaborative working with NWIS and other Health boards.  </w:t>
      </w:r>
    </w:p>
    <w:p w14:paraId="62EFDE81" w14:textId="6BD3EEEC" w:rsidR="004D0E81" w:rsidRPr="00C268C6" w:rsidRDefault="004D0E81" w:rsidP="004D0E81">
      <w:pPr>
        <w:pStyle w:val="Heading3"/>
        <w:rPr>
          <w:szCs w:val="22"/>
        </w:rPr>
      </w:pPr>
      <w:bookmarkStart w:id="218" w:name="_Toc532464116"/>
      <w:r w:rsidRPr="00C268C6">
        <w:rPr>
          <w:szCs w:val="22"/>
        </w:rPr>
        <w:t>Digital Health Strategy</w:t>
      </w:r>
      <w:bookmarkEnd w:id="218"/>
    </w:p>
    <w:p w14:paraId="2737E351" w14:textId="77777777" w:rsidR="004D0E81" w:rsidRPr="00C268C6" w:rsidRDefault="004D0E81" w:rsidP="004D0E81">
      <w:pPr>
        <w:rPr>
          <w:rFonts w:asciiTheme="minorHAnsi" w:hAnsiTheme="minorHAnsi"/>
          <w:szCs w:val="22"/>
        </w:rPr>
      </w:pPr>
      <w:r w:rsidRPr="00C268C6">
        <w:rPr>
          <w:rFonts w:asciiTheme="minorHAnsi" w:hAnsiTheme="minorHAnsi"/>
          <w:szCs w:val="22"/>
        </w:rPr>
        <w:t>Our Digital Health Vision is:</w:t>
      </w:r>
    </w:p>
    <w:p w14:paraId="261855D9" w14:textId="77777777" w:rsidR="004D0E81" w:rsidRPr="00C268C6" w:rsidRDefault="004D0E81" w:rsidP="004D0E81">
      <w:pPr>
        <w:rPr>
          <w:rFonts w:asciiTheme="minorHAnsi" w:hAnsiTheme="minorHAnsi"/>
          <w:b/>
          <w:szCs w:val="22"/>
        </w:rPr>
      </w:pPr>
    </w:p>
    <w:p w14:paraId="0EA21AE2" w14:textId="77777777" w:rsidR="004D0E81" w:rsidRPr="00C268C6" w:rsidRDefault="004D0E81" w:rsidP="004D0E81">
      <w:pPr>
        <w:shd w:val="clear" w:color="auto" w:fill="DBE5F1" w:themeFill="accent1" w:themeFillTint="33"/>
        <w:jc w:val="center"/>
        <w:rPr>
          <w:rFonts w:asciiTheme="minorHAnsi" w:hAnsiTheme="minorHAnsi"/>
          <w:bCs/>
          <w:i/>
          <w:szCs w:val="22"/>
        </w:rPr>
      </w:pPr>
      <w:r w:rsidRPr="00C268C6">
        <w:rPr>
          <w:rFonts w:asciiTheme="minorHAnsi" w:hAnsiTheme="minorHAnsi"/>
          <w:bCs/>
          <w:i/>
          <w:szCs w:val="22"/>
        </w:rPr>
        <w:t>The Health Board will aim to become a digital exemplar within NHS Wales, as an innovator and early adopter of digital technologies and approaches, to enhance care quality, better engage with patients and deliver sustainable services</w:t>
      </w:r>
    </w:p>
    <w:p w14:paraId="7BEE1AA7" w14:textId="77777777" w:rsidR="004D0E81" w:rsidRPr="00C268C6" w:rsidRDefault="004D0E81" w:rsidP="004D0E81">
      <w:pPr>
        <w:rPr>
          <w:rFonts w:asciiTheme="minorHAnsi" w:hAnsiTheme="minorHAnsi"/>
          <w:szCs w:val="22"/>
        </w:rPr>
      </w:pPr>
    </w:p>
    <w:p w14:paraId="78816E9A" w14:textId="223D11AD" w:rsidR="004D0E81" w:rsidRPr="00C268C6" w:rsidRDefault="004D0E81" w:rsidP="00C268C6">
      <w:pPr>
        <w:rPr>
          <w:rFonts w:asciiTheme="minorHAnsi" w:hAnsiTheme="minorHAnsi"/>
          <w:szCs w:val="22"/>
        </w:rPr>
      </w:pPr>
      <w:r w:rsidRPr="00C268C6">
        <w:rPr>
          <w:rFonts w:asciiTheme="minorHAnsi" w:hAnsiTheme="minorHAnsi"/>
          <w:szCs w:val="22"/>
        </w:rPr>
        <w:t>This vision is supported by a plan to actively participate in and deploy national solutions</w:t>
      </w:r>
      <w:r w:rsidR="00D959CB" w:rsidRPr="00C268C6">
        <w:rPr>
          <w:rFonts w:asciiTheme="minorHAnsi" w:hAnsiTheme="minorHAnsi"/>
          <w:szCs w:val="22"/>
        </w:rPr>
        <w:t xml:space="preserve">.  </w:t>
      </w:r>
      <w:r w:rsidRPr="00C268C6">
        <w:rPr>
          <w:rFonts w:asciiTheme="minorHAnsi" w:hAnsiTheme="minorHAnsi"/>
          <w:szCs w:val="22"/>
        </w:rPr>
        <w:t>The following priori</w:t>
      </w:r>
      <w:r w:rsidR="00C268C6" w:rsidRPr="00C268C6">
        <w:rPr>
          <w:rFonts w:asciiTheme="minorHAnsi" w:hAnsiTheme="minorHAnsi"/>
          <w:szCs w:val="22"/>
        </w:rPr>
        <w:t>ties are identified for 2020/21:</w:t>
      </w:r>
    </w:p>
    <w:p w14:paraId="61D2BE04" w14:textId="77777777" w:rsidR="00C268C6" w:rsidRDefault="00C268C6" w:rsidP="00C268C6">
      <w:pPr>
        <w:rPr>
          <w:rFonts w:asciiTheme="minorHAnsi" w:hAnsiTheme="minorHAnsi"/>
          <w:szCs w:val="22"/>
        </w:rPr>
      </w:pPr>
    </w:p>
    <w:p w14:paraId="6CD07AB7" w14:textId="77777777" w:rsidR="00C268C6" w:rsidRPr="003467A6" w:rsidRDefault="00C268C6" w:rsidP="00C268C6">
      <w:pPr>
        <w:rPr>
          <w:rFonts w:asciiTheme="minorHAnsi" w:hAnsiTheme="minorHAnsi"/>
          <w:b/>
          <w:szCs w:val="22"/>
        </w:rPr>
      </w:pPr>
      <w:r w:rsidRPr="003467A6">
        <w:rPr>
          <w:rFonts w:asciiTheme="minorHAnsi" w:hAnsiTheme="minorHAnsi"/>
          <w:b/>
          <w:szCs w:val="22"/>
        </w:rPr>
        <w:t>Information for You:</w:t>
      </w:r>
    </w:p>
    <w:p w14:paraId="1500A177" w14:textId="77777777" w:rsidR="00C268C6" w:rsidRPr="00C6688B" w:rsidRDefault="00C268C6" w:rsidP="00C268C6">
      <w:pPr>
        <w:pStyle w:val="NormaBullet"/>
      </w:pPr>
      <w:r>
        <w:t>Exploring patient engagement to ensure a digitally empowered population</w:t>
      </w:r>
    </w:p>
    <w:p w14:paraId="543F03C2" w14:textId="77777777" w:rsidR="00C268C6" w:rsidRDefault="00C268C6" w:rsidP="00C268C6">
      <w:pPr>
        <w:pStyle w:val="NormaBullet"/>
      </w:pPr>
      <w:r>
        <w:t xml:space="preserve">Bi directionally communication with the patient so they can </w:t>
      </w:r>
      <w:r w:rsidRPr="0056733A">
        <w:t>contribute to and share information about their health and care</w:t>
      </w:r>
      <w:r>
        <w:t xml:space="preserve"> manage appointments and communication</w:t>
      </w:r>
    </w:p>
    <w:p w14:paraId="108005CB" w14:textId="77777777" w:rsidR="00C268C6" w:rsidRDefault="00C268C6" w:rsidP="00C268C6">
      <w:pPr>
        <w:pStyle w:val="NormaBullet"/>
      </w:pPr>
      <w:r>
        <w:t>PROMS</w:t>
      </w:r>
    </w:p>
    <w:p w14:paraId="1A6AE7D5" w14:textId="77777777" w:rsidR="00C268C6" w:rsidRDefault="00C268C6" w:rsidP="00C268C6">
      <w:pPr>
        <w:pStyle w:val="NormaBullet"/>
      </w:pPr>
      <w:r>
        <w:t>Value based healthcare</w:t>
      </w:r>
    </w:p>
    <w:p w14:paraId="124C9ADE" w14:textId="77777777" w:rsidR="00C268C6" w:rsidRPr="003467A6" w:rsidRDefault="00C268C6" w:rsidP="00C268C6">
      <w:pPr>
        <w:pStyle w:val="NormaBullet"/>
      </w:pPr>
      <w:r w:rsidRPr="003467A6">
        <w:t>Tailor hospital communication to people based on their needs and requirements by recording and making available relevant information</w:t>
      </w:r>
    </w:p>
    <w:p w14:paraId="1FDDEAE0" w14:textId="77777777" w:rsidR="00C268C6" w:rsidRPr="003467A6" w:rsidRDefault="00C268C6" w:rsidP="00C268C6">
      <w:pPr>
        <w:pStyle w:val="NormaBullet"/>
      </w:pPr>
      <w:r w:rsidRPr="003467A6">
        <w:t>Improve access and reduce cost of translation services by making the most of digital applications</w:t>
      </w:r>
    </w:p>
    <w:p w14:paraId="1F885E02" w14:textId="77777777" w:rsidR="00C268C6" w:rsidRPr="003467A6" w:rsidRDefault="00C268C6" w:rsidP="00C268C6">
      <w:pPr>
        <w:pStyle w:val="NormaBullet"/>
      </w:pPr>
      <w:r w:rsidRPr="003467A6">
        <w:t>Extend the availability of freely available wifi across NHS sites as part of a wider co-ordinated approach</w:t>
      </w:r>
    </w:p>
    <w:p w14:paraId="4D8B22E8" w14:textId="77777777" w:rsidR="00C268C6" w:rsidRPr="003467A6" w:rsidRDefault="00C268C6" w:rsidP="00C268C6">
      <w:pPr>
        <w:pStyle w:val="NormaBullet"/>
      </w:pPr>
      <w:r w:rsidRPr="003467A6">
        <w:t>Provide guidance and support to our patients to promote their use and benefit from  digital services</w:t>
      </w:r>
    </w:p>
    <w:p w14:paraId="6DC6F040" w14:textId="77777777" w:rsidR="00C268C6" w:rsidRDefault="00C268C6" w:rsidP="00C268C6">
      <w:pPr>
        <w:pStyle w:val="NormaBullet"/>
        <w:numPr>
          <w:ilvl w:val="0"/>
          <w:numId w:val="0"/>
        </w:numPr>
        <w:ind w:left="360" w:hanging="360"/>
      </w:pPr>
    </w:p>
    <w:p w14:paraId="03FBBC84" w14:textId="77777777" w:rsidR="00C268C6" w:rsidRPr="0056733A" w:rsidRDefault="00C268C6" w:rsidP="00C268C6">
      <w:pPr>
        <w:rPr>
          <w:rFonts w:asciiTheme="minorHAnsi" w:hAnsiTheme="minorHAnsi"/>
          <w:szCs w:val="22"/>
        </w:rPr>
      </w:pPr>
    </w:p>
    <w:p w14:paraId="6B7BD1C4" w14:textId="77777777" w:rsidR="00C268C6" w:rsidRPr="003467A6" w:rsidRDefault="00C268C6" w:rsidP="00C268C6">
      <w:pPr>
        <w:rPr>
          <w:rFonts w:asciiTheme="minorHAnsi" w:hAnsiTheme="minorHAnsi"/>
          <w:b/>
          <w:szCs w:val="22"/>
        </w:rPr>
      </w:pPr>
      <w:r w:rsidRPr="003467A6">
        <w:rPr>
          <w:rFonts w:asciiTheme="minorHAnsi" w:hAnsiTheme="minorHAnsi"/>
          <w:b/>
          <w:szCs w:val="22"/>
        </w:rPr>
        <w:t xml:space="preserve">Supporting the Professional: </w:t>
      </w:r>
    </w:p>
    <w:p w14:paraId="082B46CA" w14:textId="77777777" w:rsidR="00C268C6" w:rsidRDefault="00C268C6" w:rsidP="003B1653">
      <w:pPr>
        <w:pStyle w:val="ListParagraph"/>
        <w:numPr>
          <w:ilvl w:val="0"/>
          <w:numId w:val="87"/>
        </w:numPr>
        <w:rPr>
          <w:rFonts w:asciiTheme="minorHAnsi" w:hAnsiTheme="minorHAnsi"/>
          <w:bCs/>
          <w:szCs w:val="22"/>
        </w:rPr>
      </w:pPr>
      <w:r w:rsidRPr="004D58B1">
        <w:rPr>
          <w:rFonts w:asciiTheme="minorHAnsi" w:hAnsiTheme="minorHAnsi"/>
          <w:bCs/>
          <w:szCs w:val="22"/>
        </w:rPr>
        <w:t>Integrated digital health &amp; care record</w:t>
      </w:r>
    </w:p>
    <w:p w14:paraId="7F476D26" w14:textId="77777777" w:rsidR="00C268C6" w:rsidRDefault="00C268C6" w:rsidP="003B1653">
      <w:pPr>
        <w:pStyle w:val="NormaBullet"/>
        <w:numPr>
          <w:ilvl w:val="1"/>
          <w:numId w:val="88"/>
        </w:numPr>
        <w:ind w:left="709"/>
      </w:pPr>
      <w:r w:rsidRPr="00D11076">
        <w:lastRenderedPageBreak/>
        <w:t>Deployment of Digital Medical Records</w:t>
      </w:r>
    </w:p>
    <w:p w14:paraId="72334CBA" w14:textId="77777777" w:rsidR="00C268C6" w:rsidRDefault="00C268C6" w:rsidP="003B1653">
      <w:pPr>
        <w:pStyle w:val="NormaBullet"/>
        <w:numPr>
          <w:ilvl w:val="2"/>
          <w:numId w:val="88"/>
        </w:numPr>
        <w:ind w:left="1134"/>
      </w:pPr>
      <w:r>
        <w:t>On behalf of HBs and Trusts establish a strategic and tactical approach for digitising the patient record</w:t>
      </w:r>
    </w:p>
    <w:p w14:paraId="35137A93" w14:textId="77777777" w:rsidR="00C268C6" w:rsidRDefault="00C268C6" w:rsidP="003B1653">
      <w:pPr>
        <w:pStyle w:val="ListParagraph"/>
        <w:numPr>
          <w:ilvl w:val="0"/>
          <w:numId w:val="87"/>
        </w:numPr>
        <w:rPr>
          <w:rFonts w:asciiTheme="minorHAnsi" w:hAnsiTheme="minorHAnsi"/>
          <w:bCs/>
          <w:szCs w:val="22"/>
        </w:rPr>
      </w:pPr>
      <w:r w:rsidRPr="004D58B1">
        <w:rPr>
          <w:rFonts w:asciiTheme="minorHAnsi" w:hAnsiTheme="minorHAnsi"/>
          <w:bCs/>
          <w:szCs w:val="22"/>
        </w:rPr>
        <w:t>Maximising use of existing systems</w:t>
      </w:r>
    </w:p>
    <w:p w14:paraId="47522EBF" w14:textId="77777777" w:rsidR="00C268C6" w:rsidRDefault="00C268C6" w:rsidP="003B1653">
      <w:pPr>
        <w:pStyle w:val="NormaBullet"/>
        <w:numPr>
          <w:ilvl w:val="0"/>
          <w:numId w:val="87"/>
        </w:numPr>
      </w:pPr>
      <w:r w:rsidRPr="00D11076">
        <w:t>Deployment of the Welsh Emergency Department System</w:t>
      </w:r>
      <w:r>
        <w:t>.</w:t>
      </w:r>
    </w:p>
    <w:p w14:paraId="36D82AF5" w14:textId="77777777" w:rsidR="00C268C6" w:rsidRDefault="00C268C6" w:rsidP="003B1653">
      <w:pPr>
        <w:pStyle w:val="ListParagraph"/>
        <w:numPr>
          <w:ilvl w:val="0"/>
          <w:numId w:val="87"/>
        </w:numPr>
        <w:rPr>
          <w:rFonts w:asciiTheme="minorHAnsi" w:hAnsiTheme="minorHAnsi"/>
          <w:bCs/>
          <w:szCs w:val="22"/>
        </w:rPr>
      </w:pPr>
      <w:r>
        <w:rPr>
          <w:rFonts w:asciiTheme="minorHAnsi" w:hAnsiTheme="minorHAnsi"/>
          <w:bCs/>
          <w:szCs w:val="22"/>
        </w:rPr>
        <w:t>Decoupling of Bridgend from Swansea Bay with consideration as to when is eth appropriate timing</w:t>
      </w:r>
    </w:p>
    <w:p w14:paraId="1DF4BD1E" w14:textId="77777777" w:rsidR="00C268C6" w:rsidRPr="00E913F9" w:rsidRDefault="00C268C6" w:rsidP="003B1653">
      <w:pPr>
        <w:numPr>
          <w:ilvl w:val="0"/>
          <w:numId w:val="89"/>
        </w:numPr>
        <w:rPr>
          <w:rFonts w:asciiTheme="minorHAnsi" w:hAnsiTheme="minorHAnsi"/>
          <w:szCs w:val="22"/>
        </w:rPr>
      </w:pPr>
      <w:r w:rsidRPr="0056733A">
        <w:rPr>
          <w:rFonts w:asciiTheme="minorHAnsi" w:hAnsiTheme="minorHAnsi"/>
          <w:szCs w:val="22"/>
        </w:rPr>
        <w:t>Enable health and social care to undertake joint decision making and</w:t>
      </w:r>
      <w:r>
        <w:rPr>
          <w:rFonts w:asciiTheme="minorHAnsi" w:hAnsiTheme="minorHAnsi"/>
          <w:szCs w:val="22"/>
        </w:rPr>
        <w:t xml:space="preserve"> </w:t>
      </w:r>
      <w:r w:rsidRPr="0056733A">
        <w:rPr>
          <w:rFonts w:asciiTheme="minorHAnsi" w:hAnsiTheme="minorHAnsi"/>
          <w:szCs w:val="22"/>
        </w:rPr>
        <w:t>provide joined-up care, benefiting everyone who receives health services, care and support</w:t>
      </w:r>
    </w:p>
    <w:p w14:paraId="5107DFA5" w14:textId="77777777" w:rsidR="00C268C6" w:rsidRPr="0056733A" w:rsidRDefault="00C268C6" w:rsidP="00C268C6">
      <w:pPr>
        <w:rPr>
          <w:rFonts w:asciiTheme="minorHAnsi" w:hAnsiTheme="minorHAnsi"/>
          <w:szCs w:val="22"/>
        </w:rPr>
      </w:pPr>
    </w:p>
    <w:p w14:paraId="361B9C2D" w14:textId="77777777" w:rsidR="00C268C6" w:rsidRPr="003467A6" w:rsidRDefault="00C268C6" w:rsidP="00C268C6">
      <w:pPr>
        <w:rPr>
          <w:rFonts w:asciiTheme="minorHAnsi" w:hAnsiTheme="minorHAnsi"/>
          <w:b/>
          <w:szCs w:val="22"/>
        </w:rPr>
      </w:pPr>
      <w:r w:rsidRPr="003467A6">
        <w:rPr>
          <w:rFonts w:asciiTheme="minorHAnsi" w:hAnsiTheme="minorHAnsi"/>
          <w:b/>
          <w:szCs w:val="22"/>
        </w:rPr>
        <w:t>Improvement &amp; Innovation:</w:t>
      </w:r>
    </w:p>
    <w:p w14:paraId="5C433F04" w14:textId="77777777" w:rsidR="00C268C6" w:rsidRPr="009B2D8B" w:rsidRDefault="00C268C6" w:rsidP="00C268C6">
      <w:pPr>
        <w:rPr>
          <w:rFonts w:asciiTheme="minorHAnsi" w:hAnsiTheme="minorHAnsi"/>
          <w:bCs/>
          <w:szCs w:val="22"/>
        </w:rPr>
      </w:pPr>
      <w:r w:rsidRPr="009B2D8B">
        <w:rPr>
          <w:rFonts w:asciiTheme="minorHAnsi" w:hAnsiTheme="minorHAnsi"/>
          <w:bCs/>
          <w:szCs w:val="22"/>
        </w:rPr>
        <w:t>Data to Knowledge</w:t>
      </w:r>
    </w:p>
    <w:p w14:paraId="1AD56009" w14:textId="77777777" w:rsidR="00C268C6" w:rsidRPr="009B2D8B" w:rsidRDefault="00C268C6" w:rsidP="003B1653">
      <w:pPr>
        <w:numPr>
          <w:ilvl w:val="0"/>
          <w:numId w:val="90"/>
        </w:numPr>
        <w:rPr>
          <w:rFonts w:asciiTheme="minorHAnsi" w:hAnsiTheme="minorHAnsi"/>
          <w:szCs w:val="22"/>
        </w:rPr>
      </w:pPr>
      <w:r w:rsidRPr="009B2D8B">
        <w:rPr>
          <w:rFonts w:asciiTheme="minorHAnsi" w:hAnsiTheme="minorHAnsi"/>
          <w:szCs w:val="22"/>
        </w:rPr>
        <w:t>Provide safe and effective joint working between different organisations &amp; with citizens directly</w:t>
      </w:r>
    </w:p>
    <w:p w14:paraId="06D1FC1C" w14:textId="77777777" w:rsidR="00C268C6" w:rsidRPr="009B2D8B" w:rsidRDefault="00C268C6" w:rsidP="003B1653">
      <w:pPr>
        <w:numPr>
          <w:ilvl w:val="0"/>
          <w:numId w:val="90"/>
        </w:numPr>
        <w:rPr>
          <w:rFonts w:asciiTheme="minorHAnsi" w:hAnsiTheme="minorHAnsi"/>
          <w:szCs w:val="22"/>
        </w:rPr>
      </w:pPr>
      <w:r w:rsidRPr="009B2D8B">
        <w:rPr>
          <w:rFonts w:asciiTheme="minorHAnsi" w:hAnsiTheme="minorHAnsi"/>
          <w:szCs w:val="22"/>
        </w:rPr>
        <w:t>Assist clinicians at every level to make better decisions &amp; deliver better outcomes</w:t>
      </w:r>
    </w:p>
    <w:p w14:paraId="40C1728C" w14:textId="77777777" w:rsidR="00C268C6" w:rsidRPr="00C268C6" w:rsidRDefault="00C268C6" w:rsidP="003B1653">
      <w:pPr>
        <w:numPr>
          <w:ilvl w:val="0"/>
          <w:numId w:val="90"/>
        </w:numPr>
        <w:rPr>
          <w:rFonts w:asciiTheme="minorHAnsi" w:hAnsiTheme="minorHAnsi"/>
          <w:szCs w:val="22"/>
        </w:rPr>
      </w:pPr>
      <w:r w:rsidRPr="009B2D8B">
        <w:rPr>
          <w:rFonts w:asciiTheme="minorHAnsi" w:hAnsiTheme="minorHAnsi"/>
          <w:szCs w:val="22"/>
        </w:rPr>
        <w:t xml:space="preserve">Improve </w:t>
      </w:r>
      <w:r w:rsidRPr="00C268C6">
        <w:rPr>
          <w:rFonts w:asciiTheme="minorHAnsi" w:hAnsiTheme="minorHAnsi"/>
          <w:szCs w:val="22"/>
        </w:rPr>
        <w:t>the understanding and management of how services work together &amp; demand for those services</w:t>
      </w:r>
    </w:p>
    <w:p w14:paraId="48E3AF8E" w14:textId="77777777" w:rsidR="00C268C6" w:rsidRPr="00C268C6" w:rsidRDefault="00C268C6" w:rsidP="00DC7B02">
      <w:pPr>
        <w:rPr>
          <w:szCs w:val="22"/>
        </w:rPr>
      </w:pPr>
    </w:p>
    <w:p w14:paraId="0378105F" w14:textId="4C948401" w:rsidR="004D0E81" w:rsidRPr="00C268C6" w:rsidRDefault="004D0E81" w:rsidP="00A8462F">
      <w:pPr>
        <w:pStyle w:val="NormaBullet"/>
        <w:numPr>
          <w:ilvl w:val="0"/>
          <w:numId w:val="0"/>
        </w:numPr>
        <w:ind w:left="360" w:hanging="360"/>
        <w:rPr>
          <w:b/>
          <w:szCs w:val="22"/>
        </w:rPr>
      </w:pPr>
      <w:r w:rsidRPr="00C268C6">
        <w:rPr>
          <w:b/>
          <w:szCs w:val="22"/>
        </w:rPr>
        <w:t>Bridgend Boundary Change</w:t>
      </w:r>
    </w:p>
    <w:p w14:paraId="604BE8AF" w14:textId="77777777" w:rsidR="00C268C6" w:rsidRPr="00D11076" w:rsidRDefault="00C268C6" w:rsidP="00C268C6">
      <w:pPr>
        <w:rPr>
          <w:rFonts w:asciiTheme="minorHAnsi" w:hAnsiTheme="minorHAnsi"/>
          <w:szCs w:val="22"/>
        </w:rPr>
      </w:pPr>
      <w:r w:rsidRPr="00C268C6">
        <w:rPr>
          <w:rFonts w:asciiTheme="minorHAnsi" w:hAnsiTheme="minorHAnsi"/>
          <w:szCs w:val="22"/>
        </w:rPr>
        <w:t>The boundary change has profound implications for ICT.  Over the years, ABMUHB have built an enterprise ICT solution of which B</w:t>
      </w:r>
      <w:r w:rsidRPr="00D11076">
        <w:rPr>
          <w:rFonts w:asciiTheme="minorHAnsi" w:hAnsiTheme="minorHAnsi"/>
          <w:szCs w:val="22"/>
        </w:rPr>
        <w:t>ridgend is an integral part.  This enterprise must be untangled and incorporated i</w:t>
      </w:r>
      <w:r>
        <w:rPr>
          <w:rFonts w:asciiTheme="minorHAnsi" w:hAnsiTheme="minorHAnsi"/>
          <w:szCs w:val="22"/>
        </w:rPr>
        <w:t>nto the Health Board enterprise. The alternative is to investigate what actually needs decoupling and what can either wait until deployment of the new National System or what can be used in a collaborative manner between the 2 Health Boards.</w:t>
      </w:r>
    </w:p>
    <w:p w14:paraId="5B2A61EE" w14:textId="77777777" w:rsidR="00C268C6" w:rsidRPr="00D11076" w:rsidRDefault="00C268C6" w:rsidP="00C268C6">
      <w:pPr>
        <w:rPr>
          <w:rFonts w:asciiTheme="minorHAnsi" w:hAnsiTheme="minorHAnsi"/>
          <w:szCs w:val="22"/>
        </w:rPr>
      </w:pPr>
    </w:p>
    <w:p w14:paraId="03FBD7EF" w14:textId="77777777" w:rsidR="00C268C6" w:rsidRPr="00D11076" w:rsidRDefault="00C268C6" w:rsidP="00C268C6">
      <w:pPr>
        <w:rPr>
          <w:rFonts w:asciiTheme="minorHAnsi" w:hAnsiTheme="minorHAnsi"/>
          <w:szCs w:val="22"/>
        </w:rPr>
      </w:pPr>
      <w:r>
        <w:rPr>
          <w:rFonts w:asciiTheme="minorHAnsi" w:hAnsiTheme="minorHAnsi"/>
          <w:szCs w:val="22"/>
        </w:rPr>
        <w:t>The decision as to which route is take</w:t>
      </w:r>
      <w:r w:rsidRPr="00D11076">
        <w:rPr>
          <w:rFonts w:asciiTheme="minorHAnsi" w:hAnsiTheme="minorHAnsi"/>
          <w:szCs w:val="22"/>
        </w:rPr>
        <w:t xml:space="preserve"> is a key dependency for changes to patient pathways and the reconfiguration of services in the area.  As noted by the Chief Clinical Information Officer, this is a patient safety risk as clinicians rely on having timely and accurate access to electronic information to make treatment decisions.</w:t>
      </w:r>
    </w:p>
    <w:p w14:paraId="6F979196" w14:textId="77777777" w:rsidR="00C268C6" w:rsidRPr="00D11076" w:rsidRDefault="00C268C6" w:rsidP="00C268C6">
      <w:pPr>
        <w:rPr>
          <w:rFonts w:asciiTheme="minorHAnsi" w:hAnsiTheme="minorHAnsi"/>
          <w:szCs w:val="22"/>
        </w:rPr>
      </w:pPr>
    </w:p>
    <w:p w14:paraId="24B91650" w14:textId="77777777" w:rsidR="00C268C6" w:rsidRPr="00D11076" w:rsidRDefault="00C268C6" w:rsidP="00C268C6">
      <w:pPr>
        <w:rPr>
          <w:rFonts w:asciiTheme="minorHAnsi" w:hAnsiTheme="minorHAnsi"/>
          <w:szCs w:val="22"/>
        </w:rPr>
      </w:pPr>
      <w:r w:rsidRPr="00D11076">
        <w:rPr>
          <w:rFonts w:asciiTheme="minorHAnsi" w:hAnsiTheme="minorHAnsi"/>
          <w:szCs w:val="22"/>
        </w:rPr>
        <w:t xml:space="preserve">On 1 April 2019 the aim </w:t>
      </w:r>
      <w:r>
        <w:rPr>
          <w:rFonts w:asciiTheme="minorHAnsi" w:hAnsiTheme="minorHAnsi"/>
          <w:szCs w:val="22"/>
        </w:rPr>
        <w:t xml:space="preserve">was achieved </w:t>
      </w:r>
      <w:r w:rsidRPr="00D11076">
        <w:rPr>
          <w:rFonts w:asciiTheme="minorHAnsi" w:hAnsiTheme="minorHAnsi"/>
          <w:szCs w:val="22"/>
        </w:rPr>
        <w:t>whereby Princess of Wales and any of the other sites involved in the boundary change continue</w:t>
      </w:r>
      <w:r>
        <w:rPr>
          <w:rFonts w:asciiTheme="minorHAnsi" w:hAnsiTheme="minorHAnsi"/>
          <w:szCs w:val="22"/>
        </w:rPr>
        <w:t>d</w:t>
      </w:r>
      <w:r w:rsidRPr="00D11076">
        <w:rPr>
          <w:rFonts w:asciiTheme="minorHAnsi" w:hAnsiTheme="minorHAnsi"/>
          <w:szCs w:val="22"/>
        </w:rPr>
        <w:t xml:space="preserve"> business as usual.  This </w:t>
      </w:r>
      <w:r>
        <w:rPr>
          <w:rFonts w:asciiTheme="minorHAnsi" w:hAnsiTheme="minorHAnsi"/>
          <w:szCs w:val="22"/>
        </w:rPr>
        <w:t>was</w:t>
      </w:r>
      <w:r w:rsidRPr="00D11076">
        <w:rPr>
          <w:rFonts w:asciiTheme="minorHAnsi" w:hAnsiTheme="minorHAnsi"/>
          <w:szCs w:val="22"/>
        </w:rPr>
        <w:t xml:space="preserve"> achieved by leaving the existing systems largely in place and creating Service Level Agreements with ABMUHB for their continued support.</w:t>
      </w:r>
    </w:p>
    <w:p w14:paraId="6B99C769" w14:textId="77777777" w:rsidR="00C268C6" w:rsidRPr="00D11076" w:rsidRDefault="00C268C6" w:rsidP="00C268C6">
      <w:pPr>
        <w:rPr>
          <w:rFonts w:asciiTheme="minorHAnsi" w:hAnsiTheme="minorHAnsi"/>
          <w:szCs w:val="22"/>
        </w:rPr>
      </w:pPr>
    </w:p>
    <w:p w14:paraId="05840ADF" w14:textId="77777777" w:rsidR="00C268C6" w:rsidRDefault="00C268C6" w:rsidP="00C268C6">
      <w:pPr>
        <w:rPr>
          <w:rFonts w:asciiTheme="minorHAnsi" w:hAnsiTheme="minorHAnsi"/>
          <w:szCs w:val="22"/>
        </w:rPr>
      </w:pPr>
      <w:r>
        <w:rPr>
          <w:rFonts w:asciiTheme="minorHAnsi" w:hAnsiTheme="minorHAnsi"/>
          <w:szCs w:val="22"/>
        </w:rPr>
        <w:t>During 2019 a Business Case has been developed. The delivery of the preferred options will enable the following benefits:</w:t>
      </w:r>
    </w:p>
    <w:p w14:paraId="35A1CD14" w14:textId="77777777" w:rsidR="00C268C6" w:rsidRPr="00A8462F" w:rsidRDefault="00C268C6" w:rsidP="003B1653">
      <w:pPr>
        <w:pStyle w:val="ListParagraph"/>
        <w:numPr>
          <w:ilvl w:val="0"/>
          <w:numId w:val="32"/>
        </w:numPr>
        <w:ind w:left="357" w:hanging="357"/>
        <w:rPr>
          <w:rFonts w:asciiTheme="minorHAnsi" w:hAnsiTheme="minorHAnsi"/>
          <w:szCs w:val="22"/>
        </w:rPr>
      </w:pPr>
      <w:r w:rsidRPr="00A8462F">
        <w:rPr>
          <w:rFonts w:asciiTheme="minorHAnsi" w:hAnsiTheme="minorHAnsi"/>
          <w:szCs w:val="22"/>
        </w:rPr>
        <w:t>Single way of working across the Health Board with associate efficiency benefits</w:t>
      </w:r>
      <w:r>
        <w:rPr>
          <w:rFonts w:asciiTheme="minorHAnsi" w:hAnsiTheme="minorHAnsi"/>
          <w:szCs w:val="22"/>
        </w:rPr>
        <w:t>.</w:t>
      </w:r>
    </w:p>
    <w:p w14:paraId="1B45375C" w14:textId="77777777" w:rsidR="00C268C6" w:rsidRPr="00A8462F" w:rsidRDefault="00C268C6" w:rsidP="003B1653">
      <w:pPr>
        <w:pStyle w:val="ListParagraph"/>
        <w:numPr>
          <w:ilvl w:val="0"/>
          <w:numId w:val="32"/>
        </w:numPr>
        <w:ind w:left="357" w:hanging="357"/>
        <w:rPr>
          <w:rFonts w:asciiTheme="minorHAnsi" w:hAnsiTheme="minorHAnsi"/>
          <w:szCs w:val="22"/>
        </w:rPr>
      </w:pPr>
      <w:r w:rsidRPr="00A8462F">
        <w:rPr>
          <w:rFonts w:asciiTheme="minorHAnsi" w:hAnsiTheme="minorHAnsi"/>
          <w:szCs w:val="22"/>
        </w:rPr>
        <w:t>Patients will receive safe treatment at all locations within the Health Board</w:t>
      </w:r>
      <w:r>
        <w:rPr>
          <w:rFonts w:asciiTheme="minorHAnsi" w:hAnsiTheme="minorHAnsi"/>
          <w:szCs w:val="22"/>
        </w:rPr>
        <w:t>.</w:t>
      </w:r>
    </w:p>
    <w:p w14:paraId="496975A6" w14:textId="77777777" w:rsidR="00C268C6" w:rsidRPr="00A8462F" w:rsidRDefault="00C268C6" w:rsidP="003B1653">
      <w:pPr>
        <w:pStyle w:val="ListParagraph"/>
        <w:numPr>
          <w:ilvl w:val="0"/>
          <w:numId w:val="32"/>
        </w:numPr>
        <w:ind w:left="357" w:hanging="357"/>
        <w:rPr>
          <w:rFonts w:asciiTheme="minorHAnsi" w:hAnsiTheme="minorHAnsi"/>
          <w:szCs w:val="22"/>
        </w:rPr>
      </w:pPr>
      <w:r w:rsidRPr="00A8462F">
        <w:rPr>
          <w:rFonts w:asciiTheme="minorHAnsi" w:hAnsiTheme="minorHAnsi"/>
          <w:szCs w:val="22"/>
        </w:rPr>
        <w:t>Lower ICT cost through removal of redundant systems</w:t>
      </w:r>
      <w:r>
        <w:rPr>
          <w:rFonts w:asciiTheme="minorHAnsi" w:hAnsiTheme="minorHAnsi"/>
          <w:szCs w:val="22"/>
        </w:rPr>
        <w:t>.</w:t>
      </w:r>
    </w:p>
    <w:p w14:paraId="6DD3481B" w14:textId="77777777" w:rsidR="00C268C6" w:rsidRPr="00D11076" w:rsidRDefault="00C268C6" w:rsidP="00C268C6">
      <w:pPr>
        <w:rPr>
          <w:rFonts w:asciiTheme="minorHAnsi" w:hAnsiTheme="minorHAnsi"/>
          <w:szCs w:val="22"/>
        </w:rPr>
      </w:pPr>
    </w:p>
    <w:p w14:paraId="5D8215BD" w14:textId="77777777" w:rsidR="00C268C6" w:rsidRPr="00D11076" w:rsidRDefault="00C268C6" w:rsidP="00C268C6">
      <w:pPr>
        <w:rPr>
          <w:rFonts w:asciiTheme="minorHAnsi" w:hAnsiTheme="minorHAnsi"/>
          <w:szCs w:val="22"/>
        </w:rPr>
      </w:pPr>
      <w:r w:rsidRPr="00D11076">
        <w:rPr>
          <w:rFonts w:asciiTheme="minorHAnsi" w:hAnsiTheme="minorHAnsi"/>
          <w:szCs w:val="22"/>
        </w:rPr>
        <w:t>Initial cost estimates for the ICT migration are</w:t>
      </w:r>
      <w:r>
        <w:rPr>
          <w:rFonts w:asciiTheme="minorHAnsi" w:hAnsiTheme="minorHAnsi"/>
          <w:szCs w:val="22"/>
        </w:rPr>
        <w:t xml:space="preserve"> under review for submission to Welsh Government for consideration.</w:t>
      </w:r>
    </w:p>
    <w:p w14:paraId="6F64CEF7" w14:textId="77777777" w:rsidR="004D0E81" w:rsidRPr="00C268C6" w:rsidRDefault="004D0E81" w:rsidP="004D0E81">
      <w:pPr>
        <w:ind w:left="360"/>
        <w:rPr>
          <w:rFonts w:asciiTheme="minorHAnsi" w:hAnsiTheme="minorHAnsi"/>
          <w:szCs w:val="22"/>
        </w:rPr>
      </w:pPr>
    </w:p>
    <w:p w14:paraId="0964BA3E" w14:textId="77777777" w:rsidR="004D0E81" w:rsidRPr="00C268C6" w:rsidRDefault="004D0E81" w:rsidP="00A8462F">
      <w:pPr>
        <w:pStyle w:val="NormaBullet"/>
        <w:numPr>
          <w:ilvl w:val="0"/>
          <w:numId w:val="0"/>
        </w:numPr>
        <w:ind w:left="360" w:hanging="360"/>
        <w:rPr>
          <w:b/>
          <w:szCs w:val="22"/>
        </w:rPr>
      </w:pPr>
      <w:r w:rsidRPr="00C268C6">
        <w:rPr>
          <w:b/>
          <w:szCs w:val="22"/>
        </w:rPr>
        <w:t>Maximising Existing Assets</w:t>
      </w:r>
    </w:p>
    <w:p w14:paraId="37965E46" w14:textId="77777777" w:rsidR="00C268C6" w:rsidRPr="00C268C6" w:rsidRDefault="00C268C6" w:rsidP="00C268C6">
      <w:pPr>
        <w:rPr>
          <w:rFonts w:asciiTheme="minorHAnsi" w:hAnsiTheme="minorHAnsi"/>
          <w:szCs w:val="22"/>
        </w:rPr>
      </w:pPr>
      <w:r w:rsidRPr="00C268C6">
        <w:rPr>
          <w:rFonts w:asciiTheme="minorHAnsi" w:hAnsiTheme="minorHAnsi"/>
          <w:szCs w:val="22"/>
        </w:rPr>
        <w:t xml:space="preserve">Health Board ICT will seek to make the best use of existing national solutions, many of which are already deployed in the Health Board but which </w:t>
      </w:r>
      <w:r w:rsidRPr="00D11076">
        <w:rPr>
          <w:rFonts w:asciiTheme="minorHAnsi" w:hAnsiTheme="minorHAnsi"/>
          <w:szCs w:val="22"/>
        </w:rPr>
        <w:t xml:space="preserve">could be better utilised to improve care and efficiency.  The following table </w:t>
      </w:r>
      <w:r w:rsidRPr="00C268C6">
        <w:rPr>
          <w:rFonts w:asciiTheme="minorHAnsi" w:hAnsiTheme="minorHAnsi"/>
          <w:szCs w:val="22"/>
        </w:rPr>
        <w:t>indicates our objectives.</w:t>
      </w:r>
    </w:p>
    <w:p w14:paraId="08FB467B" w14:textId="77777777" w:rsidR="004D0E81" w:rsidRPr="00C268C6" w:rsidRDefault="004D0E81" w:rsidP="004D0E81">
      <w:pPr>
        <w:rPr>
          <w:rFonts w:asciiTheme="minorHAnsi" w:hAnsiTheme="minorHAnsi"/>
          <w:szCs w:val="22"/>
        </w:rPr>
      </w:pPr>
    </w:p>
    <w:p w14:paraId="2ACB81A0" w14:textId="77777777" w:rsidR="004D0E81" w:rsidRPr="00C268C6" w:rsidRDefault="004D0E81" w:rsidP="004D0E81">
      <w:pPr>
        <w:pStyle w:val="Caption"/>
        <w:keepNext/>
        <w:spacing w:after="0"/>
        <w:rPr>
          <w:color w:val="auto"/>
          <w:sz w:val="22"/>
          <w:szCs w:val="22"/>
        </w:rPr>
      </w:pPr>
      <w:r w:rsidRPr="00C268C6">
        <w:rPr>
          <w:color w:val="auto"/>
          <w:sz w:val="22"/>
          <w:szCs w:val="22"/>
        </w:rPr>
        <w:t xml:space="preserve">Table </w:t>
      </w:r>
      <w:r w:rsidRPr="00C268C6">
        <w:rPr>
          <w:noProof/>
          <w:color w:val="auto"/>
          <w:sz w:val="22"/>
          <w:szCs w:val="22"/>
        </w:rPr>
        <w:fldChar w:fldCharType="begin"/>
      </w:r>
      <w:r w:rsidRPr="00C268C6">
        <w:rPr>
          <w:noProof/>
          <w:color w:val="auto"/>
          <w:sz w:val="22"/>
          <w:szCs w:val="22"/>
        </w:rPr>
        <w:instrText xml:space="preserve"> SEQ Table \* ARABIC </w:instrText>
      </w:r>
      <w:r w:rsidRPr="00C268C6">
        <w:rPr>
          <w:noProof/>
          <w:color w:val="auto"/>
          <w:sz w:val="22"/>
          <w:szCs w:val="22"/>
        </w:rPr>
        <w:fldChar w:fldCharType="separate"/>
      </w:r>
      <w:r w:rsidR="00792C74">
        <w:rPr>
          <w:noProof/>
          <w:color w:val="auto"/>
          <w:sz w:val="22"/>
          <w:szCs w:val="22"/>
        </w:rPr>
        <w:t>1</w:t>
      </w:r>
      <w:r w:rsidRPr="00C268C6">
        <w:rPr>
          <w:noProof/>
          <w:color w:val="auto"/>
          <w:sz w:val="22"/>
          <w:szCs w:val="22"/>
        </w:rPr>
        <w:fldChar w:fldCharType="end"/>
      </w:r>
      <w:r w:rsidRPr="00C268C6">
        <w:rPr>
          <w:color w:val="auto"/>
          <w:sz w:val="22"/>
          <w:szCs w:val="22"/>
        </w:rPr>
        <w:t>: Maximising Available Assets</w:t>
      </w:r>
    </w:p>
    <w:tbl>
      <w:tblPr>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2410"/>
        <w:gridCol w:w="5670"/>
      </w:tblGrid>
      <w:tr w:rsidR="004D0E81" w:rsidRPr="00C268C6" w14:paraId="63424996" w14:textId="77777777" w:rsidTr="00F546A8">
        <w:trPr>
          <w:trHeight w:val="300"/>
          <w:tblHeader/>
        </w:trPr>
        <w:tc>
          <w:tcPr>
            <w:tcW w:w="1980" w:type="dxa"/>
            <w:shd w:val="clear" w:color="auto" w:fill="17365D" w:themeFill="text2" w:themeFillShade="BF"/>
            <w:noWrap/>
            <w:vAlign w:val="center"/>
            <w:hideMark/>
          </w:tcPr>
          <w:p w14:paraId="5C389FA7" w14:textId="77777777" w:rsidR="004D0E81" w:rsidRPr="00C268C6" w:rsidRDefault="004D0E81" w:rsidP="00A77280">
            <w:pPr>
              <w:jc w:val="center"/>
              <w:rPr>
                <w:rFonts w:cs="Calibri"/>
                <w:b/>
                <w:bCs/>
                <w:szCs w:val="22"/>
              </w:rPr>
            </w:pPr>
            <w:r w:rsidRPr="00C268C6">
              <w:rPr>
                <w:rFonts w:cs="Calibri"/>
                <w:b/>
                <w:bCs/>
                <w:szCs w:val="22"/>
              </w:rPr>
              <w:t>National Solutions</w:t>
            </w:r>
          </w:p>
        </w:tc>
        <w:tc>
          <w:tcPr>
            <w:tcW w:w="2410" w:type="dxa"/>
            <w:shd w:val="clear" w:color="auto" w:fill="17365D" w:themeFill="text2" w:themeFillShade="BF"/>
            <w:noWrap/>
            <w:vAlign w:val="center"/>
            <w:hideMark/>
          </w:tcPr>
          <w:p w14:paraId="0351C348" w14:textId="77777777" w:rsidR="004D0E81" w:rsidRPr="00C268C6" w:rsidRDefault="004D0E81" w:rsidP="00A77280">
            <w:pPr>
              <w:jc w:val="center"/>
              <w:rPr>
                <w:rFonts w:cs="Calibri"/>
                <w:b/>
                <w:bCs/>
                <w:szCs w:val="22"/>
              </w:rPr>
            </w:pPr>
            <w:r w:rsidRPr="00C268C6">
              <w:rPr>
                <w:rFonts w:cs="Calibri"/>
                <w:b/>
                <w:bCs/>
                <w:szCs w:val="22"/>
              </w:rPr>
              <w:t>Description</w:t>
            </w:r>
          </w:p>
        </w:tc>
        <w:tc>
          <w:tcPr>
            <w:tcW w:w="5670" w:type="dxa"/>
            <w:shd w:val="clear" w:color="auto" w:fill="17365D" w:themeFill="text2" w:themeFillShade="BF"/>
            <w:noWrap/>
            <w:vAlign w:val="center"/>
            <w:hideMark/>
          </w:tcPr>
          <w:p w14:paraId="72BD4D10" w14:textId="652673C6" w:rsidR="004D0E81" w:rsidRPr="00C268C6" w:rsidRDefault="00A8462F" w:rsidP="00A77280">
            <w:pPr>
              <w:jc w:val="center"/>
              <w:rPr>
                <w:rFonts w:cs="Calibri"/>
                <w:b/>
                <w:bCs/>
                <w:szCs w:val="22"/>
              </w:rPr>
            </w:pPr>
            <w:r w:rsidRPr="00C268C6">
              <w:rPr>
                <w:rFonts w:cs="Calibri"/>
                <w:b/>
                <w:bCs/>
                <w:szCs w:val="22"/>
              </w:rPr>
              <w:t xml:space="preserve">Benefits of </w:t>
            </w:r>
            <w:r w:rsidR="004D0E81" w:rsidRPr="00C268C6">
              <w:rPr>
                <w:rFonts w:cs="Calibri"/>
                <w:b/>
                <w:bCs/>
                <w:szCs w:val="22"/>
              </w:rPr>
              <w:t>Maximising the Asset</w:t>
            </w:r>
          </w:p>
        </w:tc>
      </w:tr>
      <w:tr w:rsidR="004D0E81" w:rsidRPr="00C268C6" w14:paraId="2D121B2F" w14:textId="77777777" w:rsidTr="00F546A8">
        <w:tc>
          <w:tcPr>
            <w:tcW w:w="1980" w:type="dxa"/>
            <w:shd w:val="clear" w:color="auto" w:fill="auto"/>
            <w:vAlign w:val="center"/>
            <w:hideMark/>
          </w:tcPr>
          <w:p w14:paraId="010DEA1F" w14:textId="77777777" w:rsidR="004D0E81" w:rsidRPr="00C268C6" w:rsidRDefault="004D0E81" w:rsidP="00A77280">
            <w:pPr>
              <w:rPr>
                <w:rFonts w:cs="Calibri"/>
                <w:szCs w:val="22"/>
              </w:rPr>
            </w:pPr>
            <w:r w:rsidRPr="00C268C6">
              <w:rPr>
                <w:rFonts w:cs="Calibri"/>
                <w:szCs w:val="22"/>
              </w:rPr>
              <w:t>My Health Online</w:t>
            </w:r>
          </w:p>
        </w:tc>
        <w:tc>
          <w:tcPr>
            <w:tcW w:w="2410" w:type="dxa"/>
            <w:shd w:val="clear" w:color="auto" w:fill="auto"/>
            <w:vAlign w:val="center"/>
            <w:hideMark/>
          </w:tcPr>
          <w:p w14:paraId="0DDB4696" w14:textId="77777777" w:rsidR="004D0E81" w:rsidRPr="00C268C6" w:rsidRDefault="004D0E81" w:rsidP="00A77280">
            <w:pPr>
              <w:rPr>
                <w:rFonts w:cs="Calibri"/>
                <w:szCs w:val="22"/>
              </w:rPr>
            </w:pPr>
            <w:r w:rsidRPr="00C268C6">
              <w:rPr>
                <w:rFonts w:cs="Calibri"/>
                <w:szCs w:val="22"/>
              </w:rPr>
              <w:t>Allows patients to access their health records</w:t>
            </w:r>
          </w:p>
        </w:tc>
        <w:tc>
          <w:tcPr>
            <w:tcW w:w="5670" w:type="dxa"/>
            <w:shd w:val="clear" w:color="auto" w:fill="auto"/>
            <w:vAlign w:val="center"/>
            <w:hideMark/>
          </w:tcPr>
          <w:p w14:paraId="302F9920" w14:textId="77777777" w:rsidR="004D0E81" w:rsidRPr="00C268C6" w:rsidRDefault="004D0E81" w:rsidP="00A77280">
            <w:pPr>
              <w:rPr>
                <w:rFonts w:cs="Calibri"/>
                <w:szCs w:val="22"/>
              </w:rPr>
            </w:pPr>
            <w:r w:rsidRPr="00C268C6">
              <w:rPr>
                <w:rFonts w:cs="Calibri"/>
                <w:szCs w:val="22"/>
              </w:rPr>
              <w:t>Increased capability from Q1, opportunities to interact electronically with patients with wider scope</w:t>
            </w:r>
          </w:p>
        </w:tc>
      </w:tr>
      <w:tr w:rsidR="004D0E81" w:rsidRPr="00C268C6" w14:paraId="24CCAE55" w14:textId="77777777" w:rsidTr="00F546A8">
        <w:tc>
          <w:tcPr>
            <w:tcW w:w="1980" w:type="dxa"/>
            <w:shd w:val="clear" w:color="auto" w:fill="auto"/>
            <w:vAlign w:val="center"/>
            <w:hideMark/>
          </w:tcPr>
          <w:p w14:paraId="2AA99EE6" w14:textId="77777777" w:rsidR="004D0E81" w:rsidRPr="00C268C6" w:rsidRDefault="004D0E81" w:rsidP="00A77280">
            <w:pPr>
              <w:rPr>
                <w:rFonts w:cs="Calibri"/>
                <w:szCs w:val="22"/>
              </w:rPr>
            </w:pPr>
            <w:r w:rsidRPr="00C268C6">
              <w:rPr>
                <w:rFonts w:cs="Calibri"/>
                <w:szCs w:val="22"/>
              </w:rPr>
              <w:t>PROMS and PREMS</w:t>
            </w:r>
          </w:p>
        </w:tc>
        <w:tc>
          <w:tcPr>
            <w:tcW w:w="2410" w:type="dxa"/>
            <w:shd w:val="clear" w:color="auto" w:fill="auto"/>
            <w:vAlign w:val="center"/>
            <w:hideMark/>
          </w:tcPr>
          <w:p w14:paraId="48419DF5" w14:textId="77777777" w:rsidR="004D0E81" w:rsidRPr="00C268C6" w:rsidRDefault="004D0E81" w:rsidP="00A77280">
            <w:pPr>
              <w:rPr>
                <w:rFonts w:cs="Calibri"/>
                <w:szCs w:val="22"/>
              </w:rPr>
            </w:pPr>
            <w:r w:rsidRPr="00C268C6">
              <w:rPr>
                <w:rFonts w:cs="Calibri"/>
                <w:szCs w:val="22"/>
              </w:rPr>
              <w:t>Patient feedback on clinical services</w:t>
            </w:r>
          </w:p>
        </w:tc>
        <w:tc>
          <w:tcPr>
            <w:tcW w:w="5670" w:type="dxa"/>
            <w:shd w:val="clear" w:color="auto" w:fill="auto"/>
            <w:vAlign w:val="center"/>
            <w:hideMark/>
          </w:tcPr>
          <w:p w14:paraId="18558B46" w14:textId="040578AC" w:rsidR="004D0E81" w:rsidRPr="00C268C6" w:rsidRDefault="00C11306" w:rsidP="00584C85">
            <w:pPr>
              <w:rPr>
                <w:rFonts w:cs="Calibri"/>
                <w:szCs w:val="22"/>
              </w:rPr>
            </w:pPr>
            <w:r w:rsidRPr="00C268C6">
              <w:rPr>
                <w:rFonts w:cs="Calibri"/>
                <w:szCs w:val="22"/>
              </w:rPr>
              <w:t>H</w:t>
            </w:r>
            <w:r w:rsidR="00584C85" w:rsidRPr="00C268C6">
              <w:rPr>
                <w:rFonts w:cs="Calibri"/>
                <w:szCs w:val="22"/>
              </w:rPr>
              <w:t>ealth Board</w:t>
            </w:r>
            <w:r w:rsidR="004D0E81" w:rsidRPr="00C268C6">
              <w:rPr>
                <w:rFonts w:cs="Calibri"/>
                <w:szCs w:val="22"/>
              </w:rPr>
              <w:t xml:space="preserve"> has much lower take up of</w:t>
            </w:r>
            <w:r w:rsidR="00584C85" w:rsidRPr="00C268C6">
              <w:rPr>
                <w:rFonts w:cs="Calibri"/>
                <w:szCs w:val="22"/>
              </w:rPr>
              <w:t xml:space="preserve"> the service than neighbouring H</w:t>
            </w:r>
            <w:r w:rsidR="004D0E81" w:rsidRPr="00C268C6">
              <w:rPr>
                <w:rFonts w:cs="Calibri"/>
                <w:szCs w:val="22"/>
              </w:rPr>
              <w:t xml:space="preserve">ealth </w:t>
            </w:r>
            <w:r w:rsidR="00584C85" w:rsidRPr="00C268C6">
              <w:rPr>
                <w:rFonts w:cs="Calibri"/>
                <w:szCs w:val="22"/>
              </w:rPr>
              <w:t>B</w:t>
            </w:r>
            <w:r w:rsidR="004D0E81" w:rsidRPr="00C268C6">
              <w:rPr>
                <w:rFonts w:cs="Calibri"/>
                <w:szCs w:val="22"/>
              </w:rPr>
              <w:t>oards</w:t>
            </w:r>
            <w:r w:rsidR="00D959CB" w:rsidRPr="00C268C6">
              <w:rPr>
                <w:rFonts w:cs="Calibri"/>
                <w:szCs w:val="22"/>
              </w:rPr>
              <w:t xml:space="preserve">.  </w:t>
            </w:r>
            <w:r w:rsidR="004D0E81" w:rsidRPr="00C268C6">
              <w:rPr>
                <w:rFonts w:cs="Calibri"/>
                <w:szCs w:val="22"/>
              </w:rPr>
              <w:t>Opportunity to improve care.</w:t>
            </w:r>
          </w:p>
        </w:tc>
      </w:tr>
      <w:tr w:rsidR="004D0E81" w:rsidRPr="00C268C6" w14:paraId="2C04985B" w14:textId="77777777" w:rsidTr="00F546A8">
        <w:tc>
          <w:tcPr>
            <w:tcW w:w="1980" w:type="dxa"/>
            <w:shd w:val="clear" w:color="auto" w:fill="auto"/>
            <w:vAlign w:val="center"/>
            <w:hideMark/>
          </w:tcPr>
          <w:p w14:paraId="5B48CBAB" w14:textId="77777777" w:rsidR="004D0E81" w:rsidRPr="00C268C6" w:rsidRDefault="004D0E81" w:rsidP="00A77280">
            <w:pPr>
              <w:rPr>
                <w:rFonts w:cs="Calibri"/>
                <w:szCs w:val="22"/>
              </w:rPr>
            </w:pPr>
            <w:r w:rsidRPr="00C268C6">
              <w:rPr>
                <w:rFonts w:cs="Calibri"/>
                <w:szCs w:val="22"/>
              </w:rPr>
              <w:t>GP Test Requesting</w:t>
            </w:r>
          </w:p>
        </w:tc>
        <w:tc>
          <w:tcPr>
            <w:tcW w:w="2410" w:type="dxa"/>
            <w:shd w:val="clear" w:color="auto" w:fill="auto"/>
            <w:vAlign w:val="center"/>
            <w:hideMark/>
          </w:tcPr>
          <w:p w14:paraId="12BA4254" w14:textId="77777777" w:rsidR="004D0E81" w:rsidRPr="00C268C6" w:rsidRDefault="004D0E81" w:rsidP="00A77280">
            <w:pPr>
              <w:rPr>
                <w:rFonts w:cs="Calibri"/>
                <w:szCs w:val="22"/>
              </w:rPr>
            </w:pPr>
            <w:r w:rsidRPr="00C268C6">
              <w:rPr>
                <w:rFonts w:cs="Calibri"/>
                <w:szCs w:val="22"/>
              </w:rPr>
              <w:t>Electronic requesting of tests from GPs</w:t>
            </w:r>
          </w:p>
        </w:tc>
        <w:tc>
          <w:tcPr>
            <w:tcW w:w="5670" w:type="dxa"/>
            <w:shd w:val="clear" w:color="auto" w:fill="auto"/>
            <w:vAlign w:val="center"/>
            <w:hideMark/>
          </w:tcPr>
          <w:p w14:paraId="0E8F56E0" w14:textId="1D4CA141" w:rsidR="004D0E81" w:rsidRPr="00C268C6" w:rsidRDefault="004D0E81" w:rsidP="00A77280">
            <w:pPr>
              <w:rPr>
                <w:rFonts w:cs="Calibri"/>
                <w:szCs w:val="22"/>
              </w:rPr>
            </w:pPr>
            <w:r w:rsidRPr="00C268C6">
              <w:rPr>
                <w:rFonts w:cs="Calibri"/>
                <w:szCs w:val="22"/>
              </w:rPr>
              <w:t>Remove paper requesting, improve time to returns results</w:t>
            </w:r>
            <w:r w:rsidR="00D959CB" w:rsidRPr="00C268C6">
              <w:rPr>
                <w:rFonts w:cs="Calibri"/>
                <w:szCs w:val="22"/>
              </w:rPr>
              <w:t xml:space="preserve">.  </w:t>
            </w:r>
            <w:r w:rsidRPr="00C268C6">
              <w:rPr>
                <w:rFonts w:cs="Calibri"/>
                <w:szCs w:val="22"/>
              </w:rPr>
              <w:t>Latest version in pilot in 1 GP surgery prior to rollout</w:t>
            </w:r>
          </w:p>
        </w:tc>
      </w:tr>
      <w:tr w:rsidR="004D0E81" w:rsidRPr="00C268C6" w14:paraId="073A4B94" w14:textId="77777777" w:rsidTr="00F546A8">
        <w:tc>
          <w:tcPr>
            <w:tcW w:w="1980" w:type="dxa"/>
            <w:shd w:val="clear" w:color="auto" w:fill="auto"/>
            <w:vAlign w:val="center"/>
            <w:hideMark/>
          </w:tcPr>
          <w:p w14:paraId="4755B1C0" w14:textId="77777777" w:rsidR="004D0E81" w:rsidRPr="00C268C6" w:rsidRDefault="004D0E81" w:rsidP="00A77280">
            <w:pPr>
              <w:rPr>
                <w:rFonts w:cs="Calibri"/>
                <w:szCs w:val="22"/>
              </w:rPr>
            </w:pPr>
            <w:r w:rsidRPr="00C268C6">
              <w:rPr>
                <w:rFonts w:cs="Calibri"/>
                <w:szCs w:val="22"/>
              </w:rPr>
              <w:lastRenderedPageBreak/>
              <w:t>WCRS</w:t>
            </w:r>
          </w:p>
        </w:tc>
        <w:tc>
          <w:tcPr>
            <w:tcW w:w="2410" w:type="dxa"/>
            <w:shd w:val="clear" w:color="auto" w:fill="auto"/>
            <w:vAlign w:val="center"/>
            <w:hideMark/>
          </w:tcPr>
          <w:p w14:paraId="3D90F2A9" w14:textId="77777777" w:rsidR="004D0E81" w:rsidRPr="00C268C6" w:rsidRDefault="004D0E81" w:rsidP="00A77280">
            <w:pPr>
              <w:rPr>
                <w:rFonts w:cs="Calibri"/>
                <w:szCs w:val="22"/>
              </w:rPr>
            </w:pPr>
            <w:r w:rsidRPr="00C268C6">
              <w:rPr>
                <w:rFonts w:cs="Calibri"/>
                <w:szCs w:val="22"/>
              </w:rPr>
              <w:t>Storage of clinical documents in the national repository</w:t>
            </w:r>
          </w:p>
        </w:tc>
        <w:tc>
          <w:tcPr>
            <w:tcW w:w="5670" w:type="dxa"/>
            <w:shd w:val="clear" w:color="auto" w:fill="auto"/>
            <w:vAlign w:val="center"/>
            <w:hideMark/>
          </w:tcPr>
          <w:p w14:paraId="7CBA040C" w14:textId="51932D23" w:rsidR="004D0E81" w:rsidRPr="00C268C6" w:rsidRDefault="004D0E81" w:rsidP="00A77280">
            <w:pPr>
              <w:rPr>
                <w:rFonts w:cs="Calibri"/>
                <w:szCs w:val="22"/>
              </w:rPr>
            </w:pPr>
            <w:r w:rsidRPr="00C268C6">
              <w:rPr>
                <w:rFonts w:cs="Calibri"/>
                <w:szCs w:val="22"/>
              </w:rPr>
              <w:t>More documents from an increasing number of clinical systems are available for sharing</w:t>
            </w:r>
            <w:r w:rsidR="00D959CB" w:rsidRPr="00C268C6">
              <w:rPr>
                <w:rFonts w:cs="Calibri"/>
                <w:szCs w:val="22"/>
              </w:rPr>
              <w:t xml:space="preserve">.  </w:t>
            </w:r>
            <w:r w:rsidRPr="00C268C6">
              <w:rPr>
                <w:rFonts w:cs="Calibri"/>
                <w:szCs w:val="22"/>
              </w:rPr>
              <w:t>Increases patient safety by making the document available nationally</w:t>
            </w:r>
            <w:r w:rsidR="00D959CB" w:rsidRPr="00C268C6">
              <w:rPr>
                <w:rFonts w:cs="Calibri"/>
                <w:szCs w:val="22"/>
              </w:rPr>
              <w:t xml:space="preserve">.  </w:t>
            </w:r>
          </w:p>
        </w:tc>
      </w:tr>
      <w:tr w:rsidR="004D0E81" w:rsidRPr="00C268C6" w14:paraId="25D13FE9" w14:textId="77777777" w:rsidTr="00F546A8">
        <w:tc>
          <w:tcPr>
            <w:tcW w:w="1980" w:type="dxa"/>
            <w:shd w:val="clear" w:color="auto" w:fill="auto"/>
            <w:vAlign w:val="center"/>
            <w:hideMark/>
          </w:tcPr>
          <w:p w14:paraId="6272331F" w14:textId="77777777" w:rsidR="004D0E81" w:rsidRPr="00C268C6" w:rsidRDefault="004D0E81" w:rsidP="00A77280">
            <w:pPr>
              <w:rPr>
                <w:rFonts w:cs="Calibri"/>
                <w:szCs w:val="22"/>
              </w:rPr>
            </w:pPr>
            <w:r w:rsidRPr="00C268C6">
              <w:rPr>
                <w:rFonts w:cs="Calibri"/>
                <w:szCs w:val="22"/>
              </w:rPr>
              <w:t>WAP</w:t>
            </w:r>
          </w:p>
        </w:tc>
        <w:tc>
          <w:tcPr>
            <w:tcW w:w="2410" w:type="dxa"/>
            <w:shd w:val="clear" w:color="auto" w:fill="auto"/>
            <w:vAlign w:val="center"/>
            <w:hideMark/>
          </w:tcPr>
          <w:p w14:paraId="52201B9B" w14:textId="77777777" w:rsidR="004D0E81" w:rsidRPr="00C268C6" w:rsidRDefault="004D0E81" w:rsidP="00A77280">
            <w:pPr>
              <w:rPr>
                <w:rFonts w:cs="Calibri"/>
                <w:szCs w:val="22"/>
              </w:rPr>
            </w:pPr>
            <w:r w:rsidRPr="00C268C6">
              <w:rPr>
                <w:rFonts w:cs="Calibri"/>
                <w:szCs w:val="22"/>
              </w:rPr>
              <w:t>Electronic referrals</w:t>
            </w:r>
          </w:p>
        </w:tc>
        <w:tc>
          <w:tcPr>
            <w:tcW w:w="5670" w:type="dxa"/>
            <w:shd w:val="clear" w:color="auto" w:fill="auto"/>
            <w:vAlign w:val="center"/>
            <w:hideMark/>
          </w:tcPr>
          <w:p w14:paraId="34CFE000" w14:textId="71AEA3BC" w:rsidR="004D0E81" w:rsidRPr="00C268C6" w:rsidRDefault="004D0E81" w:rsidP="00A77280">
            <w:pPr>
              <w:rPr>
                <w:rFonts w:cs="Calibri"/>
                <w:szCs w:val="22"/>
              </w:rPr>
            </w:pPr>
            <w:r w:rsidRPr="00C268C6">
              <w:rPr>
                <w:rFonts w:cs="Calibri"/>
                <w:szCs w:val="22"/>
              </w:rPr>
              <w:t>30% of received referrals are still paper</w:t>
            </w:r>
            <w:r w:rsidR="00D959CB" w:rsidRPr="00C268C6">
              <w:rPr>
                <w:rFonts w:cs="Calibri"/>
                <w:szCs w:val="22"/>
              </w:rPr>
              <w:t xml:space="preserve">.  </w:t>
            </w:r>
            <w:r w:rsidRPr="00C268C6">
              <w:rPr>
                <w:rFonts w:cs="Calibri"/>
                <w:szCs w:val="22"/>
              </w:rPr>
              <w:t>Improve efficiency, quality and timeliness.</w:t>
            </w:r>
          </w:p>
        </w:tc>
      </w:tr>
      <w:tr w:rsidR="004D0E81" w:rsidRPr="00C268C6" w14:paraId="15AE2D1E" w14:textId="77777777" w:rsidTr="00F546A8">
        <w:tc>
          <w:tcPr>
            <w:tcW w:w="1980" w:type="dxa"/>
            <w:shd w:val="clear" w:color="auto" w:fill="auto"/>
            <w:vAlign w:val="center"/>
            <w:hideMark/>
          </w:tcPr>
          <w:p w14:paraId="678D944D" w14:textId="77777777" w:rsidR="004D0E81" w:rsidRPr="00C268C6" w:rsidRDefault="004D0E81" w:rsidP="00A77280">
            <w:pPr>
              <w:rPr>
                <w:rFonts w:cs="Calibri"/>
                <w:szCs w:val="22"/>
              </w:rPr>
            </w:pPr>
            <w:r w:rsidRPr="00C268C6">
              <w:rPr>
                <w:rFonts w:cs="Calibri"/>
                <w:szCs w:val="22"/>
              </w:rPr>
              <w:t>WPRS</w:t>
            </w:r>
          </w:p>
        </w:tc>
        <w:tc>
          <w:tcPr>
            <w:tcW w:w="2410" w:type="dxa"/>
            <w:shd w:val="clear" w:color="auto" w:fill="auto"/>
            <w:vAlign w:val="center"/>
            <w:hideMark/>
          </w:tcPr>
          <w:p w14:paraId="3D7F32D4" w14:textId="77777777" w:rsidR="004D0E81" w:rsidRPr="00C268C6" w:rsidRDefault="004D0E81" w:rsidP="00A77280">
            <w:pPr>
              <w:rPr>
                <w:rFonts w:cs="Calibri"/>
                <w:szCs w:val="22"/>
              </w:rPr>
            </w:pPr>
            <w:r w:rsidRPr="00C268C6">
              <w:rPr>
                <w:rFonts w:cs="Calibri"/>
                <w:szCs w:val="22"/>
              </w:rPr>
              <w:t>Electronic referrals and triage</w:t>
            </w:r>
          </w:p>
        </w:tc>
        <w:tc>
          <w:tcPr>
            <w:tcW w:w="5670" w:type="dxa"/>
            <w:shd w:val="clear" w:color="auto" w:fill="auto"/>
            <w:vAlign w:val="center"/>
            <w:hideMark/>
          </w:tcPr>
          <w:p w14:paraId="53CDB539" w14:textId="06DC10FC" w:rsidR="004D0E81" w:rsidRPr="00C268C6" w:rsidRDefault="004D0E81" w:rsidP="00A77280">
            <w:pPr>
              <w:rPr>
                <w:rFonts w:cs="Calibri"/>
                <w:szCs w:val="22"/>
              </w:rPr>
            </w:pPr>
            <w:r w:rsidRPr="00C268C6">
              <w:rPr>
                <w:rFonts w:cs="Calibri"/>
                <w:szCs w:val="22"/>
              </w:rPr>
              <w:t>Only service using WPPRS is Cardiology</w:t>
            </w:r>
            <w:r w:rsidR="00D959CB" w:rsidRPr="00C268C6">
              <w:rPr>
                <w:rFonts w:cs="Calibri"/>
                <w:szCs w:val="22"/>
              </w:rPr>
              <w:t xml:space="preserve">.  </w:t>
            </w:r>
            <w:r w:rsidRPr="00C268C6">
              <w:rPr>
                <w:rFonts w:cs="Calibri"/>
                <w:szCs w:val="22"/>
              </w:rPr>
              <w:t>Need to extend to remaining specialities but it requires work on WPRS/WPAS to accommodate sub specialities</w:t>
            </w:r>
          </w:p>
        </w:tc>
      </w:tr>
      <w:tr w:rsidR="004D0E81" w:rsidRPr="00BB625D" w14:paraId="19914244" w14:textId="77777777" w:rsidTr="00F546A8">
        <w:tc>
          <w:tcPr>
            <w:tcW w:w="1980" w:type="dxa"/>
            <w:shd w:val="clear" w:color="auto" w:fill="auto"/>
            <w:vAlign w:val="center"/>
            <w:hideMark/>
          </w:tcPr>
          <w:p w14:paraId="56059078" w14:textId="77777777" w:rsidR="004D0E81" w:rsidRPr="00C268C6" w:rsidRDefault="004D0E81" w:rsidP="00A77280">
            <w:pPr>
              <w:rPr>
                <w:rFonts w:cs="Calibri"/>
                <w:szCs w:val="22"/>
              </w:rPr>
            </w:pPr>
            <w:r w:rsidRPr="00C268C6">
              <w:rPr>
                <w:rFonts w:cs="Calibri"/>
                <w:szCs w:val="22"/>
              </w:rPr>
              <w:t>WCP</w:t>
            </w:r>
          </w:p>
        </w:tc>
        <w:tc>
          <w:tcPr>
            <w:tcW w:w="2410" w:type="dxa"/>
            <w:shd w:val="clear" w:color="auto" w:fill="auto"/>
            <w:vAlign w:val="center"/>
            <w:hideMark/>
          </w:tcPr>
          <w:p w14:paraId="2E842AC1" w14:textId="77777777" w:rsidR="004D0E81" w:rsidRPr="00C268C6" w:rsidRDefault="004D0E81" w:rsidP="00A77280">
            <w:pPr>
              <w:rPr>
                <w:rFonts w:cs="Calibri"/>
                <w:szCs w:val="22"/>
              </w:rPr>
            </w:pPr>
            <w:r w:rsidRPr="00C268C6">
              <w:rPr>
                <w:rFonts w:cs="Calibri"/>
                <w:szCs w:val="22"/>
              </w:rPr>
              <w:t>Access to nationally held patient information</w:t>
            </w:r>
          </w:p>
        </w:tc>
        <w:tc>
          <w:tcPr>
            <w:tcW w:w="5670" w:type="dxa"/>
            <w:shd w:val="clear" w:color="auto" w:fill="auto"/>
            <w:vAlign w:val="center"/>
            <w:hideMark/>
          </w:tcPr>
          <w:p w14:paraId="1F68FBD1" w14:textId="7E2B68C6" w:rsidR="004D0E81" w:rsidRPr="00C268C6" w:rsidRDefault="004D0E81" w:rsidP="00A77280">
            <w:pPr>
              <w:rPr>
                <w:rFonts w:cs="Calibri"/>
                <w:szCs w:val="22"/>
              </w:rPr>
            </w:pPr>
            <w:r w:rsidRPr="00C268C6">
              <w:rPr>
                <w:rFonts w:cs="Calibri"/>
                <w:szCs w:val="22"/>
              </w:rPr>
              <w:t>Opportunity to improve usage and knowledge of capability</w:t>
            </w:r>
            <w:r w:rsidR="00D959CB" w:rsidRPr="00C268C6">
              <w:rPr>
                <w:rFonts w:cs="Calibri"/>
                <w:szCs w:val="22"/>
              </w:rPr>
              <w:t xml:space="preserve">.  </w:t>
            </w:r>
            <w:r w:rsidRPr="00C268C6">
              <w:rPr>
                <w:rFonts w:cs="Calibri"/>
                <w:szCs w:val="22"/>
              </w:rPr>
              <w:t>Improves patient safety and clinical efficiency</w:t>
            </w:r>
            <w:r w:rsidR="00D959CB" w:rsidRPr="00C268C6">
              <w:rPr>
                <w:rFonts w:cs="Calibri"/>
                <w:szCs w:val="22"/>
              </w:rPr>
              <w:t xml:space="preserve">.  </w:t>
            </w:r>
            <w:r w:rsidRPr="00C268C6">
              <w:rPr>
                <w:rFonts w:cs="Calibri"/>
                <w:szCs w:val="22"/>
              </w:rPr>
              <w:t>Maximising the sunk assets</w:t>
            </w:r>
          </w:p>
        </w:tc>
      </w:tr>
      <w:tr w:rsidR="004D0E81" w:rsidRPr="00BB625D" w14:paraId="1E96EACC" w14:textId="77777777" w:rsidTr="00F546A8">
        <w:tc>
          <w:tcPr>
            <w:tcW w:w="1980" w:type="dxa"/>
            <w:shd w:val="clear" w:color="auto" w:fill="auto"/>
            <w:vAlign w:val="center"/>
            <w:hideMark/>
          </w:tcPr>
          <w:p w14:paraId="74A7ED29" w14:textId="77777777" w:rsidR="004D0E81" w:rsidRPr="00C268C6" w:rsidRDefault="004D0E81" w:rsidP="00A77280">
            <w:pPr>
              <w:rPr>
                <w:rFonts w:cs="Calibri"/>
                <w:szCs w:val="22"/>
              </w:rPr>
            </w:pPr>
            <w:r w:rsidRPr="00C268C6">
              <w:rPr>
                <w:rFonts w:cs="Calibri"/>
                <w:szCs w:val="22"/>
              </w:rPr>
              <w:t>Hospital to Hospital Referrals</w:t>
            </w:r>
          </w:p>
        </w:tc>
        <w:tc>
          <w:tcPr>
            <w:tcW w:w="2410" w:type="dxa"/>
            <w:shd w:val="clear" w:color="auto" w:fill="auto"/>
            <w:vAlign w:val="center"/>
            <w:hideMark/>
          </w:tcPr>
          <w:p w14:paraId="69424284" w14:textId="2036C969" w:rsidR="004D0E81" w:rsidRPr="00C268C6" w:rsidRDefault="00584C85" w:rsidP="00584C85">
            <w:pPr>
              <w:rPr>
                <w:rFonts w:cs="Calibri"/>
                <w:szCs w:val="22"/>
              </w:rPr>
            </w:pPr>
            <w:r w:rsidRPr="00C268C6">
              <w:rPr>
                <w:rFonts w:cs="Calibri"/>
                <w:szCs w:val="22"/>
              </w:rPr>
              <w:t>Electronic referrals between H</w:t>
            </w:r>
            <w:r w:rsidR="004D0E81" w:rsidRPr="00C268C6">
              <w:rPr>
                <w:rFonts w:cs="Calibri"/>
                <w:szCs w:val="22"/>
              </w:rPr>
              <w:t xml:space="preserve">ealth </w:t>
            </w:r>
            <w:r w:rsidRPr="00C268C6">
              <w:rPr>
                <w:rFonts w:cs="Calibri"/>
                <w:szCs w:val="22"/>
              </w:rPr>
              <w:t>B</w:t>
            </w:r>
            <w:r w:rsidR="004D0E81" w:rsidRPr="00C268C6">
              <w:rPr>
                <w:rFonts w:cs="Calibri"/>
                <w:szCs w:val="22"/>
              </w:rPr>
              <w:t>oards</w:t>
            </w:r>
          </w:p>
        </w:tc>
        <w:tc>
          <w:tcPr>
            <w:tcW w:w="5670" w:type="dxa"/>
            <w:shd w:val="clear" w:color="auto" w:fill="auto"/>
            <w:vAlign w:val="center"/>
            <w:hideMark/>
          </w:tcPr>
          <w:p w14:paraId="2DFEAF46" w14:textId="2C4C779B" w:rsidR="004D0E81" w:rsidRPr="00C268C6" w:rsidRDefault="004D0E81" w:rsidP="00584C85">
            <w:pPr>
              <w:rPr>
                <w:rFonts w:cs="Calibri"/>
                <w:szCs w:val="22"/>
              </w:rPr>
            </w:pPr>
            <w:r w:rsidRPr="00C268C6">
              <w:rPr>
                <w:rFonts w:cs="Calibri"/>
                <w:szCs w:val="22"/>
              </w:rPr>
              <w:t>Remove paper referrals</w:t>
            </w:r>
            <w:r w:rsidR="00D959CB" w:rsidRPr="00C268C6">
              <w:rPr>
                <w:rFonts w:cs="Calibri"/>
                <w:szCs w:val="22"/>
              </w:rPr>
              <w:t xml:space="preserve">.  </w:t>
            </w:r>
            <w:r w:rsidR="00584C85" w:rsidRPr="00C268C6">
              <w:rPr>
                <w:rFonts w:cs="Calibri"/>
                <w:szCs w:val="22"/>
              </w:rPr>
              <w:t xml:space="preserve">The </w:t>
            </w:r>
            <w:r w:rsidR="00C11306" w:rsidRPr="00C268C6">
              <w:rPr>
                <w:rFonts w:cs="Calibri"/>
                <w:szCs w:val="22"/>
              </w:rPr>
              <w:t>H</w:t>
            </w:r>
            <w:r w:rsidR="00584C85" w:rsidRPr="00C268C6">
              <w:rPr>
                <w:rFonts w:cs="Calibri"/>
                <w:szCs w:val="22"/>
              </w:rPr>
              <w:t>ealth</w:t>
            </w:r>
            <w:r w:rsidR="00C11306" w:rsidRPr="00C268C6">
              <w:rPr>
                <w:rFonts w:cs="Calibri"/>
                <w:szCs w:val="22"/>
              </w:rPr>
              <w:t xml:space="preserve"> B</w:t>
            </w:r>
            <w:r w:rsidR="00584C85" w:rsidRPr="00C268C6">
              <w:rPr>
                <w:rFonts w:cs="Calibri"/>
                <w:szCs w:val="22"/>
              </w:rPr>
              <w:t>oard</w:t>
            </w:r>
            <w:r w:rsidRPr="00C268C6">
              <w:rPr>
                <w:rFonts w:cs="Calibri"/>
                <w:szCs w:val="22"/>
              </w:rPr>
              <w:t xml:space="preserve"> is pilot site for Wales</w:t>
            </w:r>
            <w:r w:rsidR="00D959CB" w:rsidRPr="00C268C6">
              <w:rPr>
                <w:rFonts w:cs="Calibri"/>
                <w:szCs w:val="22"/>
              </w:rPr>
              <w:t xml:space="preserve">.  </w:t>
            </w:r>
            <w:r w:rsidRPr="00C268C6">
              <w:rPr>
                <w:rFonts w:cs="Calibri"/>
                <w:szCs w:val="22"/>
              </w:rPr>
              <w:t>Cardiology is the specialist currently being tested</w:t>
            </w:r>
          </w:p>
        </w:tc>
      </w:tr>
      <w:tr w:rsidR="004D0E81" w:rsidRPr="00BB625D" w14:paraId="635137B0" w14:textId="77777777" w:rsidTr="00F546A8">
        <w:tc>
          <w:tcPr>
            <w:tcW w:w="1980" w:type="dxa"/>
            <w:shd w:val="clear" w:color="auto" w:fill="auto"/>
            <w:vAlign w:val="center"/>
            <w:hideMark/>
          </w:tcPr>
          <w:p w14:paraId="1EBA49D6" w14:textId="77777777" w:rsidR="004D0E81" w:rsidRPr="00C268C6" w:rsidRDefault="004D0E81" w:rsidP="00A77280">
            <w:pPr>
              <w:rPr>
                <w:rFonts w:cs="Calibri"/>
                <w:szCs w:val="22"/>
              </w:rPr>
            </w:pPr>
            <w:r w:rsidRPr="00C268C6">
              <w:rPr>
                <w:rFonts w:cs="Calibri"/>
                <w:szCs w:val="22"/>
              </w:rPr>
              <w:t>My Health Text</w:t>
            </w:r>
          </w:p>
        </w:tc>
        <w:tc>
          <w:tcPr>
            <w:tcW w:w="2410" w:type="dxa"/>
            <w:shd w:val="clear" w:color="auto" w:fill="auto"/>
            <w:vAlign w:val="center"/>
            <w:hideMark/>
          </w:tcPr>
          <w:p w14:paraId="6BAF5348" w14:textId="77777777" w:rsidR="004D0E81" w:rsidRPr="00C268C6" w:rsidRDefault="004D0E81" w:rsidP="00A77280">
            <w:pPr>
              <w:rPr>
                <w:rFonts w:cs="Calibri"/>
                <w:szCs w:val="22"/>
              </w:rPr>
            </w:pPr>
            <w:r w:rsidRPr="00C268C6">
              <w:rPr>
                <w:rFonts w:cs="Calibri"/>
                <w:szCs w:val="22"/>
              </w:rPr>
              <w:t>National solution for texting patients</w:t>
            </w:r>
          </w:p>
        </w:tc>
        <w:tc>
          <w:tcPr>
            <w:tcW w:w="5670" w:type="dxa"/>
            <w:shd w:val="clear" w:color="auto" w:fill="auto"/>
            <w:vAlign w:val="center"/>
            <w:hideMark/>
          </w:tcPr>
          <w:p w14:paraId="401AE85E" w14:textId="77777777" w:rsidR="004D0E81" w:rsidRPr="00C268C6" w:rsidRDefault="004D0E81" w:rsidP="00A77280">
            <w:pPr>
              <w:rPr>
                <w:rFonts w:cs="Calibri"/>
                <w:szCs w:val="22"/>
              </w:rPr>
            </w:pPr>
            <w:r w:rsidRPr="00C268C6">
              <w:rPr>
                <w:rFonts w:cs="Calibri"/>
                <w:szCs w:val="22"/>
              </w:rPr>
              <w:t>Leverage national solution and discontinue local solution.</w:t>
            </w:r>
          </w:p>
        </w:tc>
      </w:tr>
      <w:tr w:rsidR="004D0E81" w:rsidRPr="00BB625D" w14:paraId="7EC671C5" w14:textId="77777777" w:rsidTr="00F546A8">
        <w:tc>
          <w:tcPr>
            <w:tcW w:w="1980" w:type="dxa"/>
            <w:shd w:val="clear" w:color="auto" w:fill="auto"/>
            <w:vAlign w:val="center"/>
            <w:hideMark/>
          </w:tcPr>
          <w:p w14:paraId="3DD2371A" w14:textId="77777777" w:rsidR="004D0E81" w:rsidRPr="00C268C6" w:rsidRDefault="004D0E81" w:rsidP="00A77280">
            <w:pPr>
              <w:rPr>
                <w:rFonts w:cs="Calibri"/>
                <w:szCs w:val="22"/>
              </w:rPr>
            </w:pPr>
            <w:r w:rsidRPr="00C268C6">
              <w:rPr>
                <w:rFonts w:cs="Calibri"/>
                <w:szCs w:val="22"/>
              </w:rPr>
              <w:t>Electronic Requests and Results</w:t>
            </w:r>
          </w:p>
        </w:tc>
        <w:tc>
          <w:tcPr>
            <w:tcW w:w="2410" w:type="dxa"/>
            <w:shd w:val="clear" w:color="auto" w:fill="auto"/>
            <w:vAlign w:val="center"/>
            <w:hideMark/>
          </w:tcPr>
          <w:p w14:paraId="4498A3F5" w14:textId="77777777" w:rsidR="004D0E81" w:rsidRPr="00C268C6" w:rsidRDefault="004D0E81" w:rsidP="00A77280">
            <w:pPr>
              <w:rPr>
                <w:rFonts w:cs="Calibri"/>
                <w:szCs w:val="22"/>
              </w:rPr>
            </w:pPr>
            <w:r w:rsidRPr="00C268C6">
              <w:rPr>
                <w:rFonts w:cs="Calibri"/>
                <w:szCs w:val="22"/>
              </w:rPr>
              <w:t>Electronic requests and results for secondary care</w:t>
            </w:r>
          </w:p>
        </w:tc>
        <w:tc>
          <w:tcPr>
            <w:tcW w:w="5670" w:type="dxa"/>
            <w:shd w:val="clear" w:color="auto" w:fill="auto"/>
            <w:vAlign w:val="center"/>
            <w:hideMark/>
          </w:tcPr>
          <w:p w14:paraId="2ED6BABB" w14:textId="77777777" w:rsidR="004D0E81" w:rsidRPr="00C268C6" w:rsidRDefault="004D0E81" w:rsidP="00A77280">
            <w:pPr>
              <w:rPr>
                <w:rFonts w:cs="Calibri"/>
                <w:szCs w:val="22"/>
              </w:rPr>
            </w:pPr>
            <w:r w:rsidRPr="00C268C6">
              <w:rPr>
                <w:rFonts w:cs="Calibri"/>
                <w:szCs w:val="22"/>
              </w:rPr>
              <w:t>Currently lead health board in Wales for TRRR with 87% of in patient requesting performed electronically</w:t>
            </w:r>
          </w:p>
        </w:tc>
      </w:tr>
      <w:tr w:rsidR="004D0E81" w:rsidRPr="00BB625D" w14:paraId="006AAF22" w14:textId="77777777" w:rsidTr="00F546A8">
        <w:tc>
          <w:tcPr>
            <w:tcW w:w="1980" w:type="dxa"/>
            <w:shd w:val="clear" w:color="auto" w:fill="auto"/>
            <w:vAlign w:val="center"/>
            <w:hideMark/>
          </w:tcPr>
          <w:p w14:paraId="1E078A9B" w14:textId="77777777" w:rsidR="004D0E81" w:rsidRPr="00C268C6" w:rsidRDefault="004D0E81" w:rsidP="00A77280">
            <w:pPr>
              <w:rPr>
                <w:rFonts w:cs="Calibri"/>
                <w:szCs w:val="22"/>
              </w:rPr>
            </w:pPr>
            <w:r w:rsidRPr="00C268C6">
              <w:rPr>
                <w:rFonts w:cs="Calibri"/>
                <w:szCs w:val="22"/>
              </w:rPr>
              <w:t>Electronic Outcome Forms</w:t>
            </w:r>
          </w:p>
        </w:tc>
        <w:tc>
          <w:tcPr>
            <w:tcW w:w="2410" w:type="dxa"/>
            <w:shd w:val="clear" w:color="auto" w:fill="auto"/>
            <w:vAlign w:val="center"/>
            <w:hideMark/>
          </w:tcPr>
          <w:p w14:paraId="225D0F7D" w14:textId="77777777" w:rsidR="004D0E81" w:rsidRPr="00C268C6" w:rsidRDefault="004D0E81" w:rsidP="00A77280">
            <w:pPr>
              <w:rPr>
                <w:rFonts w:cs="Calibri"/>
                <w:szCs w:val="22"/>
              </w:rPr>
            </w:pPr>
            <w:r w:rsidRPr="00C268C6">
              <w:rPr>
                <w:rFonts w:cs="Calibri"/>
                <w:szCs w:val="22"/>
              </w:rPr>
              <w:t>Electronic capture of OP clinic information</w:t>
            </w:r>
          </w:p>
        </w:tc>
        <w:tc>
          <w:tcPr>
            <w:tcW w:w="5670" w:type="dxa"/>
            <w:shd w:val="clear" w:color="auto" w:fill="auto"/>
            <w:vAlign w:val="center"/>
            <w:hideMark/>
          </w:tcPr>
          <w:p w14:paraId="6727E435" w14:textId="3023D3B9" w:rsidR="004D0E81" w:rsidRPr="00C268C6" w:rsidRDefault="00CE77C7" w:rsidP="00CE77C7">
            <w:pPr>
              <w:rPr>
                <w:rFonts w:cs="Calibri"/>
                <w:szCs w:val="22"/>
              </w:rPr>
            </w:pPr>
            <w:r w:rsidRPr="00C268C6">
              <w:rPr>
                <w:rFonts w:cs="Calibri"/>
                <w:szCs w:val="22"/>
              </w:rPr>
              <w:t>The Health</w:t>
            </w:r>
            <w:r w:rsidR="00C11306" w:rsidRPr="00C268C6">
              <w:rPr>
                <w:rFonts w:cs="Calibri"/>
                <w:szCs w:val="22"/>
              </w:rPr>
              <w:t xml:space="preserve"> B</w:t>
            </w:r>
            <w:r w:rsidRPr="00C268C6">
              <w:rPr>
                <w:rFonts w:cs="Calibri"/>
                <w:szCs w:val="22"/>
              </w:rPr>
              <w:t>oard</w:t>
            </w:r>
            <w:r w:rsidR="004D0E81" w:rsidRPr="00C268C6">
              <w:rPr>
                <w:rFonts w:cs="Calibri"/>
                <w:szCs w:val="22"/>
              </w:rPr>
              <w:t xml:space="preserve"> wishes to be the pilot site for this capability, which can be rolled out across the hea</w:t>
            </w:r>
            <w:r w:rsidR="007534B4" w:rsidRPr="00C268C6">
              <w:rPr>
                <w:rFonts w:cs="Calibri"/>
                <w:szCs w:val="22"/>
              </w:rPr>
              <w:t>l</w:t>
            </w:r>
            <w:r w:rsidR="004D0E81" w:rsidRPr="00C268C6">
              <w:rPr>
                <w:rFonts w:cs="Calibri"/>
                <w:szCs w:val="22"/>
              </w:rPr>
              <w:t>th board.</w:t>
            </w:r>
          </w:p>
        </w:tc>
      </w:tr>
      <w:tr w:rsidR="00A8462F" w:rsidRPr="00BB625D" w14:paraId="1051DB99" w14:textId="77777777" w:rsidTr="00F546A8">
        <w:tc>
          <w:tcPr>
            <w:tcW w:w="1980" w:type="dxa"/>
            <w:shd w:val="clear" w:color="auto" w:fill="auto"/>
            <w:vAlign w:val="center"/>
          </w:tcPr>
          <w:p w14:paraId="2BB57CAB" w14:textId="3183EB00" w:rsidR="00A8462F" w:rsidRPr="00C268C6" w:rsidRDefault="00A8462F" w:rsidP="00A8462F">
            <w:pPr>
              <w:rPr>
                <w:rFonts w:cs="Calibri"/>
                <w:szCs w:val="22"/>
              </w:rPr>
            </w:pPr>
            <w:r w:rsidRPr="00C268C6">
              <w:rPr>
                <w:rFonts w:cs="Calibri"/>
                <w:szCs w:val="22"/>
              </w:rPr>
              <w:t>CHAI</w:t>
            </w:r>
          </w:p>
        </w:tc>
        <w:tc>
          <w:tcPr>
            <w:tcW w:w="2410" w:type="dxa"/>
            <w:shd w:val="clear" w:color="auto" w:fill="auto"/>
            <w:vAlign w:val="center"/>
          </w:tcPr>
          <w:p w14:paraId="6C7C68E3" w14:textId="2CDB2AAE" w:rsidR="00A8462F" w:rsidRPr="00C268C6" w:rsidRDefault="00A8462F" w:rsidP="00A8462F">
            <w:pPr>
              <w:rPr>
                <w:rFonts w:cs="Calibri"/>
                <w:szCs w:val="22"/>
              </w:rPr>
            </w:pPr>
            <w:r w:rsidRPr="00C268C6">
              <w:rPr>
                <w:rFonts w:cs="Calibri"/>
                <w:szCs w:val="22"/>
              </w:rPr>
              <w:t>Electronic capture of paediatric observations and nursing documentation</w:t>
            </w:r>
          </w:p>
        </w:tc>
        <w:tc>
          <w:tcPr>
            <w:tcW w:w="5670" w:type="dxa"/>
            <w:shd w:val="clear" w:color="auto" w:fill="auto"/>
            <w:vAlign w:val="center"/>
          </w:tcPr>
          <w:p w14:paraId="7BD0B237" w14:textId="6F011A38" w:rsidR="00A8462F" w:rsidRPr="00C268C6" w:rsidRDefault="00A8462F" w:rsidP="00A8462F">
            <w:pPr>
              <w:rPr>
                <w:rFonts w:cs="Calibri"/>
                <w:szCs w:val="22"/>
              </w:rPr>
            </w:pPr>
            <w:r w:rsidRPr="00C268C6">
              <w:rPr>
                <w:rFonts w:cs="Calibri"/>
                <w:szCs w:val="22"/>
              </w:rPr>
              <w:t>Developed as an SBRI with Welsh Government support, the Health Board will now operationalise this capability.</w:t>
            </w:r>
          </w:p>
        </w:tc>
      </w:tr>
    </w:tbl>
    <w:p w14:paraId="17CD51B8" w14:textId="77777777" w:rsidR="004D0E81" w:rsidRPr="00C268C6" w:rsidRDefault="004D0E81" w:rsidP="004D0E81">
      <w:pPr>
        <w:rPr>
          <w:rFonts w:asciiTheme="minorHAnsi" w:hAnsiTheme="minorHAnsi"/>
          <w:szCs w:val="22"/>
        </w:rPr>
      </w:pPr>
    </w:p>
    <w:p w14:paraId="3AC4B352" w14:textId="77777777" w:rsidR="004D0E81" w:rsidRPr="00C268C6" w:rsidRDefault="004D0E81" w:rsidP="00A8462F">
      <w:pPr>
        <w:pStyle w:val="NormaBullet"/>
        <w:numPr>
          <w:ilvl w:val="0"/>
          <w:numId w:val="0"/>
        </w:numPr>
        <w:ind w:left="360" w:hanging="360"/>
        <w:rPr>
          <w:b/>
          <w:szCs w:val="22"/>
        </w:rPr>
      </w:pPr>
      <w:r w:rsidRPr="00C268C6">
        <w:rPr>
          <w:b/>
          <w:szCs w:val="22"/>
        </w:rPr>
        <w:t>Deployment of Digital Medical Records</w:t>
      </w:r>
    </w:p>
    <w:p w14:paraId="3F7B9EA8" w14:textId="77777777" w:rsidR="00C268C6" w:rsidRPr="00C268C6" w:rsidRDefault="00C268C6" w:rsidP="00C268C6">
      <w:pPr>
        <w:rPr>
          <w:rFonts w:asciiTheme="minorHAnsi" w:hAnsiTheme="minorHAnsi"/>
          <w:szCs w:val="22"/>
        </w:rPr>
      </w:pPr>
      <w:r w:rsidRPr="00C268C6">
        <w:rPr>
          <w:rFonts w:asciiTheme="minorHAnsi" w:hAnsiTheme="minorHAnsi"/>
          <w:szCs w:val="22"/>
        </w:rPr>
        <w:t>At present, the Health Board primarily relies on paper patient records.  These will be replaced with electronic versions of the same records.  Digitisation of the medical record is one step to developing the Electronic patient record, the benefits of which include:</w:t>
      </w:r>
    </w:p>
    <w:p w14:paraId="04826455" w14:textId="77777777" w:rsidR="00C268C6" w:rsidRPr="00C268C6" w:rsidRDefault="00C268C6" w:rsidP="00C268C6">
      <w:pPr>
        <w:pStyle w:val="NormaBullet"/>
        <w:ind w:left="357" w:hanging="357"/>
        <w:rPr>
          <w:szCs w:val="22"/>
        </w:rPr>
      </w:pPr>
      <w:r w:rsidRPr="00C268C6">
        <w:rPr>
          <w:szCs w:val="22"/>
        </w:rPr>
        <w:t>Digital records that accessible on any site at any time, to multiple users simultaneously.</w:t>
      </w:r>
    </w:p>
    <w:p w14:paraId="194FC76E" w14:textId="77777777" w:rsidR="00C268C6" w:rsidRPr="00C268C6" w:rsidRDefault="00C268C6" w:rsidP="00C268C6">
      <w:pPr>
        <w:pStyle w:val="NormaBullet"/>
        <w:ind w:left="357" w:hanging="357"/>
        <w:rPr>
          <w:szCs w:val="22"/>
        </w:rPr>
      </w:pPr>
      <w:r w:rsidRPr="00C268C6">
        <w:rPr>
          <w:szCs w:val="22"/>
        </w:rPr>
        <w:t>Instant availability of the patient’s full clinical history can result in swifter clinical decision making, improved clinical efficiency and effectiveness, improved patient safety and the ability to confirm diagnoses and implement appropriate treatment more quickly.</w:t>
      </w:r>
    </w:p>
    <w:p w14:paraId="24A2836E" w14:textId="77777777" w:rsidR="00C268C6" w:rsidRPr="00C268C6" w:rsidRDefault="00C268C6" w:rsidP="00C268C6">
      <w:pPr>
        <w:pStyle w:val="NormaBullet"/>
        <w:ind w:left="357" w:hanging="357"/>
        <w:rPr>
          <w:szCs w:val="22"/>
        </w:rPr>
      </w:pPr>
      <w:r w:rsidRPr="00C268C6">
        <w:rPr>
          <w:szCs w:val="22"/>
        </w:rPr>
        <w:t>Fewer lost records and lost individual documents as the proportion of digitised records grows.</w:t>
      </w:r>
    </w:p>
    <w:p w14:paraId="0998DCD8" w14:textId="77777777" w:rsidR="00C268C6" w:rsidRPr="00C268C6" w:rsidRDefault="00C268C6" w:rsidP="00C268C6">
      <w:pPr>
        <w:pStyle w:val="NormaBullet"/>
        <w:ind w:left="357" w:hanging="357"/>
        <w:rPr>
          <w:szCs w:val="22"/>
        </w:rPr>
      </w:pPr>
      <w:r w:rsidRPr="00C268C6">
        <w:rPr>
          <w:szCs w:val="22"/>
        </w:rPr>
        <w:t>Improved ability to search the patient record for specific episodes, reference to clinical conditions and terminology, filtering and sorting by speciality, clinician, timeframe, etc.</w:t>
      </w:r>
    </w:p>
    <w:p w14:paraId="485D01B1" w14:textId="77777777" w:rsidR="00C268C6" w:rsidRPr="00C268C6" w:rsidRDefault="00C268C6" w:rsidP="00C268C6">
      <w:pPr>
        <w:pStyle w:val="NormaBullet"/>
        <w:numPr>
          <w:ilvl w:val="0"/>
          <w:numId w:val="0"/>
        </w:numPr>
        <w:rPr>
          <w:szCs w:val="22"/>
        </w:rPr>
      </w:pPr>
    </w:p>
    <w:p w14:paraId="3316B81F" w14:textId="77777777" w:rsidR="00C268C6" w:rsidRPr="00C268C6" w:rsidRDefault="00C268C6" w:rsidP="00C268C6">
      <w:pPr>
        <w:rPr>
          <w:rFonts w:asciiTheme="minorHAnsi" w:hAnsiTheme="minorHAnsi"/>
          <w:szCs w:val="22"/>
        </w:rPr>
      </w:pPr>
      <w:r w:rsidRPr="00C268C6">
        <w:rPr>
          <w:rFonts w:asciiTheme="minorHAnsi" w:hAnsiTheme="minorHAnsi"/>
          <w:szCs w:val="22"/>
        </w:rPr>
        <w:t>This initial also delivers a substantial financial savings:</w:t>
      </w:r>
    </w:p>
    <w:p w14:paraId="09A2486B" w14:textId="77777777" w:rsidR="00C268C6" w:rsidRPr="00C268C6" w:rsidRDefault="00C268C6" w:rsidP="003B1653">
      <w:pPr>
        <w:pStyle w:val="ListParagraph"/>
        <w:numPr>
          <w:ilvl w:val="0"/>
          <w:numId w:val="33"/>
        </w:numPr>
        <w:ind w:left="360"/>
        <w:rPr>
          <w:rFonts w:asciiTheme="minorHAnsi" w:hAnsiTheme="minorHAnsi"/>
          <w:szCs w:val="22"/>
        </w:rPr>
      </w:pPr>
      <w:r w:rsidRPr="00C268C6">
        <w:rPr>
          <w:rFonts w:asciiTheme="minorHAnsi" w:hAnsiTheme="minorHAnsi"/>
          <w:szCs w:val="22"/>
        </w:rPr>
        <w:t xml:space="preserve">Medical Records staff reductions from reduced record handling due to digitisation produce a potential recurrent cash saving of £308k p.a. from 24/25. This target has been agreed. </w:t>
      </w:r>
    </w:p>
    <w:p w14:paraId="31C0EB77" w14:textId="77777777" w:rsidR="00C268C6" w:rsidRPr="00C268C6" w:rsidRDefault="00C268C6" w:rsidP="003B1653">
      <w:pPr>
        <w:pStyle w:val="ListParagraph"/>
        <w:numPr>
          <w:ilvl w:val="0"/>
          <w:numId w:val="33"/>
        </w:numPr>
        <w:ind w:left="360"/>
        <w:rPr>
          <w:rFonts w:asciiTheme="minorHAnsi" w:hAnsiTheme="minorHAnsi"/>
          <w:szCs w:val="22"/>
        </w:rPr>
      </w:pPr>
      <w:r w:rsidRPr="00C268C6">
        <w:rPr>
          <w:rFonts w:asciiTheme="minorHAnsi" w:hAnsiTheme="minorHAnsi"/>
          <w:szCs w:val="22"/>
        </w:rPr>
        <w:t>Reduction in Medical Records costs for record storage, transport and stationery by £35K pa from 2024/25.</w:t>
      </w:r>
    </w:p>
    <w:p w14:paraId="2DFF1C25" w14:textId="77777777" w:rsidR="000554F6" w:rsidRPr="00C268C6" w:rsidRDefault="000554F6" w:rsidP="000554F6">
      <w:pPr>
        <w:ind w:left="360"/>
        <w:rPr>
          <w:rFonts w:asciiTheme="minorHAnsi" w:hAnsiTheme="minorHAnsi"/>
          <w:szCs w:val="22"/>
        </w:rPr>
      </w:pPr>
    </w:p>
    <w:p w14:paraId="24AD2B1C" w14:textId="77777777" w:rsidR="004D0E81" w:rsidRPr="00C268C6" w:rsidRDefault="004D0E81" w:rsidP="00A8462F">
      <w:pPr>
        <w:pStyle w:val="NormaBullet"/>
        <w:numPr>
          <w:ilvl w:val="0"/>
          <w:numId w:val="0"/>
        </w:numPr>
        <w:ind w:left="360" w:hanging="360"/>
        <w:rPr>
          <w:b/>
          <w:szCs w:val="22"/>
        </w:rPr>
      </w:pPr>
      <w:r w:rsidRPr="00C268C6">
        <w:rPr>
          <w:b/>
          <w:szCs w:val="22"/>
        </w:rPr>
        <w:t>Deployment of the Welsh Emergency Department System</w:t>
      </w:r>
    </w:p>
    <w:p w14:paraId="5FFE7669" w14:textId="77777777" w:rsidR="00C268C6" w:rsidRPr="00D11076" w:rsidRDefault="00C268C6" w:rsidP="00C268C6">
      <w:pPr>
        <w:rPr>
          <w:rFonts w:asciiTheme="minorHAnsi" w:hAnsiTheme="minorHAnsi"/>
          <w:szCs w:val="22"/>
        </w:rPr>
      </w:pPr>
      <w:r w:rsidRPr="00D11076">
        <w:rPr>
          <w:rFonts w:asciiTheme="minorHAnsi" w:hAnsiTheme="minorHAnsi"/>
          <w:szCs w:val="22"/>
        </w:rPr>
        <w:t>The A&amp;E department is part of a whole system approach to emergency care.  It requires specific design features, focused on flow, but needs to operate as part of an integrated health system.</w:t>
      </w:r>
    </w:p>
    <w:p w14:paraId="40118B83" w14:textId="77777777" w:rsidR="00C268C6" w:rsidRPr="00D11076" w:rsidRDefault="00C268C6" w:rsidP="00C268C6">
      <w:pPr>
        <w:rPr>
          <w:rFonts w:asciiTheme="minorHAnsi" w:hAnsiTheme="minorHAnsi"/>
          <w:szCs w:val="22"/>
        </w:rPr>
      </w:pPr>
    </w:p>
    <w:p w14:paraId="7C21F39B" w14:textId="77777777" w:rsidR="00C268C6" w:rsidRDefault="00C268C6" w:rsidP="00C268C6">
      <w:pPr>
        <w:rPr>
          <w:rFonts w:asciiTheme="minorHAnsi" w:hAnsiTheme="minorHAnsi"/>
          <w:szCs w:val="22"/>
        </w:rPr>
      </w:pPr>
      <w:r w:rsidRPr="00D11076">
        <w:rPr>
          <w:rFonts w:asciiTheme="minorHAnsi" w:hAnsiTheme="minorHAnsi"/>
          <w:szCs w:val="22"/>
        </w:rPr>
        <w:t>In 2014 the NHS Wales Informatics Service (NWIS) was asked to manage procurement on behalf of NHS Wales Health Boards and Health Boards to establish an appropriate contractual arrangement to enable the phased implementation of an Emergency Department Clinical Information and Management System (EDCIMS) across NHS Wales.  This would be a common solution to enable Health Boards to procure and implement a new suite of applications, hardware and services to support the ongoing delivery of Emergency Services.</w:t>
      </w:r>
      <w:r>
        <w:rPr>
          <w:rFonts w:asciiTheme="minorHAnsi" w:hAnsiTheme="minorHAnsi"/>
          <w:szCs w:val="22"/>
        </w:rPr>
        <w:t xml:space="preserve">  </w:t>
      </w:r>
      <w:r w:rsidRPr="00D11076">
        <w:rPr>
          <w:rFonts w:asciiTheme="minorHAnsi" w:hAnsiTheme="minorHAnsi"/>
          <w:szCs w:val="22"/>
        </w:rPr>
        <w:t>The new Emergency Department systems is expected to deliver the following high level benefits.</w:t>
      </w:r>
    </w:p>
    <w:p w14:paraId="71432BE6" w14:textId="77777777" w:rsidR="00C268C6" w:rsidRPr="00D11076" w:rsidRDefault="00C268C6" w:rsidP="00C268C6">
      <w:pPr>
        <w:pStyle w:val="Caption"/>
        <w:keepNext/>
        <w:spacing w:after="0"/>
        <w:rPr>
          <w:color w:val="auto"/>
          <w:sz w:val="22"/>
          <w:szCs w:val="22"/>
        </w:rPr>
      </w:pPr>
      <w:r w:rsidRPr="00D11076">
        <w:rPr>
          <w:color w:val="auto"/>
          <w:sz w:val="22"/>
          <w:szCs w:val="22"/>
        </w:rPr>
        <w:lastRenderedPageBreak/>
        <w:t xml:space="preserve">Table </w:t>
      </w:r>
      <w:r w:rsidRPr="00D11076">
        <w:rPr>
          <w:noProof/>
          <w:color w:val="auto"/>
          <w:sz w:val="22"/>
          <w:szCs w:val="22"/>
        </w:rPr>
        <w:fldChar w:fldCharType="begin"/>
      </w:r>
      <w:r w:rsidRPr="00D11076">
        <w:rPr>
          <w:noProof/>
          <w:color w:val="auto"/>
          <w:sz w:val="22"/>
          <w:szCs w:val="22"/>
        </w:rPr>
        <w:instrText xml:space="preserve"> SEQ Table \* ARABIC </w:instrText>
      </w:r>
      <w:r w:rsidRPr="00D11076">
        <w:rPr>
          <w:noProof/>
          <w:color w:val="auto"/>
          <w:sz w:val="22"/>
          <w:szCs w:val="22"/>
        </w:rPr>
        <w:fldChar w:fldCharType="separate"/>
      </w:r>
      <w:r w:rsidR="00792C74">
        <w:rPr>
          <w:noProof/>
          <w:color w:val="auto"/>
          <w:sz w:val="22"/>
          <w:szCs w:val="22"/>
        </w:rPr>
        <w:t>2</w:t>
      </w:r>
      <w:r w:rsidRPr="00D11076">
        <w:rPr>
          <w:noProof/>
          <w:color w:val="auto"/>
          <w:sz w:val="22"/>
          <w:szCs w:val="22"/>
        </w:rPr>
        <w:fldChar w:fldCharType="end"/>
      </w:r>
      <w:r w:rsidRPr="00D11076">
        <w:rPr>
          <w:color w:val="auto"/>
          <w:sz w:val="22"/>
          <w:szCs w:val="22"/>
        </w:rPr>
        <w:t>: Welsh ED System High level Benefits</w:t>
      </w:r>
    </w:p>
    <w:tbl>
      <w:tblPr>
        <w:tblStyle w:val="TableGrid1"/>
        <w:tblW w:w="10173" w:type="dxa"/>
        <w:tblInd w:w="-113" w:type="dxa"/>
        <w:tblLook w:val="04A0" w:firstRow="1" w:lastRow="0" w:firstColumn="1" w:lastColumn="0" w:noHBand="0" w:noVBand="1"/>
      </w:tblPr>
      <w:tblGrid>
        <w:gridCol w:w="10173"/>
      </w:tblGrid>
      <w:tr w:rsidR="00C268C6" w:rsidRPr="00D11076" w14:paraId="1CD38D29" w14:textId="77777777" w:rsidTr="00C268C6">
        <w:trPr>
          <w:tblHeader/>
        </w:trPr>
        <w:tc>
          <w:tcPr>
            <w:tcW w:w="10173" w:type="dxa"/>
            <w:shd w:val="clear" w:color="auto" w:fill="17365D" w:themeFill="text2" w:themeFillShade="BF"/>
          </w:tcPr>
          <w:p w14:paraId="38F7FDE2" w14:textId="77777777" w:rsidR="00C268C6" w:rsidRPr="00D11076" w:rsidRDefault="00C268C6" w:rsidP="0060790C">
            <w:pPr>
              <w:widowControl w:val="0"/>
              <w:jc w:val="center"/>
              <w:rPr>
                <w:rFonts w:cs="Arial"/>
                <w:b/>
                <w:iCs/>
                <w:szCs w:val="22"/>
                <w:lang w:val="en-US" w:eastAsia="en-US"/>
              </w:rPr>
            </w:pPr>
            <w:r w:rsidRPr="00D11076">
              <w:rPr>
                <w:rFonts w:cs="Arial"/>
                <w:b/>
                <w:iCs/>
                <w:szCs w:val="22"/>
                <w:lang w:val="en-US" w:eastAsia="en-US"/>
              </w:rPr>
              <w:t>Feature</w:t>
            </w:r>
          </w:p>
        </w:tc>
      </w:tr>
      <w:tr w:rsidR="00C268C6" w:rsidRPr="00D11076" w14:paraId="4601A3F6" w14:textId="77777777" w:rsidTr="00C268C6">
        <w:tc>
          <w:tcPr>
            <w:tcW w:w="10173" w:type="dxa"/>
          </w:tcPr>
          <w:p w14:paraId="7ADB315D" w14:textId="77777777" w:rsidR="00C268C6" w:rsidRPr="00D11076" w:rsidRDefault="00C268C6" w:rsidP="0060790C">
            <w:pPr>
              <w:widowControl w:val="0"/>
              <w:rPr>
                <w:rFonts w:asciiTheme="minorHAnsi" w:hAnsiTheme="minorHAnsi" w:cstheme="minorHAnsi"/>
                <w:b/>
                <w:iCs/>
                <w:szCs w:val="22"/>
                <w:lang w:val="en-US" w:eastAsia="en-US"/>
              </w:rPr>
            </w:pPr>
            <w:r w:rsidRPr="00D11076">
              <w:rPr>
                <w:rFonts w:asciiTheme="minorHAnsi" w:hAnsiTheme="minorHAnsi" w:cstheme="minorHAnsi"/>
                <w:b/>
                <w:szCs w:val="22"/>
                <w:lang w:eastAsia="en-US"/>
              </w:rPr>
              <w:t>Real-Time</w:t>
            </w:r>
            <w:r w:rsidRPr="00D11076">
              <w:rPr>
                <w:rFonts w:asciiTheme="minorHAnsi" w:hAnsiTheme="minorHAnsi" w:cstheme="minorHAnsi"/>
                <w:szCs w:val="22"/>
                <w:lang w:eastAsia="en-US"/>
              </w:rPr>
              <w:t xml:space="preserve"> Live patient tracking, triage monitoring and triage management supporting clinical decision making.  Live patient status and treatment pathway tracking enables improved communication with patients and relatives.</w:t>
            </w:r>
          </w:p>
        </w:tc>
      </w:tr>
      <w:tr w:rsidR="00C268C6" w:rsidRPr="00D11076" w14:paraId="27A070E9" w14:textId="77777777" w:rsidTr="00C268C6">
        <w:tc>
          <w:tcPr>
            <w:tcW w:w="10173" w:type="dxa"/>
          </w:tcPr>
          <w:p w14:paraId="47FBF2DA" w14:textId="77777777" w:rsidR="00C268C6" w:rsidRPr="00D11076" w:rsidRDefault="00C268C6" w:rsidP="0060790C">
            <w:pPr>
              <w:widowControl w:val="0"/>
              <w:rPr>
                <w:rFonts w:asciiTheme="minorHAnsi" w:hAnsiTheme="minorHAnsi" w:cstheme="minorHAnsi"/>
                <w:b/>
                <w:iCs/>
                <w:szCs w:val="22"/>
                <w:lang w:val="en-US" w:eastAsia="en-US"/>
              </w:rPr>
            </w:pPr>
            <w:r w:rsidRPr="00D11076">
              <w:rPr>
                <w:rFonts w:asciiTheme="minorHAnsi" w:hAnsiTheme="minorHAnsi" w:cstheme="minorHAnsi"/>
                <w:b/>
                <w:szCs w:val="22"/>
                <w:lang w:eastAsia="en-US"/>
              </w:rPr>
              <w:t>Integrated</w:t>
            </w:r>
            <w:r w:rsidRPr="00D11076">
              <w:rPr>
                <w:rFonts w:asciiTheme="minorHAnsi" w:hAnsiTheme="minorHAnsi" w:cstheme="minorHAnsi"/>
                <w:szCs w:val="22"/>
                <w:lang w:eastAsia="en-US"/>
              </w:rPr>
              <w:t xml:space="preserve"> with other hospital systems (e.g. Welsh Clinical Portal, Welsh Patient Administration System), for better communication across care settings.</w:t>
            </w:r>
          </w:p>
        </w:tc>
      </w:tr>
      <w:tr w:rsidR="00C268C6" w:rsidRPr="00D11076" w14:paraId="2E5CB735" w14:textId="77777777" w:rsidTr="00C268C6">
        <w:tc>
          <w:tcPr>
            <w:tcW w:w="10173" w:type="dxa"/>
          </w:tcPr>
          <w:p w14:paraId="51185AB5" w14:textId="77777777" w:rsidR="00C268C6" w:rsidRPr="00D11076" w:rsidRDefault="00C268C6" w:rsidP="0060790C">
            <w:pPr>
              <w:rPr>
                <w:rFonts w:asciiTheme="minorHAnsi" w:hAnsiTheme="minorHAnsi" w:cstheme="minorHAnsi"/>
                <w:b/>
                <w:iCs/>
                <w:szCs w:val="22"/>
                <w:lang w:val="en-US" w:eastAsia="en-US"/>
              </w:rPr>
            </w:pPr>
            <w:r w:rsidRPr="00D11076">
              <w:rPr>
                <w:rFonts w:asciiTheme="minorHAnsi" w:hAnsiTheme="minorHAnsi" w:cstheme="minorHAnsi"/>
                <w:b/>
                <w:szCs w:val="22"/>
                <w:lang w:eastAsia="en-US"/>
              </w:rPr>
              <w:t>Improved clinical information flows</w:t>
            </w:r>
            <w:r w:rsidRPr="00D11076">
              <w:rPr>
                <w:rFonts w:asciiTheme="minorHAnsi" w:hAnsiTheme="minorHAnsi" w:cstheme="minorHAnsi"/>
                <w:szCs w:val="22"/>
                <w:lang w:eastAsia="en-US"/>
              </w:rPr>
              <w:t>, reduced duplicated collection of information thus releasing clinical time for patient care</w:t>
            </w:r>
          </w:p>
        </w:tc>
      </w:tr>
      <w:tr w:rsidR="00C268C6" w:rsidRPr="00D11076" w14:paraId="6A509C45" w14:textId="77777777" w:rsidTr="00C268C6">
        <w:tc>
          <w:tcPr>
            <w:tcW w:w="10173" w:type="dxa"/>
          </w:tcPr>
          <w:p w14:paraId="35ED43D9" w14:textId="77777777" w:rsidR="00C268C6" w:rsidRPr="00D11076" w:rsidRDefault="00C268C6" w:rsidP="0060790C">
            <w:pPr>
              <w:rPr>
                <w:rFonts w:asciiTheme="minorHAnsi" w:hAnsiTheme="minorHAnsi" w:cstheme="minorHAnsi"/>
                <w:szCs w:val="22"/>
                <w:lang w:eastAsia="en-US"/>
              </w:rPr>
            </w:pPr>
            <w:r w:rsidRPr="00D11076">
              <w:rPr>
                <w:rFonts w:asciiTheme="minorHAnsi" w:hAnsiTheme="minorHAnsi" w:cstheme="minorHAnsi"/>
                <w:b/>
                <w:szCs w:val="22"/>
                <w:lang w:eastAsia="en-US"/>
              </w:rPr>
              <w:t>Ability to view the patient record across all EDs in Wales</w:t>
            </w:r>
            <w:r w:rsidRPr="00D11076">
              <w:rPr>
                <w:rFonts w:asciiTheme="minorHAnsi" w:hAnsiTheme="minorHAnsi" w:cstheme="minorHAnsi"/>
                <w:szCs w:val="22"/>
                <w:lang w:eastAsia="en-US"/>
              </w:rPr>
              <w:t xml:space="preserve"> using the same system.  This will particularly support the identification and management of vulnerable patients and enable clinicians to speedily note relevant clinical history.  Security and access model will be required to for the new system moving forward.  </w:t>
            </w:r>
          </w:p>
        </w:tc>
      </w:tr>
      <w:tr w:rsidR="00C268C6" w:rsidRPr="00D11076" w14:paraId="4568F3FC" w14:textId="77777777" w:rsidTr="00C268C6">
        <w:tc>
          <w:tcPr>
            <w:tcW w:w="10173" w:type="dxa"/>
          </w:tcPr>
          <w:p w14:paraId="3187E500" w14:textId="77777777" w:rsidR="00C268C6" w:rsidRPr="00D11076" w:rsidRDefault="00C268C6" w:rsidP="0060790C">
            <w:pPr>
              <w:rPr>
                <w:rFonts w:asciiTheme="minorHAnsi" w:hAnsiTheme="minorHAnsi" w:cstheme="minorHAnsi"/>
                <w:szCs w:val="22"/>
                <w:lang w:eastAsia="en-US"/>
              </w:rPr>
            </w:pPr>
            <w:r w:rsidRPr="00D11076">
              <w:rPr>
                <w:rFonts w:asciiTheme="minorHAnsi" w:hAnsiTheme="minorHAnsi" w:cstheme="minorHAnsi"/>
                <w:b/>
                <w:szCs w:val="22"/>
                <w:lang w:eastAsia="en-US"/>
              </w:rPr>
              <w:t xml:space="preserve">Transfer appropriate information, </w:t>
            </w:r>
            <w:r w:rsidRPr="00D11076">
              <w:rPr>
                <w:rFonts w:asciiTheme="minorHAnsi" w:hAnsiTheme="minorHAnsi" w:cstheme="minorHAnsi"/>
                <w:szCs w:val="22"/>
                <w:lang w:eastAsia="en-US"/>
              </w:rPr>
              <w:t>particularly discharge letters, electronically to GP systems, i.e. via the WCCG using current interfacing links.</w:t>
            </w:r>
          </w:p>
        </w:tc>
      </w:tr>
      <w:tr w:rsidR="00C268C6" w:rsidRPr="00D11076" w14:paraId="49D3A208" w14:textId="77777777" w:rsidTr="00C268C6">
        <w:tc>
          <w:tcPr>
            <w:tcW w:w="10173" w:type="dxa"/>
          </w:tcPr>
          <w:p w14:paraId="6664F338" w14:textId="77777777" w:rsidR="00C268C6" w:rsidRPr="00D11076" w:rsidRDefault="00C268C6" w:rsidP="0060790C">
            <w:pPr>
              <w:rPr>
                <w:rFonts w:asciiTheme="minorHAnsi" w:hAnsiTheme="minorHAnsi" w:cstheme="minorHAnsi"/>
                <w:szCs w:val="22"/>
                <w:lang w:eastAsia="en-US"/>
              </w:rPr>
            </w:pPr>
            <w:r w:rsidRPr="00D11076">
              <w:rPr>
                <w:rFonts w:asciiTheme="minorHAnsi" w:hAnsiTheme="minorHAnsi" w:cstheme="minorHAnsi"/>
                <w:b/>
                <w:szCs w:val="22"/>
                <w:lang w:eastAsia="en-US"/>
              </w:rPr>
              <w:t>Clinical audit reporting</w:t>
            </w:r>
            <w:r w:rsidRPr="00D11076">
              <w:rPr>
                <w:rFonts w:asciiTheme="minorHAnsi" w:hAnsiTheme="minorHAnsi" w:cstheme="minorHAnsi"/>
                <w:szCs w:val="22"/>
                <w:lang w:eastAsia="en-US"/>
              </w:rPr>
              <w:t xml:space="preserve"> and outcome measurement</w:t>
            </w:r>
          </w:p>
        </w:tc>
      </w:tr>
      <w:tr w:rsidR="00C268C6" w:rsidRPr="00D11076" w14:paraId="173211AF" w14:textId="77777777" w:rsidTr="00C268C6">
        <w:tc>
          <w:tcPr>
            <w:tcW w:w="10173" w:type="dxa"/>
          </w:tcPr>
          <w:p w14:paraId="56FBDBF4" w14:textId="77777777" w:rsidR="00C268C6" w:rsidRPr="00D11076" w:rsidRDefault="00C268C6" w:rsidP="0060790C">
            <w:pPr>
              <w:rPr>
                <w:rFonts w:asciiTheme="minorHAnsi" w:hAnsiTheme="minorHAnsi" w:cstheme="minorHAnsi"/>
                <w:szCs w:val="22"/>
                <w:lang w:eastAsia="en-US"/>
              </w:rPr>
            </w:pPr>
            <w:r w:rsidRPr="00D11076">
              <w:rPr>
                <w:rFonts w:asciiTheme="minorHAnsi" w:hAnsiTheme="minorHAnsi" w:cstheme="minorHAnsi"/>
                <w:b/>
                <w:szCs w:val="22"/>
                <w:lang w:eastAsia="en-US"/>
              </w:rPr>
              <w:t>Eradicate</w:t>
            </w:r>
            <w:r w:rsidRPr="00D11076">
              <w:rPr>
                <w:rFonts w:asciiTheme="minorHAnsi" w:hAnsiTheme="minorHAnsi" w:cstheme="minorHAnsi"/>
                <w:szCs w:val="22"/>
                <w:lang w:eastAsia="en-US"/>
              </w:rPr>
              <w:t xml:space="preserve"> the requirement for hybrid paper/electronic data capture e.g. avoids the need to scan paper records into electronic systems, allowing the reallocation of resources.</w:t>
            </w:r>
          </w:p>
        </w:tc>
      </w:tr>
      <w:tr w:rsidR="00C268C6" w:rsidRPr="00D11076" w14:paraId="1DDDD822" w14:textId="77777777" w:rsidTr="00C268C6">
        <w:tc>
          <w:tcPr>
            <w:tcW w:w="10173" w:type="dxa"/>
          </w:tcPr>
          <w:p w14:paraId="76DD2B95" w14:textId="77777777" w:rsidR="00C268C6" w:rsidRPr="00D11076" w:rsidRDefault="00C268C6" w:rsidP="0060790C">
            <w:pPr>
              <w:rPr>
                <w:rFonts w:asciiTheme="minorHAnsi" w:hAnsiTheme="minorHAnsi" w:cstheme="minorHAnsi"/>
                <w:szCs w:val="22"/>
                <w:lang w:eastAsia="en-US"/>
              </w:rPr>
            </w:pPr>
            <w:r w:rsidRPr="00D11076">
              <w:rPr>
                <w:rFonts w:asciiTheme="minorHAnsi" w:hAnsiTheme="minorHAnsi" w:cstheme="minorHAnsi"/>
                <w:b/>
                <w:szCs w:val="22"/>
                <w:lang w:eastAsia="en-US"/>
              </w:rPr>
              <w:t>Save time</w:t>
            </w:r>
            <w:r w:rsidRPr="00D11076">
              <w:rPr>
                <w:rFonts w:asciiTheme="minorHAnsi" w:hAnsiTheme="minorHAnsi" w:cstheme="minorHAnsi"/>
                <w:szCs w:val="22"/>
                <w:lang w:eastAsia="en-US"/>
              </w:rPr>
              <w:t xml:space="preserve"> looking for information by having everything in one system.  The key for this functionality is integration with other systems.</w:t>
            </w:r>
          </w:p>
        </w:tc>
      </w:tr>
      <w:tr w:rsidR="00C268C6" w:rsidRPr="00D11076" w14:paraId="7D51354C" w14:textId="77777777" w:rsidTr="00C268C6">
        <w:tc>
          <w:tcPr>
            <w:tcW w:w="10173" w:type="dxa"/>
          </w:tcPr>
          <w:p w14:paraId="62B9647F" w14:textId="77777777" w:rsidR="00C268C6" w:rsidRPr="00D11076" w:rsidRDefault="00C268C6" w:rsidP="0060790C">
            <w:pPr>
              <w:rPr>
                <w:rFonts w:asciiTheme="minorHAnsi" w:hAnsiTheme="minorHAnsi" w:cstheme="minorHAnsi"/>
                <w:szCs w:val="22"/>
                <w:lang w:eastAsia="en-US"/>
              </w:rPr>
            </w:pPr>
            <w:r w:rsidRPr="00D11076">
              <w:rPr>
                <w:rFonts w:asciiTheme="minorHAnsi" w:hAnsiTheme="minorHAnsi" w:cstheme="minorHAnsi"/>
                <w:b/>
                <w:szCs w:val="22"/>
                <w:lang w:eastAsia="en-US"/>
              </w:rPr>
              <w:t xml:space="preserve">Quicker </w:t>
            </w:r>
            <w:r w:rsidRPr="00D11076">
              <w:rPr>
                <w:rFonts w:asciiTheme="minorHAnsi" w:hAnsiTheme="minorHAnsi" w:cstheme="minorHAnsi"/>
                <w:szCs w:val="22"/>
                <w:lang w:eastAsia="en-US"/>
              </w:rPr>
              <w:t>access to information for operational teams and the Information team</w:t>
            </w:r>
          </w:p>
        </w:tc>
      </w:tr>
      <w:tr w:rsidR="00C268C6" w:rsidRPr="00D11076" w14:paraId="767DC738" w14:textId="77777777" w:rsidTr="00C268C6">
        <w:tc>
          <w:tcPr>
            <w:tcW w:w="10173" w:type="dxa"/>
          </w:tcPr>
          <w:p w14:paraId="2F76AAA8" w14:textId="77777777" w:rsidR="00C268C6" w:rsidRPr="00D11076" w:rsidRDefault="00C268C6" w:rsidP="0060790C">
            <w:pPr>
              <w:rPr>
                <w:rFonts w:asciiTheme="minorHAnsi" w:hAnsiTheme="minorHAnsi" w:cstheme="minorHAnsi"/>
                <w:szCs w:val="22"/>
                <w:lang w:eastAsia="en-US"/>
              </w:rPr>
            </w:pPr>
            <w:r w:rsidRPr="00D11076">
              <w:rPr>
                <w:rFonts w:asciiTheme="minorHAnsi" w:hAnsiTheme="minorHAnsi" w:cstheme="minorHAnsi"/>
                <w:b/>
                <w:szCs w:val="22"/>
                <w:lang w:eastAsia="en-US"/>
              </w:rPr>
              <w:t xml:space="preserve">Patient location tracking </w:t>
            </w:r>
            <w:r w:rsidRPr="00D11076">
              <w:rPr>
                <w:rFonts w:asciiTheme="minorHAnsi" w:hAnsiTheme="minorHAnsi" w:cstheme="minorHAnsi"/>
                <w:szCs w:val="22"/>
                <w:lang w:eastAsia="en-US"/>
              </w:rPr>
              <w:t>supports the improvement in patient flow across the hospital, again integration is key as this will build on functionality already in place.</w:t>
            </w:r>
          </w:p>
        </w:tc>
      </w:tr>
      <w:tr w:rsidR="00C268C6" w:rsidRPr="00D11076" w14:paraId="7B37CD5E" w14:textId="77777777" w:rsidTr="00C268C6">
        <w:tc>
          <w:tcPr>
            <w:tcW w:w="10173" w:type="dxa"/>
          </w:tcPr>
          <w:p w14:paraId="5250A787" w14:textId="77777777" w:rsidR="00C268C6" w:rsidRPr="00D11076" w:rsidRDefault="00C268C6" w:rsidP="0060790C">
            <w:pPr>
              <w:rPr>
                <w:rFonts w:asciiTheme="minorHAnsi" w:hAnsiTheme="minorHAnsi" w:cstheme="minorHAnsi"/>
                <w:szCs w:val="22"/>
                <w:lang w:val="en-US" w:eastAsia="en-US"/>
              </w:rPr>
            </w:pPr>
            <w:r w:rsidRPr="00D11076">
              <w:rPr>
                <w:rFonts w:asciiTheme="minorHAnsi" w:hAnsiTheme="minorHAnsi" w:cstheme="minorHAnsi"/>
                <w:b/>
                <w:szCs w:val="22"/>
                <w:lang w:eastAsia="en-US"/>
              </w:rPr>
              <w:t xml:space="preserve">Effective audit for triage and patient pathway management.  </w:t>
            </w:r>
            <w:r w:rsidRPr="00D11076">
              <w:rPr>
                <w:rFonts w:asciiTheme="minorHAnsi" w:hAnsiTheme="minorHAnsi" w:cstheme="minorHAnsi"/>
                <w:szCs w:val="22"/>
                <w:lang w:eastAsia="en-US"/>
              </w:rPr>
              <w:t>Robust evidence to facilitate service improvements.</w:t>
            </w:r>
          </w:p>
        </w:tc>
      </w:tr>
      <w:tr w:rsidR="00C268C6" w:rsidRPr="00D11076" w14:paraId="5A6483C9" w14:textId="77777777" w:rsidTr="00C268C6">
        <w:tc>
          <w:tcPr>
            <w:tcW w:w="10173" w:type="dxa"/>
          </w:tcPr>
          <w:p w14:paraId="26CE7B7F" w14:textId="77777777" w:rsidR="00C268C6" w:rsidRPr="00D11076" w:rsidRDefault="00C268C6" w:rsidP="0060790C">
            <w:pPr>
              <w:rPr>
                <w:rFonts w:asciiTheme="minorHAnsi" w:hAnsiTheme="minorHAnsi" w:cstheme="minorHAnsi"/>
                <w:szCs w:val="22"/>
                <w:lang w:val="en-US" w:eastAsia="en-US"/>
              </w:rPr>
            </w:pPr>
            <w:r w:rsidRPr="00D11076">
              <w:rPr>
                <w:rFonts w:asciiTheme="minorHAnsi" w:hAnsiTheme="minorHAnsi" w:cstheme="minorHAnsi"/>
                <w:b/>
                <w:iCs/>
                <w:szCs w:val="22"/>
                <w:lang w:val="en-US" w:eastAsia="en-US"/>
              </w:rPr>
              <w:t xml:space="preserve">Reduced clinical time required on administrative tasks </w:t>
            </w:r>
            <w:r w:rsidRPr="00D11076">
              <w:rPr>
                <w:rFonts w:asciiTheme="minorHAnsi" w:hAnsiTheme="minorHAnsi" w:cstheme="minorHAnsi"/>
                <w:iCs/>
                <w:szCs w:val="22"/>
                <w:lang w:val="en-US" w:eastAsia="en-US"/>
              </w:rPr>
              <w:t>enabling improved clinical presence at departmental and patient level.</w:t>
            </w:r>
          </w:p>
        </w:tc>
      </w:tr>
    </w:tbl>
    <w:p w14:paraId="00E1B670" w14:textId="77777777" w:rsidR="00C268C6" w:rsidRPr="00C268C6" w:rsidRDefault="00C268C6" w:rsidP="004D0E81">
      <w:pPr>
        <w:rPr>
          <w:rFonts w:asciiTheme="minorHAnsi" w:hAnsiTheme="minorHAnsi"/>
          <w:szCs w:val="22"/>
        </w:rPr>
      </w:pPr>
    </w:p>
    <w:p w14:paraId="53930364" w14:textId="1B51E603" w:rsidR="004D0E81" w:rsidRPr="00C268C6" w:rsidRDefault="00A8462F" w:rsidP="004D0E81">
      <w:pPr>
        <w:pStyle w:val="NormaBullet"/>
        <w:rPr>
          <w:b/>
          <w:szCs w:val="22"/>
        </w:rPr>
      </w:pPr>
      <w:r w:rsidRPr="00C268C6">
        <w:rPr>
          <w:b/>
          <w:szCs w:val="22"/>
        </w:rPr>
        <w:t xml:space="preserve">Deployment of </w:t>
      </w:r>
      <w:r w:rsidR="0064498B" w:rsidRPr="00C268C6">
        <w:rPr>
          <w:b/>
          <w:szCs w:val="22"/>
        </w:rPr>
        <w:t xml:space="preserve">Vision 360 as a </w:t>
      </w:r>
      <w:r w:rsidR="004D0E81" w:rsidRPr="00C268C6">
        <w:rPr>
          <w:b/>
          <w:szCs w:val="22"/>
        </w:rPr>
        <w:t>Shared Care Record</w:t>
      </w:r>
    </w:p>
    <w:p w14:paraId="737EE5F4" w14:textId="77777777" w:rsidR="00C268C6" w:rsidRPr="00C268C6" w:rsidRDefault="00C268C6" w:rsidP="00C268C6">
      <w:pPr>
        <w:ind w:left="360"/>
        <w:rPr>
          <w:szCs w:val="22"/>
        </w:rPr>
      </w:pPr>
      <w:bookmarkStart w:id="219" w:name="_Toc532299710"/>
      <w:bookmarkStart w:id="220" w:name="_Toc532464117"/>
      <w:bookmarkStart w:id="221" w:name="_Toc536195589"/>
      <w:r w:rsidRPr="00C268C6">
        <w:rPr>
          <w:rFonts w:asciiTheme="minorHAnsi" w:hAnsiTheme="minorHAnsi"/>
          <w:szCs w:val="22"/>
        </w:rPr>
        <w:t xml:space="preserve">The Health Board, as part of the Regional Partnership Board, is engaged in the transformation of the integrated system for integrated care.  </w:t>
      </w:r>
      <w:r w:rsidRPr="00C268C6">
        <w:rPr>
          <w:szCs w:val="22"/>
        </w:rPr>
        <w:t>A Shared Care Record is the underpinning digital initiative which supports the transformation programme.  It will seek to make the disparate systems used by care workers more seamless and improve the flow of information.</w:t>
      </w:r>
    </w:p>
    <w:p w14:paraId="6648B148" w14:textId="77777777" w:rsidR="00C268C6" w:rsidRPr="00C268C6" w:rsidRDefault="00C268C6" w:rsidP="00C268C6">
      <w:pPr>
        <w:ind w:left="720"/>
        <w:rPr>
          <w:szCs w:val="22"/>
        </w:rPr>
      </w:pPr>
    </w:p>
    <w:p w14:paraId="0DC609E0" w14:textId="77777777" w:rsidR="00C268C6" w:rsidRPr="00C268C6" w:rsidRDefault="00C268C6" w:rsidP="00C268C6">
      <w:pPr>
        <w:ind w:left="357"/>
        <w:rPr>
          <w:rFonts w:asciiTheme="minorHAnsi" w:hAnsiTheme="minorHAnsi"/>
          <w:szCs w:val="22"/>
        </w:rPr>
      </w:pPr>
      <w:r w:rsidRPr="00C268C6">
        <w:rPr>
          <w:szCs w:val="22"/>
        </w:rPr>
        <w:t xml:space="preserve">There are many people, services and organisations that have an interest in the sharing of patient data.  </w:t>
      </w:r>
      <w:r w:rsidRPr="00C268C6">
        <w:rPr>
          <w:rFonts w:asciiTheme="minorHAnsi" w:hAnsiTheme="minorHAnsi"/>
          <w:szCs w:val="22"/>
        </w:rPr>
        <w:t>In order to ensure we get the right information to the right people at the right time and in the right place, there are several key elements that need to be in place and work together to form the whole solution.  The solution is not just the software, it is all these elements brought together to enable consistent, seamless access to patient data for all parties.</w:t>
      </w:r>
    </w:p>
    <w:p w14:paraId="01758D60" w14:textId="77777777" w:rsidR="00C268C6" w:rsidRPr="00C268C6" w:rsidRDefault="00C268C6" w:rsidP="00C268C6">
      <w:pPr>
        <w:pStyle w:val="NormaBullet"/>
        <w:ind w:left="714" w:hanging="357"/>
        <w:rPr>
          <w:szCs w:val="22"/>
        </w:rPr>
      </w:pPr>
      <w:r w:rsidRPr="00C268C6">
        <w:rPr>
          <w:b/>
          <w:szCs w:val="22"/>
        </w:rPr>
        <w:t>Users</w:t>
      </w:r>
      <w:r w:rsidRPr="00C268C6">
        <w:rPr>
          <w:szCs w:val="22"/>
        </w:rPr>
        <w:t xml:space="preserve"> – users need to be confident, supported and able to use the solution effectively.</w:t>
      </w:r>
    </w:p>
    <w:p w14:paraId="15BD5BCB" w14:textId="77777777" w:rsidR="00C268C6" w:rsidRPr="00C268C6" w:rsidRDefault="00C268C6" w:rsidP="00C268C6">
      <w:pPr>
        <w:pStyle w:val="NormaBullet"/>
        <w:ind w:left="714" w:hanging="357"/>
        <w:rPr>
          <w:szCs w:val="22"/>
        </w:rPr>
      </w:pPr>
      <w:r w:rsidRPr="00C268C6">
        <w:rPr>
          <w:b/>
          <w:szCs w:val="22"/>
        </w:rPr>
        <w:t>Processes</w:t>
      </w:r>
      <w:r w:rsidRPr="00C268C6">
        <w:rPr>
          <w:szCs w:val="22"/>
        </w:rPr>
        <w:t xml:space="preserve"> – processes need to be effective to ensure ease of use of the solution, remove unnecessary data entry and duplication.</w:t>
      </w:r>
    </w:p>
    <w:p w14:paraId="1C772BE7" w14:textId="77777777" w:rsidR="00C268C6" w:rsidRPr="00C268C6" w:rsidRDefault="00C268C6" w:rsidP="00C268C6">
      <w:pPr>
        <w:pStyle w:val="NormaBullet"/>
        <w:ind w:left="714" w:hanging="357"/>
        <w:rPr>
          <w:szCs w:val="22"/>
        </w:rPr>
      </w:pPr>
      <w:r w:rsidRPr="00C268C6">
        <w:rPr>
          <w:b/>
          <w:szCs w:val="22"/>
        </w:rPr>
        <w:t>Information Governance</w:t>
      </w:r>
      <w:r w:rsidRPr="00C268C6">
        <w:rPr>
          <w:szCs w:val="22"/>
        </w:rPr>
        <w:t xml:space="preserve"> – needs to be appropriate and proportionate to ensure patients’ data is protected whilst allowing access to those who need it to provide care (either directly or indirectly) to patients.</w:t>
      </w:r>
    </w:p>
    <w:p w14:paraId="22DC01E4" w14:textId="77777777" w:rsidR="00C268C6" w:rsidRPr="00C268C6" w:rsidRDefault="00C268C6" w:rsidP="00C268C6">
      <w:pPr>
        <w:pStyle w:val="NormaBullet"/>
        <w:ind w:left="714" w:hanging="357"/>
        <w:rPr>
          <w:szCs w:val="22"/>
        </w:rPr>
      </w:pPr>
      <w:r w:rsidRPr="00C268C6">
        <w:rPr>
          <w:b/>
          <w:szCs w:val="22"/>
        </w:rPr>
        <w:t>Software</w:t>
      </w:r>
      <w:r w:rsidRPr="00C268C6">
        <w:rPr>
          <w:szCs w:val="22"/>
        </w:rPr>
        <w:t xml:space="preserve"> – needs to be integrated wherever possible to allow data to be entered once and used many times, easy to use and support the delivery of care, not hinder it.  To be of the most benefit software should be able to be used in offline mode.</w:t>
      </w:r>
    </w:p>
    <w:p w14:paraId="6D41562A" w14:textId="77777777" w:rsidR="00C268C6" w:rsidRPr="00C268C6" w:rsidRDefault="00C268C6" w:rsidP="00C268C6">
      <w:pPr>
        <w:pStyle w:val="NormaBullet"/>
        <w:ind w:left="714" w:hanging="357"/>
        <w:rPr>
          <w:szCs w:val="22"/>
        </w:rPr>
      </w:pPr>
      <w:r w:rsidRPr="00C268C6">
        <w:rPr>
          <w:b/>
          <w:szCs w:val="22"/>
        </w:rPr>
        <w:t>Infrastructure and connectivity</w:t>
      </w:r>
      <w:r w:rsidRPr="00C268C6">
        <w:rPr>
          <w:szCs w:val="22"/>
        </w:rPr>
        <w:t xml:space="preserve"> – the foundation to enable the solution to work, it needs to be fit for purpose to support the requirements of the service and its patients.</w:t>
      </w:r>
    </w:p>
    <w:p w14:paraId="7E9372A4" w14:textId="77777777" w:rsidR="00C268C6" w:rsidRPr="00C268C6" w:rsidRDefault="00C268C6" w:rsidP="00C268C6">
      <w:pPr>
        <w:pStyle w:val="NormaBullet"/>
        <w:ind w:left="714" w:hanging="357"/>
        <w:rPr>
          <w:szCs w:val="22"/>
        </w:rPr>
      </w:pPr>
      <w:r w:rsidRPr="00C268C6">
        <w:rPr>
          <w:b/>
          <w:szCs w:val="22"/>
        </w:rPr>
        <w:t>Devices</w:t>
      </w:r>
      <w:r w:rsidRPr="00C268C6">
        <w:rPr>
          <w:szCs w:val="22"/>
        </w:rPr>
        <w:t xml:space="preserve"> – the correct devices to allow access to the software whether connected or offline.</w:t>
      </w:r>
    </w:p>
    <w:p w14:paraId="79A1FD07" w14:textId="77777777" w:rsidR="00C268C6" w:rsidRPr="002B103C" w:rsidRDefault="00C268C6" w:rsidP="00C268C6">
      <w:pPr>
        <w:rPr>
          <w:szCs w:val="22"/>
        </w:rPr>
      </w:pPr>
    </w:p>
    <w:p w14:paraId="5674F4B2" w14:textId="77777777" w:rsidR="00C268C6" w:rsidRPr="002B103C" w:rsidRDefault="00C268C6" w:rsidP="00C268C6">
      <w:pPr>
        <w:rPr>
          <w:b/>
        </w:rPr>
      </w:pPr>
      <w:r w:rsidRPr="002B103C">
        <w:rPr>
          <w:szCs w:val="22"/>
        </w:rPr>
        <w:t xml:space="preserve">The priorities outlined above are expected to deliver financial and clinical benefits to the Health Board as explained in each section. A more detailed view of the ICT strategy and longer </w:t>
      </w:r>
    </w:p>
    <w:p w14:paraId="2C55EBD3" w14:textId="5D3E13D9" w:rsidR="00345AE0" w:rsidRPr="002B103C" w:rsidRDefault="004E7ED1" w:rsidP="00EE74A7">
      <w:pPr>
        <w:pStyle w:val="Heading2"/>
        <w:rPr>
          <w:szCs w:val="22"/>
        </w:rPr>
      </w:pPr>
      <w:bookmarkStart w:id="222" w:name="_Toc25262203"/>
      <w:r w:rsidRPr="002B103C">
        <w:rPr>
          <w:szCs w:val="22"/>
        </w:rPr>
        <w:t>Estates and Capital</w:t>
      </w:r>
      <w:bookmarkEnd w:id="219"/>
      <w:bookmarkEnd w:id="220"/>
      <w:bookmarkEnd w:id="221"/>
      <w:bookmarkEnd w:id="222"/>
    </w:p>
    <w:p w14:paraId="1D8A5D70" w14:textId="5E827CB9" w:rsidR="002E5B11" w:rsidRPr="002B103C" w:rsidRDefault="00B15BEA" w:rsidP="0051270F">
      <w:pPr>
        <w:pStyle w:val="Heading3"/>
        <w:rPr>
          <w:szCs w:val="22"/>
        </w:rPr>
      </w:pPr>
      <w:bookmarkStart w:id="223" w:name="_Toc532464118"/>
      <w:r w:rsidRPr="002B103C">
        <w:rPr>
          <w:szCs w:val="22"/>
        </w:rPr>
        <w:t>E</w:t>
      </w:r>
      <w:r w:rsidR="002E5B11" w:rsidRPr="002B103C">
        <w:rPr>
          <w:szCs w:val="22"/>
        </w:rPr>
        <w:t>states</w:t>
      </w:r>
      <w:bookmarkEnd w:id="223"/>
      <w:r w:rsidR="002E5B11" w:rsidRPr="002B103C">
        <w:rPr>
          <w:szCs w:val="22"/>
        </w:rPr>
        <w:t xml:space="preserve"> </w:t>
      </w:r>
    </w:p>
    <w:p w14:paraId="04795FA5" w14:textId="77777777" w:rsidR="00C268C6" w:rsidRPr="0064498B" w:rsidRDefault="00C268C6" w:rsidP="00C268C6">
      <w:pPr>
        <w:rPr>
          <w:rFonts w:asciiTheme="minorHAnsi" w:hAnsiTheme="minorHAnsi"/>
          <w:szCs w:val="22"/>
        </w:rPr>
      </w:pPr>
      <w:bookmarkStart w:id="224" w:name="_Toc441757304"/>
      <w:bookmarkStart w:id="225" w:name="_Toc447195701"/>
      <w:r w:rsidRPr="002B103C">
        <w:rPr>
          <w:rFonts w:asciiTheme="minorHAnsi" w:hAnsiTheme="minorHAnsi"/>
          <w:szCs w:val="22"/>
        </w:rPr>
        <w:t xml:space="preserve">The Estate is one of the Health Board’s largest assets and consists </w:t>
      </w:r>
      <w:r w:rsidRPr="0064498B">
        <w:rPr>
          <w:rFonts w:asciiTheme="minorHAnsi" w:hAnsiTheme="minorHAnsi"/>
          <w:szCs w:val="22"/>
        </w:rPr>
        <w:t xml:space="preserve">of a range of facilities and services that support the provision of healthcare services to our residents.  </w:t>
      </w:r>
      <w:r>
        <w:rPr>
          <w:rFonts w:asciiTheme="minorHAnsi" w:hAnsiTheme="minorHAnsi"/>
          <w:szCs w:val="22"/>
        </w:rPr>
        <w:t>The Estates Strategy will be revised to take account of the merger with Bridgend and will continue to describe</w:t>
      </w:r>
      <w:r w:rsidRPr="0064498B">
        <w:rPr>
          <w:rFonts w:asciiTheme="minorHAnsi" w:hAnsiTheme="minorHAnsi"/>
          <w:szCs w:val="22"/>
        </w:rPr>
        <w:t xml:space="preserve"> the Health Board’s existing estate and broadly outlines known and potential changes proposed to it over the next five years.   </w:t>
      </w:r>
    </w:p>
    <w:p w14:paraId="3F56FECE" w14:textId="77777777" w:rsidR="00C268C6" w:rsidRPr="0064498B" w:rsidRDefault="00C268C6" w:rsidP="00C268C6">
      <w:pPr>
        <w:rPr>
          <w:rFonts w:asciiTheme="minorHAnsi" w:hAnsiTheme="minorHAnsi"/>
          <w:szCs w:val="22"/>
        </w:rPr>
      </w:pPr>
    </w:p>
    <w:p w14:paraId="0779F1B7" w14:textId="77777777" w:rsidR="00C268C6" w:rsidRPr="002B2014" w:rsidRDefault="00C268C6" w:rsidP="00C268C6">
      <w:pPr>
        <w:rPr>
          <w:rFonts w:asciiTheme="minorHAnsi" w:hAnsiTheme="minorHAnsi"/>
          <w:szCs w:val="22"/>
        </w:rPr>
      </w:pPr>
      <w:r>
        <w:rPr>
          <w:rFonts w:asciiTheme="minorHAnsi" w:hAnsiTheme="minorHAnsi"/>
          <w:szCs w:val="22"/>
        </w:rPr>
        <w:t>As a result of the merger, t</w:t>
      </w:r>
      <w:r w:rsidRPr="0064498B">
        <w:rPr>
          <w:rFonts w:asciiTheme="minorHAnsi" w:hAnsiTheme="minorHAnsi"/>
          <w:szCs w:val="22"/>
        </w:rPr>
        <w:t xml:space="preserve">he Health Board </w:t>
      </w:r>
      <w:r w:rsidRPr="002B2014">
        <w:rPr>
          <w:rFonts w:asciiTheme="minorHAnsi" w:hAnsiTheme="minorHAnsi"/>
          <w:szCs w:val="22"/>
        </w:rPr>
        <w:t>now manages three District General Hospitals, six occupied community hospitals, 1 mental Health site and 35 health centres/clinics/support facilities.  Within Primary Care, GPs own and manage a large number of premises, many of which the Health Board shares or utilises to some extent.  In 2017/18 former Cwm Taf Health Board purchased the Sanken building in Pencoed.  This building underwent significant capital development in 2017/18 to create the National Imaging Academy which we host on behalf of NHS Wales.</w:t>
      </w:r>
    </w:p>
    <w:p w14:paraId="6C3ABAE4" w14:textId="77777777" w:rsidR="00C268C6" w:rsidRPr="002B2014" w:rsidRDefault="00C268C6" w:rsidP="00C268C6">
      <w:pPr>
        <w:rPr>
          <w:rFonts w:asciiTheme="minorHAnsi" w:hAnsiTheme="minorHAnsi"/>
          <w:szCs w:val="22"/>
        </w:rPr>
      </w:pPr>
    </w:p>
    <w:p w14:paraId="2420ACA0" w14:textId="77777777" w:rsidR="00C268C6" w:rsidRPr="002B2014" w:rsidRDefault="00C268C6" w:rsidP="00C268C6">
      <w:pPr>
        <w:rPr>
          <w:rFonts w:asciiTheme="minorHAnsi" w:hAnsiTheme="minorHAnsi"/>
          <w:szCs w:val="22"/>
        </w:rPr>
      </w:pPr>
      <w:r w:rsidRPr="002B2014">
        <w:rPr>
          <w:rFonts w:asciiTheme="minorHAnsi" w:hAnsiTheme="minorHAnsi"/>
          <w:szCs w:val="22"/>
        </w:rPr>
        <w:t>The current Estates Strategy describes the current condition of the estate, supported by a wealth of data that is submitted as part of the annual Estates and Facilities Performance Management System (EFPMS) returns.  A summary of the key issues is outlined below:</w:t>
      </w:r>
    </w:p>
    <w:p w14:paraId="148B29E7" w14:textId="77777777" w:rsidR="00C268C6" w:rsidRPr="002B2014" w:rsidRDefault="00C268C6" w:rsidP="00C268C6">
      <w:pPr>
        <w:pStyle w:val="NormaBullet"/>
        <w:rPr>
          <w:szCs w:val="22"/>
        </w:rPr>
      </w:pPr>
      <w:r w:rsidRPr="002B2014">
        <w:rPr>
          <w:szCs w:val="22"/>
        </w:rPr>
        <w:t>Major improvements have been made in the condition of the estate over the last few years, with 63% now built post-1995 and only 3% built pre-1945.</w:t>
      </w:r>
    </w:p>
    <w:p w14:paraId="39D34A1A" w14:textId="77777777" w:rsidR="00C268C6" w:rsidRPr="002B2014" w:rsidRDefault="00C268C6" w:rsidP="00C268C6">
      <w:pPr>
        <w:pStyle w:val="NormaBullet"/>
        <w:rPr>
          <w:szCs w:val="22"/>
        </w:rPr>
      </w:pPr>
      <w:r w:rsidRPr="002B2014">
        <w:rPr>
          <w:szCs w:val="22"/>
        </w:rPr>
        <w:t>Overall compliance against fire safety standards has improved considerably (85% of the estate compliant in 2017/18, compared with 75% in 2009/10), work is still required to ensure that compliance against fire standards is improved at PCH.</w:t>
      </w:r>
    </w:p>
    <w:p w14:paraId="79CE9059" w14:textId="77777777" w:rsidR="00C268C6" w:rsidRPr="002B2014" w:rsidRDefault="00C268C6" w:rsidP="00C268C6">
      <w:pPr>
        <w:pStyle w:val="NormaBullet"/>
        <w:rPr>
          <w:szCs w:val="22"/>
        </w:rPr>
      </w:pPr>
      <w:r w:rsidRPr="002B2014">
        <w:rPr>
          <w:szCs w:val="22"/>
        </w:rPr>
        <w:t xml:space="preserve">The overall levels of risk adjusted backlog maintenance have reduced over the last few years with the sale of a number of old community hospitals.  The total risk adjusted backlog costs in 2017/18 were £5.531m compared to £5.775m reported in 2016/17.  It must be noted that these figures exclude the costs associated with the ground and first floor scheme at PCH. </w:t>
      </w:r>
    </w:p>
    <w:p w14:paraId="04849C6C" w14:textId="77777777" w:rsidR="00C268C6" w:rsidRPr="002B2014" w:rsidRDefault="00C268C6" w:rsidP="00C268C6">
      <w:pPr>
        <w:pStyle w:val="NormaBullet"/>
        <w:rPr>
          <w:szCs w:val="22"/>
        </w:rPr>
      </w:pPr>
      <w:r w:rsidRPr="002B2014">
        <w:rPr>
          <w:szCs w:val="22"/>
        </w:rPr>
        <w:t xml:space="preserve">The data suggests that a significant maintenance backlog has built up at RGH, which is now 19 years old, with increasing pressures on the building and the accommodation in terms of overall space, functional suitability, and lifespan of major areas of plant/equipment.  Steps taken to address this position will be further addressed in the capital section of this report. </w:t>
      </w:r>
    </w:p>
    <w:p w14:paraId="6E7198E6" w14:textId="77777777" w:rsidR="00C268C6" w:rsidRPr="002B2014" w:rsidRDefault="00C268C6" w:rsidP="00C268C6">
      <w:pPr>
        <w:pStyle w:val="NormaBullet"/>
        <w:rPr>
          <w:szCs w:val="22"/>
        </w:rPr>
      </w:pPr>
      <w:r w:rsidRPr="002B2014">
        <w:rPr>
          <w:szCs w:val="22"/>
        </w:rPr>
        <w:t>Dewi Sant Hospital also requires significant additional investment to bring this up to standard and ensure that it is fit for purpose for the planned Health Park.  Elements of the infrastructure will be addressed in the phase 2 business case which has been submitted to Welsh Government as part of the Primary Care pipeline to establish a Health Park on the site.</w:t>
      </w:r>
    </w:p>
    <w:p w14:paraId="17039C34" w14:textId="77777777" w:rsidR="00C268C6" w:rsidRPr="002B2014" w:rsidRDefault="00C268C6" w:rsidP="00C268C6">
      <w:pPr>
        <w:pStyle w:val="NormaBullet"/>
        <w:rPr>
          <w:szCs w:val="22"/>
        </w:rPr>
      </w:pPr>
      <w:r w:rsidRPr="002B2014">
        <w:rPr>
          <w:szCs w:val="22"/>
        </w:rPr>
        <w:t xml:space="preserve">A significant increase in expenditure is required to reduce the overall backlog maintenance costs </w:t>
      </w:r>
    </w:p>
    <w:p w14:paraId="008C390E" w14:textId="77777777" w:rsidR="00C268C6" w:rsidRPr="002B2014" w:rsidRDefault="00C268C6" w:rsidP="00C268C6">
      <w:pPr>
        <w:pStyle w:val="NormaBullet"/>
        <w:rPr>
          <w:szCs w:val="22"/>
        </w:rPr>
      </w:pPr>
      <w:r w:rsidRPr="002B2014">
        <w:rPr>
          <w:szCs w:val="22"/>
        </w:rPr>
        <w:t xml:space="preserve">There are a number of primary care practices in poor condition which will need to be addressed as part of the Primary Care Estates Strategy.  In the past, the development of new Primary Care premises has been achieved largely through the use of third party developers with funding support for any increased revenue costs met by Welsh Government.  2017/18 saw the introduction of the Welsh Government Primary Care pipeline and support for a return to a third party developer model.  Welsh Government will therefore be providing revenue support to the new build Mountain Ash Primary Care Centre under a third party developer solution.  In addition, Welsh Government has also ring-fenced a capital fund which has supported Aberdare Health Centre in 2017/18 and the refurbishment of  Tonypandy Health Centre which completed  in 2019/20 and phase 2 of the Dewi Sant Health Park.  The merger with Bridgend has seen a further project transfer to the Health Board, the creation of a Health Centre on the Sunnyside Wellness Village, a project developed in conjunction with Linc Housing which will see the creation of a new capital build and the disinvestment of 4 HB owned community sites.   Steps will be taken to develop a programme to address remaining practices in need of investment and improvement.  </w:t>
      </w:r>
    </w:p>
    <w:p w14:paraId="1E75907A" w14:textId="77777777" w:rsidR="00C268C6" w:rsidRPr="00861D64" w:rsidRDefault="00C268C6" w:rsidP="00C268C6">
      <w:pPr>
        <w:pStyle w:val="NormaBullet"/>
        <w:rPr>
          <w:szCs w:val="22"/>
        </w:rPr>
      </w:pPr>
      <w:r w:rsidRPr="00861D64">
        <w:rPr>
          <w:szCs w:val="22"/>
        </w:rPr>
        <w:lastRenderedPageBreak/>
        <w:t xml:space="preserve">Completion of the Specialist Palliative Care unit on the RGH site which has enabled services to transfer from Y Bwythyn, Pontpridd Cottage Hospital.  The project has been a success in working in partnership with MacMillan to deliver a state of the art facility for patients. </w:t>
      </w:r>
    </w:p>
    <w:p w14:paraId="1F344941" w14:textId="77777777" w:rsidR="00C268C6" w:rsidRPr="00861D64" w:rsidRDefault="00C268C6" w:rsidP="00C268C6">
      <w:pPr>
        <w:pStyle w:val="NormaBullet"/>
        <w:rPr>
          <w:szCs w:val="22"/>
        </w:rPr>
      </w:pPr>
      <w:r w:rsidRPr="00861D64">
        <w:rPr>
          <w:szCs w:val="22"/>
        </w:rPr>
        <w:t xml:space="preserve">A review of the four facet </w:t>
      </w:r>
      <w:proofErr w:type="gramStart"/>
      <w:r w:rsidRPr="00861D64">
        <w:rPr>
          <w:szCs w:val="22"/>
        </w:rPr>
        <w:t>survey  for</w:t>
      </w:r>
      <w:proofErr w:type="gramEnd"/>
      <w:r w:rsidRPr="00861D64">
        <w:rPr>
          <w:szCs w:val="22"/>
        </w:rPr>
        <w:t xml:space="preserve"> the Bridgend boundary properties which will identify the current status and condition of the estate, once this is finalized, this alongside all the information on Cwm Taf will support the development of a new estates strategy covering the new health region and inform further capital investment decisions.</w:t>
      </w:r>
    </w:p>
    <w:p w14:paraId="33EAF2AE" w14:textId="77777777" w:rsidR="00C268C6" w:rsidRPr="00861D64" w:rsidRDefault="00C268C6" w:rsidP="00C268C6">
      <w:pPr>
        <w:rPr>
          <w:szCs w:val="22"/>
        </w:rPr>
      </w:pPr>
    </w:p>
    <w:p w14:paraId="576CD7E9" w14:textId="77777777" w:rsidR="00C268C6" w:rsidRPr="002B2014" w:rsidRDefault="00C268C6" w:rsidP="00C268C6">
      <w:pPr>
        <w:rPr>
          <w:rFonts w:asciiTheme="minorHAnsi" w:hAnsiTheme="minorHAnsi"/>
          <w:szCs w:val="22"/>
        </w:rPr>
      </w:pPr>
      <w:r w:rsidRPr="00861D64">
        <w:rPr>
          <w:rFonts w:asciiTheme="minorHAnsi" w:hAnsiTheme="minorHAnsi"/>
          <w:szCs w:val="22"/>
        </w:rPr>
        <w:t>In terms of energy management, the Health Board recognises that the consumption</w:t>
      </w:r>
      <w:r w:rsidRPr="002B2014">
        <w:rPr>
          <w:rFonts w:asciiTheme="minorHAnsi" w:hAnsiTheme="minorHAnsi"/>
          <w:szCs w:val="22"/>
        </w:rPr>
        <w:t xml:space="preserve"> of energy and water is necessary for the provision of healthcare services, but that it also has a responsibility to be energy and resource efficient by minimising unnecessary energy usage. </w:t>
      </w:r>
    </w:p>
    <w:p w14:paraId="05A3EDE9" w14:textId="77777777" w:rsidR="00C268C6" w:rsidRPr="002B2014" w:rsidRDefault="00C268C6" w:rsidP="00C268C6">
      <w:pPr>
        <w:rPr>
          <w:rFonts w:asciiTheme="minorHAnsi" w:hAnsiTheme="minorHAnsi"/>
          <w:szCs w:val="22"/>
        </w:rPr>
      </w:pPr>
    </w:p>
    <w:p w14:paraId="7CEAC0C8" w14:textId="77777777" w:rsidR="00C268C6" w:rsidRPr="002B2014" w:rsidRDefault="00C268C6" w:rsidP="00C268C6">
      <w:pPr>
        <w:rPr>
          <w:rFonts w:asciiTheme="minorHAnsi" w:hAnsiTheme="minorHAnsi"/>
          <w:szCs w:val="22"/>
        </w:rPr>
      </w:pPr>
      <w:r w:rsidRPr="002B2014">
        <w:rPr>
          <w:rFonts w:asciiTheme="minorHAnsi" w:hAnsiTheme="minorHAnsi"/>
          <w:szCs w:val="22"/>
        </w:rPr>
        <w:t>The Health Board has already invested in various low or zero carbon technologies which will help drive it to a zero carbon emitting organisation.  The level of consumption in 2016/17 was (410 kWh/m</w:t>
      </w:r>
      <w:r w:rsidRPr="002B2014">
        <w:rPr>
          <w:rFonts w:asciiTheme="minorHAnsi" w:hAnsiTheme="minorHAnsi"/>
          <w:szCs w:val="22"/>
          <w:vertAlign w:val="superscript"/>
        </w:rPr>
        <w:t>2</w:t>
      </w:r>
      <w:r w:rsidRPr="002B2014">
        <w:rPr>
          <w:rFonts w:asciiTheme="minorHAnsi" w:hAnsiTheme="minorHAnsi"/>
          <w:szCs w:val="22"/>
        </w:rPr>
        <w:t>) and was rated as a green performance nationally.  Improvements made since 2017/18 have further reduced the consumption to 406 kWh/m</w:t>
      </w:r>
      <w:r w:rsidRPr="002B2014">
        <w:rPr>
          <w:rFonts w:asciiTheme="minorHAnsi" w:hAnsiTheme="minorHAnsi"/>
          <w:szCs w:val="22"/>
          <w:vertAlign w:val="superscript"/>
        </w:rPr>
        <w:t>2</w:t>
      </w:r>
      <w:r w:rsidRPr="002B2014">
        <w:rPr>
          <w:rFonts w:asciiTheme="minorHAnsi" w:hAnsiTheme="minorHAnsi"/>
          <w:szCs w:val="22"/>
        </w:rPr>
        <w:t xml:space="preserve"> which has maintained compliance with the green national performance indicator, whilst CO</w:t>
      </w:r>
      <w:r w:rsidRPr="002B2014">
        <w:rPr>
          <w:rFonts w:asciiTheme="minorHAnsi" w:hAnsiTheme="minorHAnsi"/>
          <w:szCs w:val="22"/>
          <w:vertAlign w:val="subscript"/>
        </w:rPr>
        <w:t>2</w:t>
      </w:r>
      <w:r w:rsidRPr="002B2014">
        <w:rPr>
          <w:rFonts w:asciiTheme="minorHAnsi" w:hAnsiTheme="minorHAnsi"/>
          <w:szCs w:val="22"/>
        </w:rPr>
        <w:t xml:space="preserve"> (kg/m</w:t>
      </w:r>
      <w:r w:rsidRPr="002B2014">
        <w:rPr>
          <w:rFonts w:asciiTheme="minorHAnsi" w:hAnsiTheme="minorHAnsi"/>
          <w:szCs w:val="22"/>
          <w:vertAlign w:val="superscript"/>
        </w:rPr>
        <w:t>2</w:t>
      </w:r>
      <w:r w:rsidRPr="002B2014">
        <w:rPr>
          <w:rFonts w:asciiTheme="minorHAnsi" w:hAnsiTheme="minorHAnsi"/>
          <w:szCs w:val="22"/>
        </w:rPr>
        <w:t>) emissions reduced from 106 to 95kg/m</w:t>
      </w:r>
      <w:r w:rsidRPr="002B2014">
        <w:rPr>
          <w:rFonts w:asciiTheme="minorHAnsi" w:hAnsiTheme="minorHAnsi"/>
          <w:szCs w:val="22"/>
          <w:vertAlign w:val="superscript"/>
        </w:rPr>
        <w:t>2</w:t>
      </w:r>
      <w:r w:rsidRPr="002B2014">
        <w:rPr>
          <w:rFonts w:asciiTheme="minorHAnsi" w:hAnsiTheme="minorHAnsi"/>
          <w:szCs w:val="22"/>
        </w:rPr>
        <w:t xml:space="preserve">.  This is despite the completion of the Diagnostic Hub at Royal Glamorgan Hospital in June-2017 which increased the site electricity consumption by 11%.  </w:t>
      </w:r>
    </w:p>
    <w:p w14:paraId="54F2C140" w14:textId="77777777" w:rsidR="00C268C6" w:rsidRPr="002B2014" w:rsidRDefault="00C268C6" w:rsidP="00C268C6">
      <w:pPr>
        <w:rPr>
          <w:rFonts w:asciiTheme="minorHAnsi" w:hAnsiTheme="minorHAnsi"/>
          <w:szCs w:val="22"/>
        </w:rPr>
      </w:pPr>
      <w:r w:rsidRPr="002B2014">
        <w:rPr>
          <w:rFonts w:asciiTheme="minorHAnsi" w:hAnsiTheme="minorHAnsi"/>
          <w:szCs w:val="22"/>
        </w:rPr>
        <w:t xml:space="preserve">In 2017/18, the Health Board recorded a total energy cost of £4,713,770, compared to £3,746,573 reported the previous year.  This increase is mainly attributed to an increase in utility rates. </w:t>
      </w:r>
    </w:p>
    <w:p w14:paraId="7FEC932E" w14:textId="77777777" w:rsidR="00C268C6" w:rsidRPr="002B2014" w:rsidRDefault="00C268C6" w:rsidP="00C268C6">
      <w:pPr>
        <w:rPr>
          <w:rFonts w:asciiTheme="minorHAnsi" w:hAnsiTheme="minorHAnsi"/>
          <w:szCs w:val="22"/>
        </w:rPr>
      </w:pPr>
    </w:p>
    <w:p w14:paraId="31D7513C" w14:textId="77777777" w:rsidR="00C268C6" w:rsidRPr="0064498B" w:rsidRDefault="00C268C6" w:rsidP="00C268C6">
      <w:pPr>
        <w:rPr>
          <w:rFonts w:asciiTheme="minorHAnsi" w:hAnsiTheme="minorHAnsi"/>
          <w:szCs w:val="22"/>
        </w:rPr>
      </w:pPr>
      <w:r w:rsidRPr="002B2014">
        <w:rPr>
          <w:rFonts w:asciiTheme="minorHAnsi" w:hAnsiTheme="minorHAnsi"/>
          <w:szCs w:val="22"/>
        </w:rPr>
        <w:t>The Health Board’s ‘Strategic Assessment of Energy Efficiency Opportunities’ report has been undertaken with consultancy support from the Welsh Government Energy Service (WGES) and comprises the recommendations of six detailed energy audits completed in August 2018.  The work identified the potential for a 13% carbon saving that can be achieved across the six audited sites.  Work to deliver this will continue through this Plan’s term.</w:t>
      </w:r>
      <w:r w:rsidRPr="0064498B">
        <w:rPr>
          <w:rFonts w:asciiTheme="minorHAnsi" w:hAnsiTheme="minorHAnsi"/>
          <w:szCs w:val="22"/>
        </w:rPr>
        <w:t xml:space="preserve"> </w:t>
      </w:r>
    </w:p>
    <w:p w14:paraId="24F48A32" w14:textId="77777777" w:rsidR="00C268C6" w:rsidRPr="0064498B" w:rsidRDefault="00C268C6" w:rsidP="00C268C6">
      <w:pPr>
        <w:rPr>
          <w:rFonts w:asciiTheme="minorHAnsi" w:hAnsiTheme="minorHAnsi"/>
          <w:szCs w:val="22"/>
        </w:rPr>
      </w:pPr>
      <w:r w:rsidRPr="0064498B">
        <w:rPr>
          <w:rFonts w:asciiTheme="minorHAnsi" w:hAnsiTheme="minorHAnsi"/>
          <w:szCs w:val="22"/>
        </w:rPr>
        <w:t xml:space="preserve">This IMTP sets out a number of service changes, many of which will have a significant impact on the estate.  The Estates Strategy will </w:t>
      </w:r>
      <w:r>
        <w:rPr>
          <w:rFonts w:asciiTheme="minorHAnsi" w:hAnsiTheme="minorHAnsi"/>
          <w:szCs w:val="22"/>
        </w:rPr>
        <w:t>ou</w:t>
      </w:r>
      <w:r w:rsidRPr="0064498B">
        <w:rPr>
          <w:rFonts w:asciiTheme="minorHAnsi" w:hAnsiTheme="minorHAnsi"/>
          <w:szCs w:val="22"/>
        </w:rPr>
        <w:t>t</w:t>
      </w:r>
      <w:r>
        <w:rPr>
          <w:rFonts w:asciiTheme="minorHAnsi" w:hAnsiTheme="minorHAnsi"/>
          <w:szCs w:val="22"/>
        </w:rPr>
        <w:t>line this</w:t>
      </w:r>
      <w:r w:rsidRPr="0064498B">
        <w:rPr>
          <w:rFonts w:asciiTheme="minorHAnsi" w:hAnsiTheme="minorHAnsi"/>
          <w:szCs w:val="22"/>
        </w:rPr>
        <w:t xml:space="preserve"> in more detail, but some of the more major impacts include:</w:t>
      </w:r>
    </w:p>
    <w:p w14:paraId="54666CD1" w14:textId="77777777" w:rsidR="00C268C6" w:rsidRPr="0064498B" w:rsidRDefault="00C268C6" w:rsidP="00C268C6">
      <w:pPr>
        <w:pStyle w:val="NormaBullet"/>
        <w:rPr>
          <w:szCs w:val="22"/>
        </w:rPr>
      </w:pPr>
      <w:r w:rsidRPr="0064498B">
        <w:rPr>
          <w:szCs w:val="22"/>
        </w:rPr>
        <w:t xml:space="preserve">A major redesign of services provided from RGH, which will require capital refurbishment as an enabler.  </w:t>
      </w:r>
      <w:r>
        <w:rPr>
          <w:szCs w:val="22"/>
        </w:rPr>
        <w:t>In 2019/20 a first phase of this scheme completed when consultant obstetric and neonatal services transferred to PCH and an interim freestanding midwifery Unit was developed.  Further development phases include a</w:t>
      </w:r>
      <w:r w:rsidRPr="0064498B">
        <w:rPr>
          <w:szCs w:val="22"/>
        </w:rPr>
        <w:t xml:space="preserve"> Paediatric Assessment Unit when </w:t>
      </w:r>
      <w:r>
        <w:rPr>
          <w:szCs w:val="22"/>
        </w:rPr>
        <w:t>inpatient paediatric services</w:t>
      </w:r>
      <w:r w:rsidRPr="0064498B">
        <w:rPr>
          <w:szCs w:val="22"/>
        </w:rPr>
        <w:t xml:space="preserve"> transfer to Prince Charles Hospital alongside the centralisation of breast services, changes in day surgery and endoscopy configuration (and expansion of capacity) and include changes arising from the South Wales Programme including the Acute Medicine model. </w:t>
      </w:r>
    </w:p>
    <w:p w14:paraId="786960CB" w14:textId="77777777" w:rsidR="00C268C6" w:rsidRPr="002B103C" w:rsidRDefault="00C268C6" w:rsidP="00C268C6">
      <w:pPr>
        <w:pStyle w:val="NormaBullet"/>
        <w:rPr>
          <w:szCs w:val="22"/>
        </w:rPr>
      </w:pPr>
      <w:r w:rsidRPr="00345150">
        <w:rPr>
          <w:szCs w:val="22"/>
        </w:rPr>
        <w:t xml:space="preserve">Development of the second phase of work to establish a ‘health park’ type facility on the Dewi Sant site, with a mix of primary and community health care, social care and Third Sector partners using the site for ambulatory care is ongoing.  Phase 1 completed in 2017/18 and the business case for phase 2 was submitted to Welsh Government in the summer 2019/20 </w:t>
      </w:r>
      <w:r w:rsidRPr="002B2014">
        <w:rPr>
          <w:szCs w:val="22"/>
        </w:rPr>
        <w:t xml:space="preserve">and approval is expected in the final </w:t>
      </w:r>
      <w:r w:rsidRPr="002B103C">
        <w:rPr>
          <w:szCs w:val="22"/>
        </w:rPr>
        <w:t xml:space="preserve">quarter of 2019/20 </w:t>
      </w:r>
    </w:p>
    <w:p w14:paraId="7DB347E6" w14:textId="77777777" w:rsidR="00C268C6" w:rsidRPr="002B103C" w:rsidRDefault="00C268C6" w:rsidP="00C268C6">
      <w:pPr>
        <w:pStyle w:val="NormaBullet"/>
        <w:rPr>
          <w:szCs w:val="22"/>
        </w:rPr>
      </w:pPr>
      <w:r w:rsidRPr="002B103C">
        <w:rPr>
          <w:szCs w:val="22"/>
        </w:rPr>
        <w:t xml:space="preserve">Service remodelling which will see Tonteg Hospital and Pontypridd and District Cottage Hospitals becoming surplus to requirements, and further reviews on-going to determine whether any further community premises may be vacated in the future. </w:t>
      </w:r>
    </w:p>
    <w:p w14:paraId="61DA4202" w14:textId="77777777" w:rsidR="00C268C6" w:rsidRPr="002B103C" w:rsidRDefault="00C268C6" w:rsidP="00C268C6">
      <w:pPr>
        <w:pStyle w:val="NormaBullet"/>
        <w:rPr>
          <w:szCs w:val="22"/>
        </w:rPr>
      </w:pPr>
      <w:r w:rsidRPr="002B103C">
        <w:rPr>
          <w:szCs w:val="22"/>
        </w:rPr>
        <w:t>The completion of the building of the specialist palliative care facility on the RGH site in partnership with MacMillan which opened in 2019/20.</w:t>
      </w:r>
    </w:p>
    <w:p w14:paraId="0D231F85" w14:textId="77777777" w:rsidR="00C268C6" w:rsidRPr="002B103C" w:rsidRDefault="00C268C6" w:rsidP="00C268C6">
      <w:pPr>
        <w:pStyle w:val="NormaBullet"/>
        <w:rPr>
          <w:szCs w:val="22"/>
        </w:rPr>
      </w:pPr>
      <w:r w:rsidRPr="002B103C">
        <w:rPr>
          <w:szCs w:val="22"/>
        </w:rPr>
        <w:t xml:space="preserve">In addition further investment in plant and infrastructure will be required to ensure that the estate can continue to support the delivery of services in a sustainable manner. </w:t>
      </w:r>
    </w:p>
    <w:p w14:paraId="177CEE29" w14:textId="77777777" w:rsidR="00C268C6" w:rsidRPr="002B103C" w:rsidRDefault="00C268C6" w:rsidP="00C268C6">
      <w:pPr>
        <w:pStyle w:val="NormaBullet"/>
        <w:rPr>
          <w:szCs w:val="22"/>
        </w:rPr>
      </w:pPr>
      <w:r w:rsidRPr="002B103C">
        <w:rPr>
          <w:szCs w:val="22"/>
        </w:rPr>
        <w:t>In relation the services provided in the Bridgend area, these will become part of the overarching capital programme and are being prioritised accordingly, but some of the key services and infrastructure changes are:</w:t>
      </w:r>
    </w:p>
    <w:p w14:paraId="2EC96141" w14:textId="77777777" w:rsidR="00C268C6" w:rsidRPr="002B103C" w:rsidRDefault="00C268C6" w:rsidP="00C268C6">
      <w:pPr>
        <w:pStyle w:val="NormalBulletIndent"/>
        <w:rPr>
          <w:szCs w:val="22"/>
        </w:rPr>
      </w:pPr>
      <w:r w:rsidRPr="002B103C">
        <w:rPr>
          <w:szCs w:val="22"/>
        </w:rPr>
        <w:t xml:space="preserve">Urgent works to respond to the Fire Enforcement Notice covering theatres at POWH.  Some of this work will be achieved quickly and other aspects, including above ceiling damper work, will be a longer and more detailed project.  Work is ongoing with the fire service to develop a safe and effective response to ensure discharge of the notice. </w:t>
      </w:r>
    </w:p>
    <w:p w14:paraId="7EA4C397" w14:textId="77777777" w:rsidR="00C268C6" w:rsidRPr="002B103C" w:rsidRDefault="00C268C6" w:rsidP="00C268C6">
      <w:pPr>
        <w:pStyle w:val="NormalBulletIndent"/>
        <w:rPr>
          <w:szCs w:val="22"/>
        </w:rPr>
      </w:pPr>
      <w:r w:rsidRPr="002B103C">
        <w:rPr>
          <w:szCs w:val="22"/>
        </w:rPr>
        <w:t xml:space="preserve">Development of a centralised decontamination unit in POW to maintain JAG accreditation, , the All Wales audit in 2016 identified a need for a centralised scope decontamination facility on the site however more </w:t>
      </w:r>
      <w:r w:rsidRPr="002B103C">
        <w:rPr>
          <w:szCs w:val="22"/>
        </w:rPr>
        <w:lastRenderedPageBreak/>
        <w:t>recent concerns have also identified an urgent need to upgrade and increase capacity in the HSDU on site.  As a result a centralised decontamination scheme to include all decontamination facilities is under development which will secure consistent compliance to quality standards and compliance to health and safety and building requirements.</w:t>
      </w:r>
    </w:p>
    <w:p w14:paraId="11F074EA" w14:textId="77777777" w:rsidR="00C268C6" w:rsidRPr="002B103C" w:rsidRDefault="00C268C6" w:rsidP="00C268C6">
      <w:pPr>
        <w:pStyle w:val="NormalBulletIndent"/>
        <w:rPr>
          <w:szCs w:val="22"/>
        </w:rPr>
      </w:pPr>
      <w:r w:rsidRPr="002B103C">
        <w:rPr>
          <w:szCs w:val="22"/>
        </w:rPr>
        <w:t>A need to develop an area to support the admission of surgery and gynaecology patients on the day of their elective surgery which will have the benefit of improvement of patient experience alongside more effective theatre and bed utilisation within the hospital.</w:t>
      </w:r>
    </w:p>
    <w:p w14:paraId="50C1EEA1" w14:textId="77777777" w:rsidR="00C268C6" w:rsidRPr="002B103C" w:rsidRDefault="00C268C6" w:rsidP="003B1653">
      <w:pPr>
        <w:pStyle w:val="NormalBulletIndent"/>
        <w:numPr>
          <w:ilvl w:val="0"/>
          <w:numId w:val="91"/>
        </w:numPr>
        <w:ind w:left="709" w:hanging="425"/>
        <w:rPr>
          <w:szCs w:val="22"/>
        </w:rPr>
      </w:pPr>
      <w:r w:rsidRPr="002B103C">
        <w:rPr>
          <w:szCs w:val="22"/>
        </w:rPr>
        <w:t>Capital investment to support the changes related to the assessment of emergency surgical attendances at the front door to create an Ambulatory Emergency Surgical Unit by relocating the current fracture clinic to an area not used by pathology.</w:t>
      </w:r>
    </w:p>
    <w:p w14:paraId="3AEC641D" w14:textId="77777777" w:rsidR="00C268C6" w:rsidRPr="002B103C" w:rsidRDefault="00C268C6" w:rsidP="003B1653">
      <w:pPr>
        <w:pStyle w:val="NormalBulletIndent"/>
        <w:numPr>
          <w:ilvl w:val="0"/>
          <w:numId w:val="91"/>
        </w:numPr>
        <w:ind w:left="709" w:hanging="425"/>
        <w:rPr>
          <w:szCs w:val="22"/>
        </w:rPr>
      </w:pPr>
      <w:r w:rsidRPr="002B103C">
        <w:rPr>
          <w:szCs w:val="22"/>
        </w:rPr>
        <w:t>Planning permission has been secured for an onsite decant area which could support a programme of ward and department upgrades and improvements.</w:t>
      </w:r>
    </w:p>
    <w:p w14:paraId="19C98D45" w14:textId="77777777" w:rsidR="00C268C6" w:rsidRPr="002B103C" w:rsidRDefault="00C268C6" w:rsidP="00C268C6">
      <w:pPr>
        <w:pStyle w:val="NormalBulletIndent"/>
        <w:rPr>
          <w:szCs w:val="22"/>
        </w:rPr>
      </w:pPr>
      <w:r w:rsidRPr="002B103C">
        <w:rPr>
          <w:szCs w:val="22"/>
        </w:rPr>
        <w:t>The development and implementation of expansion of the Glaucoma team at POW which would require a capital investment in equipment, ICT infrastructure and some internal reconfiguration required to deliver this increased capacity.</w:t>
      </w:r>
    </w:p>
    <w:p w14:paraId="643D56A6" w14:textId="77777777" w:rsidR="00C268C6" w:rsidRPr="002B103C" w:rsidRDefault="00C268C6" w:rsidP="00C268C6">
      <w:pPr>
        <w:pStyle w:val="NormalBulletIndent"/>
        <w:rPr>
          <w:szCs w:val="22"/>
        </w:rPr>
      </w:pPr>
      <w:r w:rsidRPr="002B103C">
        <w:rPr>
          <w:szCs w:val="22"/>
        </w:rPr>
        <w:t>There is increasing pressure to redesign the ITU department This would require a business justification case to support works that could cost in the region of £4-5M</w:t>
      </w:r>
    </w:p>
    <w:p w14:paraId="2031FC31" w14:textId="77777777" w:rsidR="00C268C6" w:rsidRPr="002B103C" w:rsidRDefault="00C268C6" w:rsidP="00C268C6">
      <w:pPr>
        <w:pStyle w:val="NormalBulletIndent"/>
        <w:rPr>
          <w:szCs w:val="22"/>
        </w:rPr>
      </w:pPr>
      <w:r w:rsidRPr="002B103C">
        <w:rPr>
          <w:szCs w:val="22"/>
        </w:rPr>
        <w:t>Requirement for a programme of theatre plant refurbishment for POW which will include the need for decant and phased laminar flow theatre activity.  This could require an investment of circa £2.5M to deliver.</w:t>
      </w:r>
    </w:p>
    <w:p w14:paraId="38A4AE21" w14:textId="77777777" w:rsidR="00C268C6" w:rsidRPr="002B103C" w:rsidRDefault="00C268C6" w:rsidP="00C268C6">
      <w:pPr>
        <w:pStyle w:val="NormalBulletIndent"/>
        <w:rPr>
          <w:szCs w:val="22"/>
        </w:rPr>
      </w:pPr>
      <w:r w:rsidRPr="002B103C">
        <w:rPr>
          <w:szCs w:val="22"/>
        </w:rPr>
        <w:t xml:space="preserve">Alongside this there are a number of smaller departments and areas requiring refurbishments programmes and space adjustments which the capital team will need to work with the relevant directorate to develop a deliverable phased programme of works to address. </w:t>
      </w:r>
    </w:p>
    <w:p w14:paraId="5C81119E" w14:textId="77777777" w:rsidR="00C268C6" w:rsidRPr="002B103C" w:rsidRDefault="00C268C6" w:rsidP="00C268C6">
      <w:pPr>
        <w:rPr>
          <w:rFonts w:asciiTheme="minorHAnsi" w:hAnsiTheme="minorHAnsi"/>
          <w:szCs w:val="22"/>
        </w:rPr>
      </w:pPr>
      <w:bookmarkStart w:id="226" w:name="_Toc532464119"/>
    </w:p>
    <w:p w14:paraId="5E8DC9E4" w14:textId="77777777" w:rsidR="00C268C6" w:rsidRPr="002B103C" w:rsidRDefault="00C268C6" w:rsidP="00C268C6">
      <w:pPr>
        <w:rPr>
          <w:rFonts w:asciiTheme="minorHAnsi" w:hAnsiTheme="minorHAnsi"/>
          <w:szCs w:val="22"/>
        </w:rPr>
      </w:pPr>
      <w:r w:rsidRPr="002B103C">
        <w:rPr>
          <w:rFonts w:asciiTheme="minorHAnsi" w:hAnsiTheme="minorHAnsi"/>
          <w:szCs w:val="22"/>
        </w:rPr>
        <w:t xml:space="preserve">Over the next three years, the strategic objectives for our estate are to ensure that: </w:t>
      </w:r>
    </w:p>
    <w:p w14:paraId="00871476" w14:textId="77777777" w:rsidR="00C268C6" w:rsidRPr="002B103C" w:rsidRDefault="00C268C6" w:rsidP="00C268C6">
      <w:pPr>
        <w:pStyle w:val="NormaBullet"/>
        <w:rPr>
          <w:szCs w:val="22"/>
        </w:rPr>
      </w:pPr>
      <w:r w:rsidRPr="002B103C">
        <w:rPr>
          <w:szCs w:val="22"/>
        </w:rPr>
        <w:t xml:space="preserve">The estate is developed to meet emerging service models. </w:t>
      </w:r>
    </w:p>
    <w:p w14:paraId="5928A42B" w14:textId="77777777" w:rsidR="00C268C6" w:rsidRPr="002B103C" w:rsidRDefault="00C268C6" w:rsidP="00C268C6">
      <w:pPr>
        <w:pStyle w:val="NormaBullet"/>
        <w:rPr>
          <w:szCs w:val="22"/>
        </w:rPr>
      </w:pPr>
      <w:r w:rsidRPr="002B103C">
        <w:rPr>
          <w:szCs w:val="22"/>
        </w:rPr>
        <w:t xml:space="preserve">All statutory and safety obligations are achieved. </w:t>
      </w:r>
    </w:p>
    <w:p w14:paraId="072EF365" w14:textId="77777777" w:rsidR="00C268C6" w:rsidRPr="002B103C" w:rsidRDefault="00C268C6" w:rsidP="00C268C6">
      <w:pPr>
        <w:pStyle w:val="NormaBullet"/>
        <w:rPr>
          <w:szCs w:val="22"/>
        </w:rPr>
      </w:pPr>
      <w:r w:rsidRPr="002B103C">
        <w:rPr>
          <w:szCs w:val="22"/>
        </w:rPr>
        <w:t xml:space="preserve">Backlog maintenance levels are reduced year on year to a nominal amount. </w:t>
      </w:r>
    </w:p>
    <w:p w14:paraId="2F3C2C9B" w14:textId="77777777" w:rsidR="00C268C6" w:rsidRPr="002B103C" w:rsidRDefault="00C268C6" w:rsidP="00C268C6">
      <w:pPr>
        <w:pStyle w:val="NormaBullet"/>
        <w:rPr>
          <w:szCs w:val="22"/>
        </w:rPr>
      </w:pPr>
      <w:r w:rsidRPr="002B103C">
        <w:rPr>
          <w:szCs w:val="22"/>
        </w:rPr>
        <w:t xml:space="preserve">Performance against the 6 national targets is improved, with the 90% target achieved by 2020/21. </w:t>
      </w:r>
    </w:p>
    <w:p w14:paraId="3287F1A7" w14:textId="77777777" w:rsidR="00C268C6" w:rsidRPr="002B103C" w:rsidRDefault="00C268C6" w:rsidP="00C268C6">
      <w:pPr>
        <w:pStyle w:val="NormaBullet"/>
        <w:rPr>
          <w:szCs w:val="22"/>
        </w:rPr>
      </w:pPr>
      <w:r w:rsidRPr="002B103C">
        <w:rPr>
          <w:szCs w:val="22"/>
        </w:rPr>
        <w:t xml:space="preserve">The cost per square metre is reviewed each year, reducing it if possible, taking account of the safety of the service. </w:t>
      </w:r>
    </w:p>
    <w:p w14:paraId="244E681D" w14:textId="77777777" w:rsidR="00C268C6" w:rsidRPr="002B103C" w:rsidRDefault="00C268C6" w:rsidP="00C268C6">
      <w:pPr>
        <w:pStyle w:val="NormaBullet"/>
        <w:rPr>
          <w:szCs w:val="22"/>
        </w:rPr>
      </w:pPr>
      <w:r w:rsidRPr="002B103C">
        <w:rPr>
          <w:szCs w:val="22"/>
        </w:rPr>
        <w:t>Continue the work with Public Sector partners on asset collaboration.</w:t>
      </w:r>
    </w:p>
    <w:p w14:paraId="3F123E3F" w14:textId="2BA605EB" w:rsidR="0051270F" w:rsidRPr="002B103C" w:rsidRDefault="0051270F" w:rsidP="0051270F">
      <w:pPr>
        <w:pStyle w:val="Heading3"/>
        <w:rPr>
          <w:szCs w:val="22"/>
        </w:rPr>
      </w:pPr>
      <w:r w:rsidRPr="002B103C">
        <w:rPr>
          <w:szCs w:val="22"/>
        </w:rPr>
        <w:t>Capital</w:t>
      </w:r>
      <w:bookmarkEnd w:id="226"/>
      <w:r w:rsidRPr="002B103C">
        <w:rPr>
          <w:szCs w:val="22"/>
        </w:rPr>
        <w:t xml:space="preserve"> </w:t>
      </w:r>
    </w:p>
    <w:p w14:paraId="1BB1A241" w14:textId="77777777" w:rsidR="00C268C6" w:rsidRPr="0064498B" w:rsidRDefault="00C268C6" w:rsidP="00C268C6">
      <w:pPr>
        <w:rPr>
          <w:rFonts w:asciiTheme="minorHAnsi" w:hAnsiTheme="minorHAnsi"/>
          <w:szCs w:val="22"/>
        </w:rPr>
      </w:pPr>
      <w:r w:rsidRPr="002B103C">
        <w:rPr>
          <w:rFonts w:asciiTheme="minorHAnsi" w:hAnsiTheme="minorHAnsi"/>
          <w:szCs w:val="22"/>
        </w:rPr>
        <w:t xml:space="preserve">The Health Board recognises the importance of ensuring that strategic links are made between significant service change plans and capital investment.  The capital programme is therefore developed in alignment with service planning and the emerging clinical services </w:t>
      </w:r>
      <w:r>
        <w:rPr>
          <w:rFonts w:asciiTheme="minorHAnsi" w:hAnsiTheme="minorHAnsi"/>
          <w:szCs w:val="22"/>
        </w:rPr>
        <w:t xml:space="preserve">strategy for the Whole of Cwm Taf Morgannwg. </w:t>
      </w:r>
      <w:r w:rsidRPr="0064498B">
        <w:rPr>
          <w:rFonts w:asciiTheme="minorHAnsi" w:hAnsiTheme="minorHAnsi"/>
          <w:szCs w:val="22"/>
        </w:rPr>
        <w:t xml:space="preserve"> </w:t>
      </w:r>
    </w:p>
    <w:p w14:paraId="08AA6A43" w14:textId="77777777" w:rsidR="00C268C6" w:rsidRPr="0064498B" w:rsidRDefault="00C268C6" w:rsidP="00C268C6">
      <w:pPr>
        <w:rPr>
          <w:rFonts w:asciiTheme="minorHAnsi" w:hAnsiTheme="minorHAnsi"/>
          <w:szCs w:val="22"/>
        </w:rPr>
      </w:pPr>
    </w:p>
    <w:p w14:paraId="0CBB4D3B" w14:textId="77777777" w:rsidR="00C268C6" w:rsidRPr="0064498B" w:rsidRDefault="00C268C6" w:rsidP="00C268C6">
      <w:pPr>
        <w:rPr>
          <w:rFonts w:asciiTheme="minorHAnsi" w:hAnsiTheme="minorHAnsi"/>
          <w:szCs w:val="22"/>
        </w:rPr>
      </w:pPr>
      <w:r w:rsidRPr="0064498B">
        <w:rPr>
          <w:rFonts w:asciiTheme="minorHAnsi" w:hAnsiTheme="minorHAnsi"/>
          <w:szCs w:val="22"/>
        </w:rPr>
        <w:t>Availability of Welsh Government strategic capital funding to support the capital costs of the key changes included in the Plan is key and our biggest</w:t>
      </w:r>
      <w:r>
        <w:rPr>
          <w:rFonts w:asciiTheme="minorHAnsi" w:hAnsiTheme="minorHAnsi"/>
          <w:szCs w:val="22"/>
        </w:rPr>
        <w:t xml:space="preserve"> risk</w:t>
      </w:r>
      <w:r w:rsidRPr="0064498B">
        <w:rPr>
          <w:rFonts w:asciiTheme="minorHAnsi" w:hAnsiTheme="minorHAnsi"/>
          <w:szCs w:val="22"/>
        </w:rPr>
        <w:t xml:space="preserve">.  Our three year capital plan includes a number of schemes which are critical to deliver key service changes, many of which are key enablers for savings included in the </w:t>
      </w:r>
      <w:r>
        <w:rPr>
          <w:rFonts w:asciiTheme="minorHAnsi" w:hAnsiTheme="minorHAnsi"/>
          <w:szCs w:val="22"/>
        </w:rPr>
        <w:t>Plan</w:t>
      </w:r>
      <w:r w:rsidRPr="0064498B">
        <w:rPr>
          <w:rFonts w:asciiTheme="minorHAnsi" w:hAnsiTheme="minorHAnsi"/>
          <w:szCs w:val="22"/>
        </w:rPr>
        <w:t xml:space="preserve">.  Without continuing to secure this capital funding stream, the relevant revenue savings within our Plan could not be fully achieved. </w:t>
      </w:r>
    </w:p>
    <w:p w14:paraId="088E8F74" w14:textId="77777777" w:rsidR="00C268C6" w:rsidRPr="0064498B" w:rsidRDefault="00C268C6" w:rsidP="00C268C6">
      <w:pPr>
        <w:rPr>
          <w:rFonts w:asciiTheme="minorHAnsi" w:hAnsiTheme="minorHAnsi"/>
          <w:szCs w:val="22"/>
        </w:rPr>
      </w:pPr>
    </w:p>
    <w:p w14:paraId="6021FF66" w14:textId="77777777" w:rsidR="00C268C6" w:rsidRPr="0064498B" w:rsidRDefault="00C268C6" w:rsidP="00C268C6">
      <w:pPr>
        <w:rPr>
          <w:rFonts w:asciiTheme="minorHAnsi" w:hAnsiTheme="minorHAnsi"/>
          <w:szCs w:val="22"/>
        </w:rPr>
      </w:pPr>
      <w:r w:rsidRPr="0064498B">
        <w:rPr>
          <w:rFonts w:asciiTheme="minorHAnsi" w:hAnsiTheme="minorHAnsi"/>
          <w:szCs w:val="22"/>
        </w:rPr>
        <w:t xml:space="preserve">Major capital investment is required to implement a number of elements of the Plan.  </w:t>
      </w:r>
      <w:r>
        <w:rPr>
          <w:rFonts w:asciiTheme="minorHAnsi" w:hAnsiTheme="minorHAnsi"/>
          <w:szCs w:val="22"/>
        </w:rPr>
        <w:t xml:space="preserve">The Bridgend merger has introduced a range of additional priorities for capital investment alongside those already existing within the old Cwm Taf boundary, these include statutory compliance, including a live fire enforcement notice in POWH, </w:t>
      </w:r>
      <w:r w:rsidRPr="0064498B">
        <w:rPr>
          <w:rFonts w:asciiTheme="minorHAnsi" w:hAnsiTheme="minorHAnsi"/>
          <w:szCs w:val="22"/>
        </w:rPr>
        <w:t>the</w:t>
      </w:r>
      <w:r>
        <w:rPr>
          <w:rFonts w:asciiTheme="minorHAnsi" w:hAnsiTheme="minorHAnsi"/>
          <w:szCs w:val="22"/>
        </w:rPr>
        <w:t xml:space="preserve"> </w:t>
      </w:r>
      <w:r w:rsidRPr="0064498B">
        <w:rPr>
          <w:rFonts w:asciiTheme="minorHAnsi" w:hAnsiTheme="minorHAnsi"/>
          <w:szCs w:val="22"/>
        </w:rPr>
        <w:t>enable</w:t>
      </w:r>
      <w:r>
        <w:rPr>
          <w:rFonts w:asciiTheme="minorHAnsi" w:hAnsiTheme="minorHAnsi"/>
          <w:szCs w:val="22"/>
        </w:rPr>
        <w:t xml:space="preserve">ment of </w:t>
      </w:r>
      <w:r w:rsidRPr="0064498B">
        <w:rPr>
          <w:rFonts w:asciiTheme="minorHAnsi" w:hAnsiTheme="minorHAnsi"/>
          <w:szCs w:val="22"/>
        </w:rPr>
        <w:t>service</w:t>
      </w:r>
      <w:r>
        <w:rPr>
          <w:rFonts w:asciiTheme="minorHAnsi" w:hAnsiTheme="minorHAnsi"/>
          <w:szCs w:val="22"/>
        </w:rPr>
        <w:t xml:space="preserve"> model changes, facilitating</w:t>
      </w:r>
      <w:r w:rsidRPr="0064498B">
        <w:rPr>
          <w:rFonts w:asciiTheme="minorHAnsi" w:hAnsiTheme="minorHAnsi"/>
          <w:szCs w:val="22"/>
        </w:rPr>
        <w:t xml:space="preserve"> performance and efficiency improvements and maintain</w:t>
      </w:r>
      <w:r>
        <w:rPr>
          <w:rFonts w:asciiTheme="minorHAnsi" w:hAnsiTheme="minorHAnsi"/>
          <w:szCs w:val="22"/>
        </w:rPr>
        <w:t>ing</w:t>
      </w:r>
      <w:r w:rsidRPr="0064498B">
        <w:rPr>
          <w:rFonts w:asciiTheme="minorHAnsi" w:hAnsiTheme="minorHAnsi"/>
          <w:szCs w:val="22"/>
        </w:rPr>
        <w:t xml:space="preserve"> the Health Board’s assets (estate and equipment) to a high standard.  Th</w:t>
      </w:r>
      <w:r>
        <w:rPr>
          <w:rFonts w:asciiTheme="minorHAnsi" w:hAnsiTheme="minorHAnsi"/>
          <w:szCs w:val="22"/>
        </w:rPr>
        <w:t xml:space="preserve">ese priorities have been drawn together over the last 12 months </w:t>
      </w:r>
      <w:r w:rsidRPr="0064498B">
        <w:rPr>
          <w:rFonts w:asciiTheme="minorHAnsi" w:hAnsiTheme="minorHAnsi"/>
          <w:szCs w:val="22"/>
        </w:rPr>
        <w:t xml:space="preserve">and specific major schemes include: </w:t>
      </w:r>
    </w:p>
    <w:p w14:paraId="134FD6FB" w14:textId="77777777" w:rsidR="00C268C6" w:rsidRPr="0064498B" w:rsidRDefault="00C268C6" w:rsidP="00C268C6">
      <w:pPr>
        <w:pStyle w:val="NormaBullet"/>
        <w:rPr>
          <w:szCs w:val="22"/>
        </w:rPr>
      </w:pPr>
      <w:r w:rsidRPr="0064498B">
        <w:rPr>
          <w:szCs w:val="22"/>
        </w:rPr>
        <w:t xml:space="preserve">PCH ground and first floor refurbishment project (phases 1A and 1B approved with business cases for phase 2 currently </w:t>
      </w:r>
      <w:r>
        <w:rPr>
          <w:szCs w:val="22"/>
        </w:rPr>
        <w:t>undergoing scrutiny in</w:t>
      </w:r>
      <w:r w:rsidRPr="0064498B">
        <w:rPr>
          <w:szCs w:val="22"/>
        </w:rPr>
        <w:t xml:space="preserve"> Welsh Government).  </w:t>
      </w:r>
    </w:p>
    <w:p w14:paraId="78F71660" w14:textId="77777777" w:rsidR="00C268C6" w:rsidRPr="0064498B" w:rsidRDefault="00C268C6" w:rsidP="00C268C6">
      <w:pPr>
        <w:pStyle w:val="NormaBullet"/>
        <w:rPr>
          <w:szCs w:val="22"/>
        </w:rPr>
      </w:pPr>
      <w:r w:rsidRPr="0064498B">
        <w:rPr>
          <w:szCs w:val="22"/>
        </w:rPr>
        <w:lastRenderedPageBreak/>
        <w:t>Strategic programme to develop the primary care estate.  T</w:t>
      </w:r>
      <w:r>
        <w:rPr>
          <w:szCs w:val="22"/>
        </w:rPr>
        <w:t>hree</w:t>
      </w:r>
      <w:r w:rsidRPr="0064498B">
        <w:rPr>
          <w:szCs w:val="22"/>
        </w:rPr>
        <w:t xml:space="preserve"> capital schemes</w:t>
      </w:r>
      <w:r>
        <w:rPr>
          <w:szCs w:val="22"/>
        </w:rPr>
        <w:t xml:space="preserve"> within the Cwm Taf Morgannwg area, Tonypandy,</w:t>
      </w:r>
      <w:r w:rsidRPr="0064498B">
        <w:rPr>
          <w:szCs w:val="22"/>
        </w:rPr>
        <w:t xml:space="preserve"> Dewi Sant </w:t>
      </w:r>
      <w:r>
        <w:rPr>
          <w:szCs w:val="22"/>
        </w:rPr>
        <w:t xml:space="preserve">Health Park </w:t>
      </w:r>
      <w:r w:rsidRPr="0064498B">
        <w:rPr>
          <w:szCs w:val="22"/>
        </w:rPr>
        <w:t>phase 2</w:t>
      </w:r>
      <w:r>
        <w:rPr>
          <w:szCs w:val="22"/>
        </w:rPr>
        <w:t xml:space="preserve"> and Sunnyside </w:t>
      </w:r>
      <w:r w:rsidRPr="0064498B">
        <w:rPr>
          <w:szCs w:val="22"/>
        </w:rPr>
        <w:t xml:space="preserve"> have been identified in phase 1 capital for ring-fenced WG funding with Mountain Ash receiving revenue support to proceed under a third party development arrangement.  Tonypandy Health Centre </w:t>
      </w:r>
      <w:r w:rsidRPr="00F73B85">
        <w:rPr>
          <w:szCs w:val="22"/>
        </w:rPr>
        <w:t xml:space="preserve">business case was approved in 2018/19 and works completed in the summer 2019/20.  Approval of the Business case for Dewi Sant Health Park phase 2 is expected </w:t>
      </w:r>
      <w:proofErr w:type="gramStart"/>
      <w:r w:rsidRPr="00F73B85">
        <w:rPr>
          <w:szCs w:val="22"/>
        </w:rPr>
        <w:t>imminently  with</w:t>
      </w:r>
      <w:proofErr w:type="gramEnd"/>
      <w:r w:rsidRPr="00F73B85">
        <w:rPr>
          <w:szCs w:val="22"/>
        </w:rPr>
        <w:t xml:space="preserve"> work starting on site in early 2020.  The Sunnyside scheme transferred over from Bridgend with an OBC submitted to WG.</w:t>
      </w:r>
      <w:r>
        <w:rPr>
          <w:szCs w:val="22"/>
        </w:rPr>
        <w:t xml:space="preserve">  Work is ongoing to complete the FBC with the receipt of planning permission and contractor tender submissions.  It is planned for work to commence in early 2020/21. This will enable the disposal of 3 community premises with the merger to a single site.</w:t>
      </w:r>
    </w:p>
    <w:p w14:paraId="3A224DBF" w14:textId="77777777" w:rsidR="00C268C6" w:rsidRPr="0064498B" w:rsidRDefault="00C268C6" w:rsidP="00C268C6">
      <w:pPr>
        <w:pStyle w:val="NormaBullet"/>
        <w:rPr>
          <w:szCs w:val="22"/>
        </w:rPr>
      </w:pPr>
      <w:r w:rsidRPr="0064498B">
        <w:rPr>
          <w:szCs w:val="22"/>
        </w:rPr>
        <w:t xml:space="preserve">Major radiology modernisation programme across all DGHs including POW, </w:t>
      </w:r>
      <w:r>
        <w:rPr>
          <w:szCs w:val="22"/>
        </w:rPr>
        <w:t>with WG funding received for the replacement CT scanner in POWH in 2019/20, key priorities for the next cycle will be MRI in RGH and POWH and a possible acceleration of the 2</w:t>
      </w:r>
      <w:r w:rsidRPr="0045526D">
        <w:rPr>
          <w:szCs w:val="22"/>
          <w:vertAlign w:val="superscript"/>
        </w:rPr>
        <w:t>nd</w:t>
      </w:r>
      <w:r>
        <w:rPr>
          <w:szCs w:val="22"/>
        </w:rPr>
        <w:t xml:space="preserve"> CT scanner in PCH from the original Ground and First Floor Programme as well as investment in aging general X Ray rooms.</w:t>
      </w:r>
    </w:p>
    <w:p w14:paraId="510D6F61" w14:textId="77777777" w:rsidR="00C268C6" w:rsidRDefault="00C268C6" w:rsidP="00C268C6">
      <w:pPr>
        <w:pStyle w:val="NormaBullet"/>
        <w:rPr>
          <w:szCs w:val="22"/>
        </w:rPr>
      </w:pPr>
      <w:r w:rsidRPr="0064498B">
        <w:rPr>
          <w:szCs w:val="22"/>
        </w:rPr>
        <w:t>Major engineering infrastructu</w:t>
      </w:r>
      <w:r>
        <w:rPr>
          <w:szCs w:val="22"/>
        </w:rPr>
        <w:t xml:space="preserve">re schemes in </w:t>
      </w:r>
      <w:r w:rsidRPr="0064498B">
        <w:rPr>
          <w:szCs w:val="22"/>
        </w:rPr>
        <w:t>RGH</w:t>
      </w:r>
      <w:r>
        <w:rPr>
          <w:szCs w:val="22"/>
        </w:rPr>
        <w:t xml:space="preserve">.  A </w:t>
      </w:r>
      <w:r w:rsidRPr="0064498B">
        <w:rPr>
          <w:szCs w:val="22"/>
        </w:rPr>
        <w:t>strategic programme has been endorsed by WG and includes replacement of electrical and mechanical systems, generators, switchgear and air handling plant (phase 1 standby generators completed in 2017/18 with Welsh Government funding).  The business case for the electrical phase</w:t>
      </w:r>
      <w:r>
        <w:rPr>
          <w:szCs w:val="22"/>
        </w:rPr>
        <w:t xml:space="preserve"> required a re-tender submission which delayed its submission to WG to the end of 2019/20.  Funding approval is expected to enable works to commence in 2020/21.   Once electrical works commence, then work on developing </w:t>
      </w:r>
      <w:r w:rsidRPr="0064498B">
        <w:rPr>
          <w:szCs w:val="22"/>
        </w:rPr>
        <w:t>a business case for the cooling and ventilation elements</w:t>
      </w:r>
      <w:r>
        <w:rPr>
          <w:szCs w:val="22"/>
        </w:rPr>
        <w:t xml:space="preserve"> will start</w:t>
      </w:r>
      <w:r w:rsidRPr="0064498B">
        <w:rPr>
          <w:szCs w:val="22"/>
        </w:rPr>
        <w:t xml:space="preserve">.  In POW work to develop a case to support an urgent requirement for theatre plant refurbishment programme will need to commence.  </w:t>
      </w:r>
    </w:p>
    <w:p w14:paraId="0B76B1A9" w14:textId="77777777" w:rsidR="00C268C6" w:rsidRDefault="00C268C6" w:rsidP="00C268C6">
      <w:pPr>
        <w:pStyle w:val="NormaBullet"/>
        <w:rPr>
          <w:szCs w:val="22"/>
        </w:rPr>
      </w:pPr>
      <w:r>
        <w:rPr>
          <w:szCs w:val="22"/>
        </w:rPr>
        <w:t xml:space="preserve">Significant investment will be required for the POWH site to address a number of statutory and infrastructure risks.  The 4 facet survey has required further reworking and will support a prioritised programme of development.  However one of the highest priority investments has had to be the addressing of the fire enforcement notice in theatres on the POWH site.  The level and nature of work and investment in the theatre areas may cause significant site disruption and it would be prudent to consider upgrade to the theatres on the site whilst this disruptive work takes place. </w:t>
      </w:r>
    </w:p>
    <w:p w14:paraId="638A5691" w14:textId="77777777" w:rsidR="00C268C6" w:rsidRDefault="00C268C6" w:rsidP="00C268C6">
      <w:pPr>
        <w:pStyle w:val="NormaBullet"/>
        <w:rPr>
          <w:szCs w:val="22"/>
        </w:rPr>
      </w:pPr>
      <w:r>
        <w:rPr>
          <w:szCs w:val="22"/>
        </w:rPr>
        <w:t>In addition to the above it has become apparent that major investment will be required in the fire alarm system on both the POWH site and other sites that have transferred from Bridgend including Glan Rhyd, Maesteg and other community premises.  Work is ongoing to determine the total costs and discussions are taking place with WG around funding.</w:t>
      </w:r>
    </w:p>
    <w:p w14:paraId="4D27DF07" w14:textId="77777777" w:rsidR="00C268C6" w:rsidRPr="00C268C6" w:rsidRDefault="00C268C6" w:rsidP="00C268C6">
      <w:pPr>
        <w:pStyle w:val="NormaBullet"/>
        <w:rPr>
          <w:szCs w:val="22"/>
        </w:rPr>
      </w:pPr>
      <w:r>
        <w:rPr>
          <w:szCs w:val="22"/>
        </w:rPr>
        <w:t xml:space="preserve">Cwm Taf Morgannwg will be required to complete anti-ligature works in properties transferring from Bridgend.  The former ABMU Health Board commenced works in limited area in the estate prior to the merger however that work will now need to be completed.  An exercise of due diligence has been undertaken by multi-disciplinary teams to revisit the clinical audits carried out to inform required works,  it is expected that revised </w:t>
      </w:r>
      <w:r w:rsidRPr="00C268C6">
        <w:rPr>
          <w:szCs w:val="22"/>
        </w:rPr>
        <w:t xml:space="preserve">costs will be submitted to WG for funding to enable works to commence in early 2020/21. </w:t>
      </w:r>
    </w:p>
    <w:p w14:paraId="0DA3EE08" w14:textId="77777777" w:rsidR="00C268C6" w:rsidRPr="00C268C6" w:rsidRDefault="00C268C6" w:rsidP="00C268C6">
      <w:pPr>
        <w:pStyle w:val="NormaBullet"/>
        <w:rPr>
          <w:szCs w:val="22"/>
        </w:rPr>
      </w:pPr>
      <w:r w:rsidRPr="00C268C6">
        <w:rPr>
          <w:szCs w:val="22"/>
        </w:rPr>
        <w:t xml:space="preserve">A recent HIW inspection of mental health services at the RGH site has reported concerns within the infrastructure of the current inpatient unit affecting patient dignity and respect.  As a result the Health Board have had a recommendation that the unit requires investment to address the issues raised.  Work is ongoing to develop the scope of the project and a scoping meeting will be arranged with WG to enable this to move forward.  </w:t>
      </w:r>
    </w:p>
    <w:p w14:paraId="64EC683F" w14:textId="77777777" w:rsidR="0051270F" w:rsidRPr="00C268C6" w:rsidRDefault="0051270F" w:rsidP="0051270F">
      <w:pPr>
        <w:pStyle w:val="Default"/>
        <w:rPr>
          <w:rFonts w:asciiTheme="minorHAnsi" w:hAnsiTheme="minorHAnsi"/>
          <w:color w:val="auto"/>
          <w:sz w:val="22"/>
          <w:szCs w:val="22"/>
        </w:rPr>
      </w:pPr>
    </w:p>
    <w:p w14:paraId="5C682F1F" w14:textId="77777777" w:rsidR="0051270F" w:rsidRPr="00C268C6" w:rsidRDefault="0051270F" w:rsidP="0051270F">
      <w:pPr>
        <w:rPr>
          <w:rFonts w:asciiTheme="minorHAnsi" w:hAnsiTheme="minorHAnsi"/>
          <w:szCs w:val="22"/>
        </w:rPr>
      </w:pPr>
      <w:r w:rsidRPr="00C268C6">
        <w:rPr>
          <w:rFonts w:asciiTheme="minorHAnsi" w:hAnsiTheme="minorHAnsi"/>
          <w:szCs w:val="22"/>
        </w:rPr>
        <w:t xml:space="preserve">Schemes to enable service model changes include: </w:t>
      </w:r>
    </w:p>
    <w:p w14:paraId="5E5EE09B" w14:textId="77777777" w:rsidR="00C268C6" w:rsidRPr="0064498B" w:rsidRDefault="00C268C6" w:rsidP="00C268C6">
      <w:pPr>
        <w:pStyle w:val="NormaBullet"/>
        <w:rPr>
          <w:rFonts w:asciiTheme="minorHAnsi" w:hAnsiTheme="minorHAnsi"/>
          <w:szCs w:val="22"/>
        </w:rPr>
      </w:pPr>
      <w:r w:rsidRPr="00C268C6">
        <w:rPr>
          <w:rFonts w:asciiTheme="minorHAnsi" w:hAnsiTheme="minorHAnsi"/>
          <w:szCs w:val="22"/>
        </w:rPr>
        <w:t xml:space="preserve">Redesign of RGH to facilitate the outcome of the South Wales Programme.  The transfer of the neonatal and consultant led obstetric services to PCH has enabled the development of an interim FMU at RGH.  This was the planned first phase of the </w:t>
      </w:r>
      <w:r>
        <w:rPr>
          <w:rFonts w:asciiTheme="minorHAnsi" w:hAnsiTheme="minorHAnsi"/>
          <w:szCs w:val="22"/>
        </w:rPr>
        <w:t xml:space="preserve">site wide programme, however the delay to the transfer of inpatient paediatric services to PCH has also delayed development </w:t>
      </w:r>
      <w:proofErr w:type="gramStart"/>
      <w:r>
        <w:rPr>
          <w:rFonts w:asciiTheme="minorHAnsi" w:hAnsiTheme="minorHAnsi"/>
          <w:szCs w:val="22"/>
        </w:rPr>
        <w:t>of  further</w:t>
      </w:r>
      <w:proofErr w:type="gramEnd"/>
      <w:r>
        <w:rPr>
          <w:rFonts w:asciiTheme="minorHAnsi" w:hAnsiTheme="minorHAnsi"/>
          <w:szCs w:val="22"/>
        </w:rPr>
        <w:t xml:space="preserve"> stages of the programme.  In view of the emerging clinical services strategy and review of services on the RGH site it has become clear that some priorities have changed and the previously planned strategy may need to be re-phased.  The expansion of endoscopy capacity remains critical both in terms of performance and for JAG accreditation and the centralisation of outpatient breast services remain a high priority.  As a result a review of the programme phases and options will be carried out in order to prioritise some projects for earlier investment</w:t>
      </w:r>
      <w:r w:rsidRPr="0064498B">
        <w:rPr>
          <w:rFonts w:asciiTheme="minorHAnsi" w:hAnsiTheme="minorHAnsi"/>
          <w:szCs w:val="22"/>
        </w:rPr>
        <w:t>.</w:t>
      </w:r>
    </w:p>
    <w:p w14:paraId="78DB866D" w14:textId="77777777" w:rsidR="00C268C6" w:rsidRPr="0064498B" w:rsidRDefault="00C268C6" w:rsidP="00C268C6">
      <w:pPr>
        <w:pStyle w:val="NormaBullet"/>
        <w:rPr>
          <w:rFonts w:asciiTheme="minorHAnsi" w:hAnsiTheme="minorHAnsi"/>
          <w:szCs w:val="22"/>
        </w:rPr>
      </w:pPr>
      <w:r w:rsidRPr="0064498B">
        <w:rPr>
          <w:rFonts w:asciiTheme="minorHAnsi" w:hAnsiTheme="minorHAnsi"/>
          <w:szCs w:val="22"/>
        </w:rPr>
        <w:lastRenderedPageBreak/>
        <w:t>Reconfiguration of the Dewi Sant site to complete the development into a Health Park facility</w:t>
      </w:r>
      <w:r>
        <w:rPr>
          <w:rFonts w:asciiTheme="minorHAnsi" w:hAnsiTheme="minorHAnsi"/>
          <w:szCs w:val="22"/>
        </w:rPr>
        <w:t>, this work will complete during this IMTP cycle.</w:t>
      </w:r>
      <w:r w:rsidRPr="0064498B">
        <w:rPr>
          <w:rFonts w:asciiTheme="minorHAnsi" w:hAnsiTheme="minorHAnsi"/>
          <w:szCs w:val="22"/>
        </w:rPr>
        <w:t xml:space="preserve"> </w:t>
      </w:r>
    </w:p>
    <w:p w14:paraId="18C107EC" w14:textId="77777777" w:rsidR="00C268C6" w:rsidRPr="0064498B" w:rsidRDefault="00C268C6" w:rsidP="00C268C6">
      <w:pPr>
        <w:pStyle w:val="NormaBullet"/>
        <w:rPr>
          <w:rFonts w:asciiTheme="minorHAnsi" w:hAnsiTheme="minorHAnsi"/>
          <w:szCs w:val="22"/>
        </w:rPr>
      </w:pPr>
      <w:r w:rsidRPr="0064498B">
        <w:rPr>
          <w:rFonts w:asciiTheme="minorHAnsi" w:hAnsiTheme="minorHAnsi"/>
          <w:szCs w:val="22"/>
        </w:rPr>
        <w:t xml:space="preserve">Creation of an integrated primary and community care development in Mountain Ash. </w:t>
      </w:r>
    </w:p>
    <w:p w14:paraId="4059BA2F" w14:textId="77777777" w:rsidR="00C268C6" w:rsidRPr="0064498B" w:rsidRDefault="00C268C6" w:rsidP="00C268C6">
      <w:pPr>
        <w:pStyle w:val="NormaBullet"/>
        <w:rPr>
          <w:rFonts w:asciiTheme="minorHAnsi" w:hAnsiTheme="minorHAnsi"/>
          <w:szCs w:val="22"/>
        </w:rPr>
      </w:pPr>
      <w:r>
        <w:rPr>
          <w:rFonts w:asciiTheme="minorHAnsi" w:hAnsiTheme="minorHAnsi"/>
          <w:szCs w:val="22"/>
        </w:rPr>
        <w:t xml:space="preserve">Development of </w:t>
      </w:r>
      <w:r w:rsidRPr="0064498B">
        <w:rPr>
          <w:rFonts w:asciiTheme="minorHAnsi" w:hAnsiTheme="minorHAnsi"/>
          <w:szCs w:val="22"/>
        </w:rPr>
        <w:t>centralised decontamination services at POW</w:t>
      </w:r>
      <w:r>
        <w:rPr>
          <w:rFonts w:asciiTheme="minorHAnsi" w:hAnsiTheme="minorHAnsi"/>
          <w:szCs w:val="22"/>
        </w:rPr>
        <w:t>H</w:t>
      </w:r>
      <w:r w:rsidRPr="0064498B">
        <w:rPr>
          <w:rFonts w:asciiTheme="minorHAnsi" w:hAnsiTheme="minorHAnsi"/>
          <w:szCs w:val="22"/>
        </w:rPr>
        <w:t xml:space="preserve"> to address JAG concerns over the c</w:t>
      </w:r>
      <w:r>
        <w:rPr>
          <w:rFonts w:asciiTheme="minorHAnsi" w:hAnsiTheme="minorHAnsi"/>
          <w:szCs w:val="22"/>
        </w:rPr>
        <w:t>urrent arrangements on the site</w:t>
      </w:r>
      <w:r w:rsidRPr="0064498B">
        <w:rPr>
          <w:rFonts w:asciiTheme="minorHAnsi" w:hAnsiTheme="minorHAnsi"/>
          <w:szCs w:val="22"/>
        </w:rPr>
        <w:t xml:space="preserve"> and to ensure compliance with legislation</w:t>
      </w:r>
      <w:r>
        <w:rPr>
          <w:rFonts w:asciiTheme="minorHAnsi" w:hAnsiTheme="minorHAnsi"/>
          <w:szCs w:val="22"/>
        </w:rPr>
        <w:t>, and decontamination policies as well as securing capacity and replacing gaining equipment and infrastructure in the current HSDU.</w:t>
      </w:r>
      <w:r w:rsidRPr="0064498B">
        <w:rPr>
          <w:rFonts w:asciiTheme="minorHAnsi" w:hAnsiTheme="minorHAnsi"/>
          <w:szCs w:val="22"/>
        </w:rPr>
        <w:t xml:space="preserve"> </w:t>
      </w:r>
    </w:p>
    <w:p w14:paraId="4D48618F" w14:textId="77777777" w:rsidR="00C268C6" w:rsidRPr="0064498B" w:rsidRDefault="00C268C6" w:rsidP="00C268C6">
      <w:pPr>
        <w:pStyle w:val="NormaBullet"/>
        <w:rPr>
          <w:rFonts w:asciiTheme="minorHAnsi" w:hAnsiTheme="minorHAnsi"/>
          <w:szCs w:val="22"/>
        </w:rPr>
      </w:pPr>
      <w:r w:rsidRPr="0064498B">
        <w:rPr>
          <w:rFonts w:asciiTheme="minorHAnsi" w:hAnsiTheme="minorHAnsi"/>
          <w:szCs w:val="22"/>
        </w:rPr>
        <w:t>Creation of an emergency surgical assessment unit at POW to support front door services and improve emergency performance.</w:t>
      </w:r>
    </w:p>
    <w:p w14:paraId="6CD38589" w14:textId="77777777" w:rsidR="00C268C6" w:rsidRPr="0064498B" w:rsidRDefault="00C268C6" w:rsidP="00C268C6">
      <w:pPr>
        <w:pStyle w:val="NormaBullet"/>
        <w:rPr>
          <w:rFonts w:asciiTheme="minorHAnsi" w:hAnsiTheme="minorHAnsi"/>
          <w:szCs w:val="22"/>
        </w:rPr>
      </w:pPr>
      <w:r w:rsidRPr="0064498B">
        <w:rPr>
          <w:rFonts w:asciiTheme="minorHAnsi" w:hAnsiTheme="minorHAnsi"/>
          <w:szCs w:val="22"/>
        </w:rPr>
        <w:t>Creation of day of surgery assessment areas to improve theatre and bed utilisation at POW.</w:t>
      </w:r>
    </w:p>
    <w:p w14:paraId="09B6C9C4" w14:textId="77777777" w:rsidR="00C268C6" w:rsidRPr="0064498B" w:rsidRDefault="00C268C6" w:rsidP="00C268C6">
      <w:pPr>
        <w:pStyle w:val="NormaBullet"/>
        <w:rPr>
          <w:szCs w:val="22"/>
        </w:rPr>
      </w:pPr>
      <w:r w:rsidRPr="0064498B">
        <w:rPr>
          <w:szCs w:val="22"/>
        </w:rPr>
        <w:t>Development of a decant ward at POW to support the delivery of a programme of ward upgrades and improvements alongside programme of further service works with additional capacity to facilitate projects.</w:t>
      </w:r>
    </w:p>
    <w:p w14:paraId="44671462" w14:textId="77777777" w:rsidR="00C268C6" w:rsidRPr="0064498B" w:rsidRDefault="00C268C6" w:rsidP="00C268C6">
      <w:pPr>
        <w:pStyle w:val="NormaBullet"/>
        <w:rPr>
          <w:szCs w:val="22"/>
        </w:rPr>
      </w:pPr>
      <w:r w:rsidRPr="0064498B">
        <w:rPr>
          <w:szCs w:val="22"/>
        </w:rPr>
        <w:t xml:space="preserve">Capital investment to support the Glaucoma team expansion and improved performance at POW. </w:t>
      </w:r>
    </w:p>
    <w:p w14:paraId="4185C593" w14:textId="77777777" w:rsidR="00C268C6" w:rsidRPr="0064498B" w:rsidRDefault="00C268C6" w:rsidP="00C268C6">
      <w:pPr>
        <w:pStyle w:val="NormaBullet"/>
        <w:rPr>
          <w:szCs w:val="22"/>
        </w:rPr>
      </w:pPr>
      <w:r w:rsidRPr="0064498B">
        <w:rPr>
          <w:szCs w:val="22"/>
        </w:rPr>
        <w:t>Review of corporate accommodation requirements for the new organisation</w:t>
      </w:r>
      <w:r>
        <w:rPr>
          <w:szCs w:val="22"/>
        </w:rPr>
        <w:t>.</w:t>
      </w:r>
    </w:p>
    <w:p w14:paraId="43F9674D" w14:textId="77777777" w:rsidR="00C268C6" w:rsidRPr="0064498B" w:rsidRDefault="00C268C6" w:rsidP="00C268C6">
      <w:pPr>
        <w:pStyle w:val="NormaBullet"/>
        <w:rPr>
          <w:szCs w:val="22"/>
        </w:rPr>
      </w:pPr>
      <w:r w:rsidRPr="0064498B">
        <w:rPr>
          <w:szCs w:val="22"/>
        </w:rPr>
        <w:t xml:space="preserve">Schemes to facilitate improvements in performance and efficiency include: </w:t>
      </w:r>
    </w:p>
    <w:p w14:paraId="51FCD913" w14:textId="77777777" w:rsidR="00C268C6" w:rsidRPr="0064498B" w:rsidRDefault="00C268C6" w:rsidP="00C268C6">
      <w:pPr>
        <w:pStyle w:val="NormalBulletIndent"/>
        <w:rPr>
          <w:szCs w:val="22"/>
        </w:rPr>
      </w:pPr>
      <w:r w:rsidRPr="0064498B">
        <w:rPr>
          <w:szCs w:val="22"/>
        </w:rPr>
        <w:t xml:space="preserve">Major ICT investment to enable the move towards electronic health records, for example including electronic prescribing, document management technology, digital dictation and digitisation. </w:t>
      </w:r>
    </w:p>
    <w:p w14:paraId="6C20A184" w14:textId="77777777" w:rsidR="00C268C6" w:rsidRPr="0064498B" w:rsidRDefault="00C268C6" w:rsidP="00C268C6">
      <w:pPr>
        <w:pStyle w:val="NormalBulletIndent"/>
        <w:rPr>
          <w:szCs w:val="22"/>
        </w:rPr>
      </w:pPr>
      <w:r w:rsidRPr="0064498B">
        <w:rPr>
          <w:szCs w:val="22"/>
        </w:rPr>
        <w:t xml:space="preserve">Expansion of the neonatal unit at POW in support of the South Wales Alliance programme for delivery of these services. </w:t>
      </w:r>
    </w:p>
    <w:p w14:paraId="3AE12935" w14:textId="77777777" w:rsidR="00C268C6" w:rsidRPr="0064498B" w:rsidRDefault="00C268C6" w:rsidP="00C268C6">
      <w:pPr>
        <w:pStyle w:val="NormalBulletIndent"/>
        <w:rPr>
          <w:szCs w:val="22"/>
        </w:rPr>
      </w:pPr>
      <w:r w:rsidRPr="0064498B">
        <w:rPr>
          <w:szCs w:val="22"/>
        </w:rPr>
        <w:t>Energy management improvement</w:t>
      </w:r>
      <w:r>
        <w:rPr>
          <w:szCs w:val="22"/>
        </w:rPr>
        <w:t>s to secure revenue reductions.</w:t>
      </w:r>
    </w:p>
    <w:p w14:paraId="6AF6B197" w14:textId="77777777" w:rsidR="00C268C6" w:rsidRPr="0064498B" w:rsidRDefault="00C268C6" w:rsidP="00C268C6">
      <w:pPr>
        <w:pStyle w:val="NormalBulletIndent"/>
        <w:rPr>
          <w:szCs w:val="22"/>
        </w:rPr>
      </w:pPr>
      <w:r w:rsidRPr="0064498B">
        <w:rPr>
          <w:szCs w:val="22"/>
        </w:rPr>
        <w:t xml:space="preserve">Radiology Information system replacement. </w:t>
      </w:r>
    </w:p>
    <w:p w14:paraId="1507D7CF" w14:textId="77777777" w:rsidR="00C268C6" w:rsidRPr="0064498B" w:rsidRDefault="00C268C6" w:rsidP="00C268C6">
      <w:pPr>
        <w:pStyle w:val="NormalBulletIndent"/>
        <w:rPr>
          <w:szCs w:val="22"/>
        </w:rPr>
      </w:pPr>
      <w:r w:rsidRPr="0064498B">
        <w:rPr>
          <w:szCs w:val="22"/>
        </w:rPr>
        <w:t xml:space="preserve">Radiology IT performance and resilience. </w:t>
      </w:r>
    </w:p>
    <w:p w14:paraId="68EECDAE" w14:textId="77777777" w:rsidR="00C268C6" w:rsidRPr="0064498B" w:rsidRDefault="00C268C6" w:rsidP="00C268C6">
      <w:pPr>
        <w:pStyle w:val="NormalBulletIndent"/>
        <w:rPr>
          <w:szCs w:val="22"/>
        </w:rPr>
      </w:pPr>
      <w:r w:rsidRPr="0064498B">
        <w:rPr>
          <w:szCs w:val="22"/>
        </w:rPr>
        <w:t xml:space="preserve">WCCIS implementation. </w:t>
      </w:r>
    </w:p>
    <w:p w14:paraId="2C556FDE" w14:textId="77777777" w:rsidR="00C268C6" w:rsidRPr="0064498B" w:rsidRDefault="00C268C6" w:rsidP="00C268C6">
      <w:pPr>
        <w:pStyle w:val="NormalBulletIndent"/>
        <w:rPr>
          <w:szCs w:val="22"/>
        </w:rPr>
      </w:pPr>
      <w:r w:rsidRPr="0064498B">
        <w:rPr>
          <w:szCs w:val="22"/>
        </w:rPr>
        <w:t>Theatre plant upgrade programme at POW.</w:t>
      </w:r>
    </w:p>
    <w:p w14:paraId="64B16173" w14:textId="77777777" w:rsidR="00C268C6" w:rsidRPr="0064498B" w:rsidRDefault="00C268C6" w:rsidP="00C268C6">
      <w:pPr>
        <w:pStyle w:val="NormalBulletIndent"/>
        <w:rPr>
          <w:szCs w:val="22"/>
        </w:rPr>
      </w:pPr>
      <w:r w:rsidRPr="0064498B">
        <w:rPr>
          <w:szCs w:val="22"/>
        </w:rPr>
        <w:t xml:space="preserve">Redesign and upgrade of the ITU department at POW. </w:t>
      </w:r>
    </w:p>
    <w:p w14:paraId="4943511B" w14:textId="77777777" w:rsidR="00C268C6" w:rsidRPr="0064498B" w:rsidRDefault="00C268C6" w:rsidP="00C268C6">
      <w:pPr>
        <w:rPr>
          <w:rFonts w:asciiTheme="minorHAnsi" w:hAnsiTheme="minorHAnsi"/>
          <w:szCs w:val="22"/>
        </w:rPr>
      </w:pPr>
      <w:bookmarkStart w:id="227" w:name="_Toc471830075"/>
      <w:bookmarkStart w:id="228" w:name="_Toc473290399"/>
      <w:bookmarkStart w:id="229" w:name="_Toc478738562"/>
      <w:bookmarkStart w:id="230" w:name="_Toc532299711"/>
      <w:bookmarkStart w:id="231" w:name="_Toc532464120"/>
      <w:bookmarkStart w:id="232" w:name="_Toc536195590"/>
    </w:p>
    <w:p w14:paraId="368B48FC" w14:textId="77777777" w:rsidR="00C268C6" w:rsidRDefault="00C268C6" w:rsidP="00C268C6">
      <w:pPr>
        <w:rPr>
          <w:rFonts w:asciiTheme="minorHAnsi" w:hAnsiTheme="minorHAnsi"/>
          <w:szCs w:val="22"/>
        </w:rPr>
      </w:pPr>
      <w:r w:rsidRPr="0064498B">
        <w:rPr>
          <w:rFonts w:asciiTheme="minorHAnsi" w:hAnsiTheme="minorHAnsi"/>
          <w:szCs w:val="22"/>
        </w:rPr>
        <w:t xml:space="preserve">A number of these schemes have already received Welsh Government funding approval and relate specifically to the organisation’s quality and financial plans with capital funding required to facilitate the changes in service models that will lead to achievement of cost reduction plans.  Work is on-going to ensure that the appropriate business cases are developed to secure the critical funding still required and that they are submitted in a timely fashion.  Elements of this investment plan are already acknowledged by the Welsh Government and either already secured or included in the future All Wales Capital </w:t>
      </w:r>
      <w:r>
        <w:rPr>
          <w:rFonts w:asciiTheme="minorHAnsi" w:hAnsiTheme="minorHAnsi"/>
          <w:szCs w:val="22"/>
        </w:rPr>
        <w:t>Programme.</w:t>
      </w:r>
    </w:p>
    <w:p w14:paraId="187BACAA" w14:textId="77777777" w:rsidR="00C268C6" w:rsidRDefault="00C268C6" w:rsidP="00C268C6">
      <w:pPr>
        <w:rPr>
          <w:rFonts w:asciiTheme="minorHAnsi" w:hAnsiTheme="minorHAnsi"/>
          <w:szCs w:val="22"/>
        </w:rPr>
      </w:pPr>
    </w:p>
    <w:p w14:paraId="5B9BA350" w14:textId="77777777" w:rsidR="00C268C6" w:rsidRPr="0064498B" w:rsidRDefault="00C268C6" w:rsidP="00C268C6">
      <w:pPr>
        <w:rPr>
          <w:rFonts w:asciiTheme="minorHAnsi" w:hAnsiTheme="minorHAnsi"/>
          <w:szCs w:val="22"/>
        </w:rPr>
      </w:pPr>
      <w:r w:rsidRPr="0064498B">
        <w:rPr>
          <w:rFonts w:asciiTheme="minorHAnsi" w:hAnsiTheme="minorHAnsi"/>
          <w:szCs w:val="22"/>
        </w:rPr>
        <w:t>With the pressures on Welsh Government capital funding over the next three years, the Health Board will continue to take advantage of any other funding opportunities or routes which become available, such as the Health Technology Fund, ‘Invest to Save’ and Integration Funds.</w:t>
      </w:r>
    </w:p>
    <w:p w14:paraId="7CD51EAF" w14:textId="77777777" w:rsidR="00C268C6" w:rsidRPr="0064498B" w:rsidRDefault="00C268C6" w:rsidP="00C268C6">
      <w:pPr>
        <w:rPr>
          <w:rFonts w:asciiTheme="minorHAnsi" w:hAnsiTheme="minorHAnsi" w:cstheme="minorHAnsi"/>
          <w:szCs w:val="22"/>
        </w:rPr>
      </w:pPr>
    </w:p>
    <w:p w14:paraId="17070BA0" w14:textId="77777777" w:rsidR="00C268C6" w:rsidRDefault="00C268C6" w:rsidP="00C268C6">
      <w:pPr>
        <w:pStyle w:val="Default"/>
        <w:jc w:val="both"/>
        <w:rPr>
          <w:rFonts w:asciiTheme="minorHAnsi" w:hAnsiTheme="minorHAnsi" w:cstheme="minorHAnsi"/>
          <w:color w:val="auto"/>
          <w:sz w:val="22"/>
          <w:szCs w:val="22"/>
        </w:rPr>
      </w:pPr>
      <w:r>
        <w:rPr>
          <w:rFonts w:asciiTheme="minorHAnsi" w:hAnsiTheme="minorHAnsi" w:cstheme="minorHAnsi"/>
          <w:color w:val="auto"/>
          <w:sz w:val="22"/>
          <w:szCs w:val="22"/>
        </w:rPr>
        <w:t xml:space="preserve">The capital priorities for investment will be included within the detailed templates submitted and will include the projects outlined above.  </w:t>
      </w:r>
    </w:p>
    <w:p w14:paraId="0455A9E8" w14:textId="77777777" w:rsidR="00C268C6" w:rsidRDefault="00C268C6" w:rsidP="00C268C6">
      <w:pPr>
        <w:pStyle w:val="Default"/>
        <w:jc w:val="both"/>
        <w:rPr>
          <w:rFonts w:asciiTheme="minorHAnsi" w:hAnsiTheme="minorHAnsi" w:cstheme="minorHAnsi"/>
          <w:color w:val="auto"/>
          <w:sz w:val="22"/>
          <w:szCs w:val="22"/>
        </w:rPr>
      </w:pPr>
    </w:p>
    <w:p w14:paraId="6563E645" w14:textId="77777777" w:rsidR="00C268C6" w:rsidRPr="0064498B" w:rsidRDefault="00C268C6" w:rsidP="00C268C6">
      <w:pPr>
        <w:pStyle w:val="Default"/>
        <w:jc w:val="both"/>
        <w:rPr>
          <w:rFonts w:asciiTheme="minorHAnsi" w:hAnsiTheme="minorHAnsi" w:cstheme="minorHAnsi"/>
          <w:color w:val="auto"/>
          <w:sz w:val="22"/>
          <w:szCs w:val="22"/>
        </w:rPr>
      </w:pPr>
      <w:r w:rsidRPr="0064498B">
        <w:rPr>
          <w:rFonts w:asciiTheme="minorHAnsi" w:hAnsiTheme="minorHAnsi" w:cstheme="minorHAnsi"/>
          <w:color w:val="auto"/>
          <w:sz w:val="22"/>
          <w:szCs w:val="22"/>
        </w:rPr>
        <w:t>In addition to the funding requirements outlined above for both approved and priority ranked unapproved schemes, throughout the next planning cycle the Health Board will also continue to develop work on:</w:t>
      </w:r>
    </w:p>
    <w:p w14:paraId="4485DFB9" w14:textId="77777777" w:rsidR="00C268C6" w:rsidRPr="0064498B" w:rsidRDefault="00C268C6" w:rsidP="00C268C6">
      <w:pPr>
        <w:pStyle w:val="NormaBullet"/>
        <w:rPr>
          <w:rFonts w:asciiTheme="minorHAnsi" w:hAnsiTheme="minorHAnsi"/>
          <w:szCs w:val="22"/>
        </w:rPr>
      </w:pPr>
      <w:r w:rsidRPr="0064498B">
        <w:rPr>
          <w:rFonts w:asciiTheme="minorHAnsi" w:hAnsiTheme="minorHAnsi"/>
          <w:szCs w:val="22"/>
        </w:rPr>
        <w:t>Continued development of the primary care estates and improvements to infrastructure to include:</w:t>
      </w:r>
    </w:p>
    <w:p w14:paraId="5EE4A34F" w14:textId="77777777" w:rsidR="00C268C6" w:rsidRPr="0064498B" w:rsidRDefault="00C268C6" w:rsidP="00C268C6">
      <w:pPr>
        <w:pStyle w:val="NormalBulletIndent"/>
        <w:rPr>
          <w:szCs w:val="22"/>
        </w:rPr>
      </w:pPr>
      <w:r w:rsidRPr="0064498B">
        <w:rPr>
          <w:szCs w:val="22"/>
        </w:rPr>
        <w:t>Further development and agreement of a second phase  Primary and Community Care Estates Development Plan, with associated integrated health and social care developments where appropriate, supporting the delivery of the Primary and Community Care Plan and implementation of the Social Service and Well-Being Act.</w:t>
      </w:r>
    </w:p>
    <w:p w14:paraId="0459E525" w14:textId="77777777" w:rsidR="00C268C6" w:rsidRPr="0064498B" w:rsidRDefault="00C268C6" w:rsidP="00C268C6">
      <w:pPr>
        <w:pStyle w:val="NormalBulletIndent"/>
        <w:rPr>
          <w:szCs w:val="22"/>
        </w:rPr>
      </w:pPr>
      <w:r w:rsidRPr="0064498B">
        <w:rPr>
          <w:szCs w:val="22"/>
        </w:rPr>
        <w:t>Jointly develop Keir Hardie has a Health and Wellbeing hub for older people with cognitive impairment as part of the Valley Life project</w:t>
      </w:r>
      <w:r>
        <w:rPr>
          <w:szCs w:val="22"/>
        </w:rPr>
        <w:t>.</w:t>
      </w:r>
    </w:p>
    <w:p w14:paraId="07B86EF2" w14:textId="77777777" w:rsidR="00C268C6" w:rsidRPr="0064498B" w:rsidRDefault="00C268C6" w:rsidP="00C268C6">
      <w:pPr>
        <w:pStyle w:val="NormalBulletIndent"/>
        <w:rPr>
          <w:szCs w:val="22"/>
        </w:rPr>
      </w:pPr>
      <w:r w:rsidRPr="0064498B">
        <w:rPr>
          <w:szCs w:val="22"/>
        </w:rPr>
        <w:t xml:space="preserve">Development of a new Primary and social care facility at Mountain Ash under a 3PD development. </w:t>
      </w:r>
    </w:p>
    <w:p w14:paraId="4984FDB9" w14:textId="77777777" w:rsidR="00C268C6" w:rsidRPr="0064498B" w:rsidRDefault="00C268C6" w:rsidP="00C268C6">
      <w:pPr>
        <w:pStyle w:val="NormalBulletIndent"/>
        <w:rPr>
          <w:szCs w:val="22"/>
        </w:rPr>
      </w:pPr>
      <w:r w:rsidRPr="0064498B">
        <w:rPr>
          <w:szCs w:val="22"/>
        </w:rPr>
        <w:t>Development of a plan for accessing Primary Care Improvement Grants to support practices requiring infrastructure improvements.</w:t>
      </w:r>
    </w:p>
    <w:p w14:paraId="0E068ACF" w14:textId="77777777" w:rsidR="00C268C6" w:rsidRPr="0064498B" w:rsidRDefault="00C268C6" w:rsidP="00C268C6">
      <w:pPr>
        <w:pStyle w:val="NormalBulletIndent"/>
        <w:rPr>
          <w:szCs w:val="22"/>
        </w:rPr>
      </w:pPr>
      <w:r w:rsidRPr="0064498B">
        <w:rPr>
          <w:szCs w:val="22"/>
        </w:rPr>
        <w:lastRenderedPageBreak/>
        <w:t>Further expansion of the Health Park model once Dewi Sant Phase 2 is complete with consideration being given to how Ysbyty Cwm Cynon (YCC) and Ysbyty Cwm Rhondda (YCR) may also be able to contribute to this service model in their respective communities.</w:t>
      </w:r>
    </w:p>
    <w:p w14:paraId="2C07F08E" w14:textId="77777777" w:rsidR="00C268C6" w:rsidRPr="0064498B" w:rsidRDefault="00C268C6" w:rsidP="00C268C6">
      <w:pPr>
        <w:pStyle w:val="NormalBulletIndent"/>
        <w:rPr>
          <w:szCs w:val="22"/>
        </w:rPr>
      </w:pPr>
      <w:r w:rsidRPr="0064498B">
        <w:rPr>
          <w:szCs w:val="22"/>
        </w:rPr>
        <w:t>Remodelling of wards at YCC and YCR to support the development of shared care ward environments for patients with Dementia</w:t>
      </w:r>
    </w:p>
    <w:p w14:paraId="47A44AC2" w14:textId="77777777" w:rsidR="00C268C6" w:rsidRPr="0064498B" w:rsidRDefault="00C268C6" w:rsidP="00C268C6">
      <w:pPr>
        <w:pStyle w:val="NormaBullet"/>
        <w:rPr>
          <w:rFonts w:asciiTheme="minorHAnsi" w:hAnsiTheme="minorHAnsi"/>
          <w:szCs w:val="22"/>
        </w:rPr>
      </w:pPr>
      <w:r w:rsidRPr="0064498B">
        <w:rPr>
          <w:rFonts w:asciiTheme="minorHAnsi" w:hAnsiTheme="minorHAnsi"/>
          <w:szCs w:val="22"/>
        </w:rPr>
        <w:t xml:space="preserve">Completion of all phases of the physical refurbishment works of ground and first floors at PCH to meet the requirements of a live Fire Enforcement notice. </w:t>
      </w:r>
    </w:p>
    <w:p w14:paraId="04D4BFC9" w14:textId="77777777" w:rsidR="00C268C6" w:rsidRPr="0064498B" w:rsidRDefault="00C268C6" w:rsidP="00C268C6">
      <w:pPr>
        <w:pStyle w:val="NormaBullet"/>
        <w:rPr>
          <w:rFonts w:asciiTheme="minorHAnsi" w:hAnsiTheme="minorHAnsi"/>
          <w:szCs w:val="22"/>
        </w:rPr>
      </w:pPr>
      <w:r w:rsidRPr="0064498B">
        <w:rPr>
          <w:rFonts w:asciiTheme="minorHAnsi" w:hAnsiTheme="minorHAnsi"/>
          <w:szCs w:val="22"/>
        </w:rPr>
        <w:t>Significant changes to the RGH site as outlined above and further consideration also of Development of phase 2 plans for the Diagnostic Hub.</w:t>
      </w:r>
    </w:p>
    <w:p w14:paraId="70CE242F" w14:textId="77777777" w:rsidR="00C268C6" w:rsidRPr="0064498B" w:rsidRDefault="00C268C6" w:rsidP="00C268C6">
      <w:pPr>
        <w:pStyle w:val="NormaBullet"/>
        <w:rPr>
          <w:rFonts w:asciiTheme="minorHAnsi" w:hAnsiTheme="minorHAnsi"/>
          <w:szCs w:val="22"/>
        </w:rPr>
      </w:pPr>
      <w:r w:rsidRPr="0064498B">
        <w:rPr>
          <w:rFonts w:asciiTheme="minorHAnsi" w:hAnsiTheme="minorHAnsi"/>
          <w:szCs w:val="22"/>
        </w:rPr>
        <w:t>Equipment replacement programmes, statutory compliance and backlog works</w:t>
      </w:r>
      <w:r>
        <w:rPr>
          <w:rFonts w:asciiTheme="minorHAnsi" w:hAnsiTheme="minorHAnsi"/>
          <w:szCs w:val="22"/>
        </w:rPr>
        <w:t xml:space="preserve"> across the whole Health</w:t>
      </w:r>
    </w:p>
    <w:p w14:paraId="2F4F18AF" w14:textId="77777777" w:rsidR="00C268C6" w:rsidRPr="003F79D8" w:rsidRDefault="00C268C6" w:rsidP="00C268C6">
      <w:pPr>
        <w:pStyle w:val="NormaBullet"/>
        <w:rPr>
          <w:rFonts w:asciiTheme="minorHAnsi" w:hAnsiTheme="minorHAnsi"/>
          <w:szCs w:val="22"/>
        </w:rPr>
      </w:pPr>
      <w:r w:rsidRPr="0064498B">
        <w:rPr>
          <w:rFonts w:asciiTheme="minorHAnsi" w:hAnsiTheme="minorHAnsi" w:cstheme="minorBidi"/>
          <w:szCs w:val="22"/>
        </w:rPr>
        <w:t xml:space="preserve">Implementation of a </w:t>
      </w:r>
      <w:r w:rsidRPr="0064498B">
        <w:rPr>
          <w:rFonts w:asciiTheme="minorHAnsi" w:hAnsiTheme="minorHAnsi"/>
          <w:szCs w:val="22"/>
        </w:rPr>
        <w:t xml:space="preserve">Digital health records system, implementation of the Welsh Community Care Information System, completion of the WEDS emergency system implementation and other ICT investment to support digital health. </w:t>
      </w:r>
    </w:p>
    <w:p w14:paraId="0872C3ED" w14:textId="77777777" w:rsidR="00C268C6" w:rsidRPr="009A43C1" w:rsidRDefault="00C268C6" w:rsidP="00C268C6">
      <w:pPr>
        <w:pStyle w:val="NormaBullet"/>
        <w:rPr>
          <w:rFonts w:asciiTheme="minorHAnsi" w:hAnsiTheme="minorHAnsi"/>
          <w:szCs w:val="22"/>
        </w:rPr>
      </w:pPr>
      <w:r w:rsidRPr="0064498B">
        <w:rPr>
          <w:rFonts w:asciiTheme="minorHAnsi" w:hAnsiTheme="minorHAnsi"/>
          <w:szCs w:val="22"/>
        </w:rPr>
        <w:t>Continuation of a disposal programme, with disposal of Pontypridd a</w:t>
      </w:r>
      <w:r>
        <w:rPr>
          <w:rFonts w:asciiTheme="minorHAnsi" w:hAnsiTheme="minorHAnsi"/>
          <w:szCs w:val="22"/>
        </w:rPr>
        <w:t>nd District Cottage Hospital  Tonteg Hospital and Ystrad Clinic</w:t>
      </w:r>
    </w:p>
    <w:p w14:paraId="35D3001D" w14:textId="77777777" w:rsidR="00C268C6" w:rsidRPr="0064498B" w:rsidRDefault="00C268C6" w:rsidP="00C268C6">
      <w:pPr>
        <w:pStyle w:val="NormaBullet"/>
        <w:rPr>
          <w:rFonts w:asciiTheme="minorHAnsi" w:hAnsiTheme="minorHAnsi"/>
          <w:szCs w:val="22"/>
        </w:rPr>
      </w:pPr>
      <w:r w:rsidRPr="0064498B">
        <w:rPr>
          <w:rFonts w:asciiTheme="minorHAnsi" w:hAnsiTheme="minorHAnsi"/>
          <w:szCs w:val="22"/>
        </w:rPr>
        <w:t xml:space="preserve">Review of community premises to determine whether there are further opportunities for site rationalisation. </w:t>
      </w:r>
    </w:p>
    <w:p w14:paraId="7AB82808" w14:textId="77777777" w:rsidR="00C268C6" w:rsidRPr="0064498B" w:rsidRDefault="00C268C6" w:rsidP="00C268C6">
      <w:pPr>
        <w:pStyle w:val="NormaBullet"/>
        <w:rPr>
          <w:rFonts w:asciiTheme="minorHAnsi" w:hAnsiTheme="minorHAnsi"/>
          <w:szCs w:val="22"/>
        </w:rPr>
      </w:pPr>
      <w:r w:rsidRPr="0064498B">
        <w:rPr>
          <w:rFonts w:asciiTheme="minorHAnsi" w:hAnsiTheme="minorHAnsi"/>
          <w:szCs w:val="22"/>
        </w:rPr>
        <w:t xml:space="preserve">Further development of the Williamstown Warehouse to support the continued centralisation of medical records storage/ management and realise the opportunity for digitisation. </w:t>
      </w:r>
    </w:p>
    <w:p w14:paraId="05E4B066" w14:textId="77777777" w:rsidR="00C268C6" w:rsidRPr="0064498B" w:rsidRDefault="00C268C6" w:rsidP="00C268C6">
      <w:pPr>
        <w:pStyle w:val="NormaBullet"/>
        <w:rPr>
          <w:rFonts w:asciiTheme="minorHAnsi" w:hAnsiTheme="minorHAnsi"/>
          <w:szCs w:val="22"/>
        </w:rPr>
      </w:pPr>
      <w:r w:rsidRPr="0064498B">
        <w:rPr>
          <w:rFonts w:asciiTheme="minorHAnsi" w:hAnsiTheme="minorHAnsi"/>
          <w:szCs w:val="22"/>
        </w:rPr>
        <w:t>Continuation of benchmarking of costs against English and Welsh providers.</w:t>
      </w:r>
    </w:p>
    <w:p w14:paraId="314FE557" w14:textId="77777777" w:rsidR="00C268C6" w:rsidRPr="0064498B" w:rsidRDefault="00C268C6" w:rsidP="00C268C6">
      <w:pPr>
        <w:pStyle w:val="NormaBullet"/>
        <w:rPr>
          <w:rFonts w:asciiTheme="minorHAnsi" w:hAnsiTheme="minorHAnsi"/>
          <w:szCs w:val="22"/>
        </w:rPr>
      </w:pPr>
      <w:r w:rsidRPr="0064498B">
        <w:rPr>
          <w:rFonts w:asciiTheme="minorHAnsi" w:hAnsiTheme="minorHAnsi"/>
          <w:szCs w:val="22"/>
        </w:rPr>
        <w:t xml:space="preserve">Negotiations with Welsh Government to secure the significant levels of capital to enable change. </w:t>
      </w:r>
    </w:p>
    <w:p w14:paraId="611DFB7E" w14:textId="4D114BFE" w:rsidR="003B1653" w:rsidRDefault="00C268C6" w:rsidP="00C268C6">
      <w:pPr>
        <w:pStyle w:val="NormaBullet"/>
        <w:rPr>
          <w:rFonts w:asciiTheme="minorHAnsi" w:hAnsiTheme="minorHAnsi"/>
          <w:szCs w:val="22"/>
        </w:rPr>
      </w:pPr>
      <w:r w:rsidRPr="0064498B">
        <w:rPr>
          <w:rFonts w:asciiTheme="minorHAnsi" w:hAnsiTheme="minorHAnsi"/>
          <w:szCs w:val="22"/>
        </w:rPr>
        <w:t xml:space="preserve">Development </w:t>
      </w:r>
      <w:r w:rsidRPr="00C268C6">
        <w:rPr>
          <w:rFonts w:asciiTheme="minorHAnsi" w:hAnsiTheme="minorHAnsi"/>
          <w:szCs w:val="22"/>
        </w:rPr>
        <w:t>of an accommodation control plan for RGH and integrate into a HB w</w:t>
      </w:r>
      <w:r w:rsidR="003B1653">
        <w:rPr>
          <w:rFonts w:asciiTheme="minorHAnsi" w:hAnsiTheme="minorHAnsi"/>
          <w:szCs w:val="22"/>
        </w:rPr>
        <w:t>ide accommodation control plan.</w:t>
      </w:r>
    </w:p>
    <w:p w14:paraId="2B9D1B2D" w14:textId="77777777" w:rsidR="003B1653" w:rsidRDefault="003B1653">
      <w:pPr>
        <w:jc w:val="left"/>
        <w:rPr>
          <w:rFonts w:asciiTheme="minorHAnsi" w:hAnsiTheme="minorHAnsi"/>
          <w:szCs w:val="22"/>
        </w:rPr>
      </w:pPr>
      <w:r>
        <w:rPr>
          <w:rFonts w:asciiTheme="minorHAnsi" w:hAnsiTheme="minorHAnsi"/>
          <w:szCs w:val="22"/>
        </w:rPr>
        <w:br w:type="page"/>
      </w:r>
    </w:p>
    <w:p w14:paraId="3A953997" w14:textId="51E5EF96" w:rsidR="00FC2E4A" w:rsidRPr="00C268C6" w:rsidRDefault="00427470" w:rsidP="00711D72">
      <w:pPr>
        <w:pStyle w:val="Heading1"/>
        <w:rPr>
          <w:szCs w:val="26"/>
        </w:rPr>
      </w:pPr>
      <w:bookmarkStart w:id="233" w:name="_Toc25262204"/>
      <w:r w:rsidRPr="00C268C6">
        <w:rPr>
          <w:szCs w:val="26"/>
        </w:rPr>
        <w:lastRenderedPageBreak/>
        <w:t xml:space="preserve">DELIVERY, </w:t>
      </w:r>
      <w:r w:rsidR="00FC2E4A" w:rsidRPr="00C268C6">
        <w:rPr>
          <w:szCs w:val="26"/>
        </w:rPr>
        <w:t>STEWARDSHIP</w:t>
      </w:r>
      <w:r w:rsidRPr="00C268C6">
        <w:rPr>
          <w:szCs w:val="26"/>
        </w:rPr>
        <w:t xml:space="preserve"> </w:t>
      </w:r>
      <w:r w:rsidR="00C80E61" w:rsidRPr="00C268C6">
        <w:rPr>
          <w:szCs w:val="26"/>
        </w:rPr>
        <w:t>and</w:t>
      </w:r>
      <w:r w:rsidR="003336A8" w:rsidRPr="00C268C6">
        <w:rPr>
          <w:szCs w:val="26"/>
        </w:rPr>
        <w:t xml:space="preserve"> </w:t>
      </w:r>
      <w:r w:rsidR="00FC2E4A" w:rsidRPr="00C268C6">
        <w:rPr>
          <w:szCs w:val="26"/>
        </w:rPr>
        <w:t>GOVERNANCE</w:t>
      </w:r>
      <w:bookmarkEnd w:id="224"/>
      <w:bookmarkEnd w:id="225"/>
      <w:bookmarkEnd w:id="227"/>
      <w:bookmarkEnd w:id="228"/>
      <w:bookmarkEnd w:id="229"/>
      <w:bookmarkEnd w:id="230"/>
      <w:bookmarkEnd w:id="231"/>
      <w:bookmarkEnd w:id="232"/>
      <w:bookmarkEnd w:id="233"/>
      <w:r w:rsidR="003336A8" w:rsidRPr="00C268C6">
        <w:rPr>
          <w:szCs w:val="26"/>
        </w:rPr>
        <w:t xml:space="preserve"> </w:t>
      </w:r>
    </w:p>
    <w:p w14:paraId="3D8E581C" w14:textId="77777777" w:rsidR="00C268C6" w:rsidRPr="003F79D8" w:rsidRDefault="00C268C6" w:rsidP="00C268C6">
      <w:pPr>
        <w:pStyle w:val="Heading2"/>
        <w:rPr>
          <w:szCs w:val="22"/>
        </w:rPr>
      </w:pPr>
      <w:bookmarkStart w:id="234" w:name="_Toc503816727"/>
      <w:bookmarkStart w:id="235" w:name="_Toc532299713"/>
      <w:bookmarkStart w:id="236" w:name="_Toc532464122"/>
      <w:bookmarkStart w:id="237" w:name="_Toc536195592"/>
      <w:bookmarkStart w:id="238" w:name="_Toc25262205"/>
      <w:r w:rsidRPr="003F79D8">
        <w:rPr>
          <w:szCs w:val="22"/>
        </w:rPr>
        <w:t>Delivery Model</w:t>
      </w:r>
      <w:bookmarkEnd w:id="234"/>
      <w:bookmarkEnd w:id="235"/>
      <w:bookmarkEnd w:id="236"/>
      <w:bookmarkEnd w:id="237"/>
      <w:bookmarkEnd w:id="238"/>
      <w:r w:rsidRPr="003F79D8">
        <w:rPr>
          <w:szCs w:val="22"/>
        </w:rPr>
        <w:t xml:space="preserve"> </w:t>
      </w:r>
    </w:p>
    <w:p w14:paraId="18D6F8A0" w14:textId="777875E5" w:rsidR="00C268C6" w:rsidRPr="002B103C" w:rsidRDefault="00C268C6" w:rsidP="00C268C6">
      <w:pPr>
        <w:rPr>
          <w:rFonts w:cs="Arial"/>
          <w:color w:val="943634" w:themeColor="accent2" w:themeShade="BF"/>
          <w:szCs w:val="22"/>
        </w:rPr>
      </w:pPr>
      <w:r w:rsidRPr="002B103C">
        <w:rPr>
          <w:rFonts w:cs="Arial"/>
          <w:color w:val="943634" w:themeColor="accent2" w:themeShade="BF"/>
          <w:szCs w:val="22"/>
        </w:rPr>
        <w:t>The Health Board has a very strong delivery focus, which is a blended approach to quality, safety, performance and finance.  This means that the Health Board’s significant investment in day to day governance is being appropriately utilised to gain maximum return for the communities we serve.  Our focused approach to delivery will continue by the development (and where appropriate use) of:</w:t>
      </w:r>
    </w:p>
    <w:p w14:paraId="0A0CCC6C" w14:textId="77777777" w:rsidR="00C268C6" w:rsidRPr="002B103C" w:rsidRDefault="00C268C6" w:rsidP="00C268C6">
      <w:pPr>
        <w:numPr>
          <w:ilvl w:val="0"/>
          <w:numId w:val="1"/>
        </w:numPr>
        <w:ind w:left="357" w:hanging="357"/>
        <w:rPr>
          <w:rFonts w:cs="Arial"/>
          <w:color w:val="943634" w:themeColor="accent2" w:themeShade="BF"/>
          <w:szCs w:val="22"/>
        </w:rPr>
      </w:pPr>
      <w:r w:rsidRPr="002B103C">
        <w:rPr>
          <w:rFonts w:cs="Arial"/>
          <w:color w:val="943634" w:themeColor="accent2" w:themeShade="BF"/>
          <w:szCs w:val="22"/>
        </w:rPr>
        <w:t>More sophisticated benchmarking data.</w:t>
      </w:r>
    </w:p>
    <w:p w14:paraId="280B0ADA" w14:textId="77777777" w:rsidR="00C268C6" w:rsidRPr="002B103C" w:rsidRDefault="00C268C6" w:rsidP="00C268C6">
      <w:pPr>
        <w:numPr>
          <w:ilvl w:val="0"/>
          <w:numId w:val="1"/>
        </w:numPr>
        <w:ind w:left="357" w:hanging="357"/>
        <w:rPr>
          <w:rFonts w:cs="Arial"/>
          <w:color w:val="943634" w:themeColor="accent2" w:themeShade="BF"/>
          <w:szCs w:val="22"/>
        </w:rPr>
      </w:pPr>
      <w:r w:rsidRPr="002B103C">
        <w:rPr>
          <w:rFonts w:cs="Arial"/>
          <w:color w:val="943634" w:themeColor="accent2" w:themeShade="BF"/>
          <w:szCs w:val="22"/>
        </w:rPr>
        <w:t>More clarity on the further opportunities that each directorate has for improvement.</w:t>
      </w:r>
    </w:p>
    <w:p w14:paraId="4AAC08D7" w14:textId="77777777" w:rsidR="00C268C6" w:rsidRPr="002B103C" w:rsidRDefault="00C268C6" w:rsidP="00C268C6">
      <w:pPr>
        <w:numPr>
          <w:ilvl w:val="0"/>
          <w:numId w:val="1"/>
        </w:numPr>
        <w:ind w:left="357" w:hanging="357"/>
        <w:rPr>
          <w:rFonts w:cs="Arial"/>
          <w:color w:val="943634" w:themeColor="accent2" w:themeShade="BF"/>
          <w:szCs w:val="22"/>
        </w:rPr>
      </w:pPr>
      <w:r w:rsidRPr="002B103C">
        <w:rPr>
          <w:rFonts w:cs="Arial"/>
          <w:color w:val="943634" w:themeColor="accent2" w:themeShade="BF"/>
          <w:szCs w:val="22"/>
        </w:rPr>
        <w:t>Cross cutting activities that can be pursued with executive led projects and with dedicated support from our Programme Management Office.</w:t>
      </w:r>
    </w:p>
    <w:p w14:paraId="44DBEA0F" w14:textId="68824B19" w:rsidR="00C268C6" w:rsidRPr="002B103C" w:rsidRDefault="00C268C6" w:rsidP="00C268C6">
      <w:pPr>
        <w:numPr>
          <w:ilvl w:val="0"/>
          <w:numId w:val="1"/>
        </w:numPr>
        <w:ind w:left="357" w:hanging="357"/>
        <w:rPr>
          <w:rFonts w:cs="Arial"/>
          <w:color w:val="943634" w:themeColor="accent2" w:themeShade="BF"/>
          <w:szCs w:val="22"/>
        </w:rPr>
      </w:pPr>
      <w:r w:rsidRPr="002B103C">
        <w:rPr>
          <w:rFonts w:cs="Arial"/>
          <w:color w:val="943634" w:themeColor="accent2" w:themeShade="BF"/>
          <w:szCs w:val="22"/>
        </w:rPr>
        <w:t>A matrix/programme management model that tracks directorate and locality performance against their plans, as well as cross cutting activities undertaken by several directorates.</w:t>
      </w:r>
    </w:p>
    <w:p w14:paraId="43AF2601" w14:textId="77777777" w:rsidR="00C268C6" w:rsidRPr="002B103C" w:rsidRDefault="00C268C6" w:rsidP="00C268C6">
      <w:pPr>
        <w:numPr>
          <w:ilvl w:val="0"/>
          <w:numId w:val="1"/>
        </w:numPr>
        <w:ind w:left="357" w:hanging="357"/>
        <w:rPr>
          <w:rFonts w:cs="Arial"/>
          <w:color w:val="943634" w:themeColor="accent2" w:themeShade="BF"/>
          <w:szCs w:val="22"/>
        </w:rPr>
      </w:pPr>
      <w:r w:rsidRPr="002B103C">
        <w:rPr>
          <w:rFonts w:cs="Arial"/>
          <w:color w:val="943634" w:themeColor="accent2" w:themeShade="BF"/>
          <w:szCs w:val="22"/>
        </w:rPr>
        <w:t>A reinforced approach to managing these activities with robust governance and focused performance management.</w:t>
      </w:r>
    </w:p>
    <w:p w14:paraId="3151C510" w14:textId="425F289A" w:rsidR="00C268C6" w:rsidRPr="002B103C" w:rsidRDefault="00C268C6" w:rsidP="00C268C6">
      <w:pPr>
        <w:numPr>
          <w:ilvl w:val="0"/>
          <w:numId w:val="1"/>
        </w:numPr>
        <w:rPr>
          <w:rFonts w:cs="Arial"/>
          <w:color w:val="943634" w:themeColor="accent2" w:themeShade="BF"/>
          <w:szCs w:val="22"/>
        </w:rPr>
      </w:pPr>
      <w:r w:rsidRPr="002B103C">
        <w:rPr>
          <w:rFonts w:cs="Arial"/>
          <w:color w:val="943634" w:themeColor="accent2" w:themeShade="BF"/>
          <w:szCs w:val="22"/>
        </w:rPr>
        <w:t>A delivery framework that supports delivery through our directorates and localities, underpinned by specialist advice and a programme infrastructure.</w:t>
      </w:r>
    </w:p>
    <w:p w14:paraId="2901C258" w14:textId="4BC5EA71" w:rsidR="00C268C6" w:rsidRPr="002B103C" w:rsidRDefault="00C268C6" w:rsidP="00C268C6">
      <w:pPr>
        <w:numPr>
          <w:ilvl w:val="0"/>
          <w:numId w:val="1"/>
        </w:numPr>
        <w:rPr>
          <w:rFonts w:cs="Arial"/>
          <w:color w:val="943634" w:themeColor="accent2" w:themeShade="BF"/>
          <w:szCs w:val="22"/>
        </w:rPr>
      </w:pPr>
      <w:r w:rsidRPr="002B103C">
        <w:rPr>
          <w:rFonts w:cs="Arial"/>
          <w:color w:val="943634" w:themeColor="accent2" w:themeShade="BF"/>
          <w:szCs w:val="22"/>
        </w:rPr>
        <w:t>Participation in and the application of learning from the Welsh Audit Office’s Structured Assessments.</w:t>
      </w:r>
    </w:p>
    <w:p w14:paraId="4389610B" w14:textId="6252C89D" w:rsidR="00C268C6" w:rsidRPr="002B103C" w:rsidRDefault="00C268C6" w:rsidP="00C268C6">
      <w:pPr>
        <w:pStyle w:val="Heading3"/>
        <w:rPr>
          <w:color w:val="943634" w:themeColor="accent2" w:themeShade="BF"/>
          <w:szCs w:val="22"/>
        </w:rPr>
      </w:pPr>
      <w:bookmarkStart w:id="239" w:name="_Toc532464126"/>
      <w:r w:rsidRPr="002B103C">
        <w:rPr>
          <w:color w:val="943634" w:themeColor="accent2" w:themeShade="BF"/>
          <w:szCs w:val="22"/>
        </w:rPr>
        <w:t>Governance for Delivery</w:t>
      </w:r>
      <w:bookmarkEnd w:id="239"/>
    </w:p>
    <w:p w14:paraId="085CA9E2" w14:textId="69013D19" w:rsidR="00C268C6" w:rsidRPr="002B103C" w:rsidRDefault="003B1653" w:rsidP="00C268C6">
      <w:pPr>
        <w:rPr>
          <w:rFonts w:asciiTheme="minorHAnsi" w:hAnsiTheme="minorHAnsi"/>
          <w:color w:val="943634" w:themeColor="accent2" w:themeShade="BF"/>
          <w:szCs w:val="22"/>
        </w:rPr>
      </w:pPr>
      <w:r w:rsidRPr="002B103C">
        <w:rPr>
          <w:noProof/>
          <w:color w:val="943634" w:themeColor="accent2" w:themeShade="BF"/>
          <w:szCs w:val="22"/>
        </w:rPr>
        <w:drawing>
          <wp:anchor distT="0" distB="0" distL="114300" distR="114300" simplePos="0" relativeHeight="252833792" behindDoc="0" locked="0" layoutInCell="1" allowOverlap="1" wp14:anchorId="22972151" wp14:editId="421A6CE3">
            <wp:simplePos x="0" y="0"/>
            <wp:positionH relativeFrom="margin">
              <wp:align>right</wp:align>
            </wp:positionH>
            <wp:positionV relativeFrom="page">
              <wp:posOffset>4439285</wp:posOffset>
            </wp:positionV>
            <wp:extent cx="2840355" cy="1993900"/>
            <wp:effectExtent l="0" t="0" r="0" b="6350"/>
            <wp:wrapSquare wrapText="bothSides"/>
            <wp:docPr id="118" name="Picture 57" descr="3yr pl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3yr plan"/>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2840355" cy="19939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C268C6" w:rsidRPr="002B103C">
        <w:rPr>
          <w:rFonts w:asciiTheme="minorHAnsi" w:hAnsiTheme="minorHAnsi"/>
          <w:color w:val="943634" w:themeColor="accent2" w:themeShade="BF"/>
          <w:szCs w:val="22"/>
        </w:rPr>
        <w:t>The Health Board has four important set pieces that will ensure the activities outlined above are appropriately managed, these are:</w:t>
      </w:r>
    </w:p>
    <w:p w14:paraId="65EDF022" w14:textId="12B29B6C" w:rsidR="00C268C6" w:rsidRPr="002B103C" w:rsidRDefault="00C268C6" w:rsidP="00C268C6">
      <w:pPr>
        <w:pStyle w:val="NormaBullet"/>
        <w:rPr>
          <w:color w:val="943634" w:themeColor="accent2" w:themeShade="BF"/>
          <w:szCs w:val="22"/>
        </w:rPr>
      </w:pPr>
      <w:r w:rsidRPr="002B103C">
        <w:rPr>
          <w:color w:val="943634" w:themeColor="accent2" w:themeShade="BF"/>
          <w:szCs w:val="22"/>
        </w:rPr>
        <w:t>Clinical/Corporate Business Meetings – where a small core of Executives meet on a monthly business with the clinical and managerial leads of each directorate to provide oversight and performance management of the entire operation.</w:t>
      </w:r>
    </w:p>
    <w:p w14:paraId="7422288E" w14:textId="1013C2C1" w:rsidR="00C268C6" w:rsidRPr="002B103C" w:rsidRDefault="00C268C6" w:rsidP="00C268C6">
      <w:pPr>
        <w:pStyle w:val="NormaBullet"/>
        <w:rPr>
          <w:color w:val="943634" w:themeColor="accent2" w:themeShade="BF"/>
          <w:szCs w:val="22"/>
        </w:rPr>
      </w:pPr>
      <w:r w:rsidRPr="002B103C">
        <w:rPr>
          <w:color w:val="943634" w:themeColor="accent2" w:themeShade="BF"/>
          <w:szCs w:val="22"/>
        </w:rPr>
        <w:t>Operations Board – where the Chief Operating Officer and the Director of Primary Community and Mental Health oversee their cluster of cross cutting themes and associated activities to achieve medium to long term improvement trajectories.</w:t>
      </w:r>
    </w:p>
    <w:p w14:paraId="5D7AD87A" w14:textId="77777777" w:rsidR="00C268C6" w:rsidRPr="002B103C" w:rsidRDefault="00C268C6" w:rsidP="00C268C6">
      <w:pPr>
        <w:pStyle w:val="NormaBullet"/>
        <w:rPr>
          <w:color w:val="943634" w:themeColor="accent2" w:themeShade="BF"/>
          <w:szCs w:val="22"/>
        </w:rPr>
      </w:pPr>
      <w:r w:rsidRPr="002B103C">
        <w:rPr>
          <w:color w:val="943634" w:themeColor="accent2" w:themeShade="BF"/>
          <w:szCs w:val="22"/>
        </w:rPr>
        <w:t>Efficiency, Productivity and Value Board (EP&amp;VB) – where the Executives meet on a monthly basis to give oversight and co-ordinate all of the performance and improvement activities in the organisation related to the Health Board’s cross cutting transformation programme.  The EP&amp;VB reports on a quarterly basis to the Executive Board.</w:t>
      </w:r>
    </w:p>
    <w:p w14:paraId="4CCFBB21" w14:textId="77777777" w:rsidR="00C268C6" w:rsidRPr="002B103C" w:rsidRDefault="00C268C6" w:rsidP="00C268C6">
      <w:pPr>
        <w:pStyle w:val="NormaBullet"/>
        <w:numPr>
          <w:ilvl w:val="0"/>
          <w:numId w:val="0"/>
        </w:numPr>
        <w:ind w:left="360" w:hanging="360"/>
        <w:rPr>
          <w:color w:val="943634" w:themeColor="accent2" w:themeShade="BF"/>
          <w:szCs w:val="22"/>
        </w:rPr>
      </w:pPr>
    </w:p>
    <w:p w14:paraId="584AAFA9" w14:textId="77777777" w:rsidR="00C268C6" w:rsidRPr="002B103C" w:rsidRDefault="00C268C6" w:rsidP="00C268C6">
      <w:pPr>
        <w:rPr>
          <w:color w:val="943634" w:themeColor="accent2" w:themeShade="BF"/>
          <w:szCs w:val="22"/>
        </w:rPr>
      </w:pPr>
      <w:r w:rsidRPr="002B103C">
        <w:rPr>
          <w:color w:val="943634" w:themeColor="accent2" w:themeShade="BF"/>
          <w:szCs w:val="22"/>
        </w:rPr>
        <w:t>The diagram to the right summarises the totality of our delivery model.</w:t>
      </w:r>
    </w:p>
    <w:p w14:paraId="4441DBF5" w14:textId="77777777" w:rsidR="00C268C6" w:rsidRPr="002B103C" w:rsidRDefault="00C268C6" w:rsidP="00C268C6">
      <w:pPr>
        <w:rPr>
          <w:rFonts w:asciiTheme="minorHAnsi" w:hAnsiTheme="minorHAnsi"/>
          <w:color w:val="943634" w:themeColor="accent2" w:themeShade="BF"/>
          <w:szCs w:val="22"/>
        </w:rPr>
      </w:pPr>
      <w:r w:rsidRPr="002B103C">
        <w:rPr>
          <w:rFonts w:asciiTheme="minorHAnsi" w:hAnsiTheme="minorHAnsi"/>
          <w:color w:val="943634" w:themeColor="accent2" w:themeShade="BF"/>
          <w:szCs w:val="22"/>
        </w:rPr>
        <w:t>Our performance management arrangements outlined in the table below provide further synergy to this delivery model:</w:t>
      </w:r>
    </w:p>
    <w:tbl>
      <w:tblPr>
        <w:tblStyle w:val="LightShading-Accent12"/>
        <w:tblW w:w="98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7313"/>
      </w:tblGrid>
      <w:tr w:rsidR="00C268C6" w:rsidRPr="002B103C" w14:paraId="0F64C7CD" w14:textId="77777777" w:rsidTr="0060790C">
        <w:trPr>
          <w:cnfStyle w:val="100000000000" w:firstRow="1" w:lastRow="0" w:firstColumn="0" w:lastColumn="0" w:oddVBand="0" w:evenVBand="0" w:oddHBand="0" w:evenHBand="0" w:firstRowFirstColumn="0" w:firstRowLastColumn="0" w:lastRowFirstColumn="0" w:lastRowLastColumn="0"/>
          <w:trHeight w:val="13"/>
          <w:tblHeader/>
          <w:jc w:val="center"/>
        </w:trPr>
        <w:tc>
          <w:tcPr>
            <w:cnfStyle w:val="001000000000" w:firstRow="0" w:lastRow="0" w:firstColumn="1" w:lastColumn="0" w:oddVBand="0" w:evenVBand="0" w:oddHBand="0" w:evenHBand="0" w:firstRowFirstColumn="0" w:firstRowLastColumn="0" w:lastRowFirstColumn="0" w:lastRowLastColumn="0"/>
            <w:tcW w:w="2547" w:type="dxa"/>
            <w:tcBorders>
              <w:top w:val="single" w:sz="4" w:space="0" w:color="auto"/>
              <w:left w:val="single" w:sz="4" w:space="0" w:color="auto"/>
              <w:bottom w:val="single" w:sz="4" w:space="0" w:color="auto"/>
            </w:tcBorders>
            <w:shd w:val="clear" w:color="auto" w:fill="B8CCE4" w:themeFill="accent1" w:themeFillTint="66"/>
            <w:hideMark/>
          </w:tcPr>
          <w:p w14:paraId="2DA01F9F" w14:textId="77777777" w:rsidR="00C268C6" w:rsidRPr="002B103C" w:rsidRDefault="00C268C6" w:rsidP="0060790C">
            <w:pPr>
              <w:jc w:val="center"/>
              <w:rPr>
                <w:color w:val="943634" w:themeColor="accent2" w:themeShade="BF"/>
                <w:szCs w:val="22"/>
              </w:rPr>
            </w:pPr>
            <w:r w:rsidRPr="002B103C">
              <w:rPr>
                <w:b w:val="0"/>
                <w:bCs w:val="0"/>
                <w:color w:val="943634" w:themeColor="accent2" w:themeShade="BF"/>
                <w:szCs w:val="22"/>
              </w:rPr>
              <w:t>Forum</w:t>
            </w:r>
          </w:p>
        </w:tc>
        <w:tc>
          <w:tcPr>
            <w:tcW w:w="7313" w:type="dxa"/>
            <w:tcBorders>
              <w:top w:val="single" w:sz="4" w:space="0" w:color="auto"/>
              <w:bottom w:val="single" w:sz="4" w:space="0" w:color="auto"/>
              <w:right w:val="single" w:sz="4" w:space="0" w:color="auto"/>
            </w:tcBorders>
            <w:shd w:val="clear" w:color="auto" w:fill="B8CCE4" w:themeFill="accent1" w:themeFillTint="66"/>
            <w:hideMark/>
          </w:tcPr>
          <w:p w14:paraId="72E9D387" w14:textId="77777777" w:rsidR="00C268C6" w:rsidRPr="002B103C" w:rsidRDefault="00C268C6" w:rsidP="0060790C">
            <w:pPr>
              <w:jc w:val="center"/>
              <w:cnfStyle w:val="100000000000" w:firstRow="1" w:lastRow="0" w:firstColumn="0" w:lastColumn="0" w:oddVBand="0" w:evenVBand="0" w:oddHBand="0" w:evenHBand="0" w:firstRowFirstColumn="0" w:firstRowLastColumn="0" w:lastRowFirstColumn="0" w:lastRowLastColumn="0"/>
              <w:rPr>
                <w:color w:val="943634" w:themeColor="accent2" w:themeShade="BF"/>
                <w:szCs w:val="22"/>
              </w:rPr>
            </w:pPr>
            <w:r w:rsidRPr="002B103C">
              <w:rPr>
                <w:b w:val="0"/>
                <w:bCs w:val="0"/>
                <w:color w:val="943634" w:themeColor="accent2" w:themeShade="BF"/>
                <w:szCs w:val="22"/>
              </w:rPr>
              <w:t>Performance Management</w:t>
            </w:r>
          </w:p>
        </w:tc>
      </w:tr>
      <w:tr w:rsidR="00C268C6" w:rsidRPr="002B103C" w14:paraId="499C5D7E" w14:textId="77777777" w:rsidTr="0060790C">
        <w:trPr>
          <w:cnfStyle w:val="000000100000" w:firstRow="0" w:lastRow="0" w:firstColumn="0" w:lastColumn="0" w:oddVBand="0" w:evenVBand="0" w:oddHBand="1" w:evenHBand="0" w:firstRowFirstColumn="0" w:firstRowLastColumn="0" w:lastRowFirstColumn="0" w:lastRowLastColumn="0"/>
          <w:trHeight w:val="13"/>
          <w:jc w:val="center"/>
        </w:trPr>
        <w:tc>
          <w:tcPr>
            <w:cnfStyle w:val="001000000000" w:firstRow="0" w:lastRow="0" w:firstColumn="1" w:lastColumn="0" w:oddVBand="0" w:evenVBand="0" w:oddHBand="0" w:evenHBand="0" w:firstRowFirstColumn="0" w:firstRowLastColumn="0" w:lastRowFirstColumn="0" w:lastRowLastColumn="0"/>
            <w:tcW w:w="2547" w:type="dxa"/>
            <w:tcBorders>
              <w:left w:val="single" w:sz="4" w:space="0" w:color="auto"/>
              <w:right w:val="single" w:sz="4" w:space="0" w:color="auto"/>
            </w:tcBorders>
            <w:shd w:val="clear" w:color="auto" w:fill="auto"/>
            <w:hideMark/>
          </w:tcPr>
          <w:p w14:paraId="2851AA5D" w14:textId="77777777" w:rsidR="00C268C6" w:rsidRPr="002B103C" w:rsidRDefault="00C268C6" w:rsidP="0060790C">
            <w:pPr>
              <w:rPr>
                <w:color w:val="943634" w:themeColor="accent2" w:themeShade="BF"/>
                <w:szCs w:val="22"/>
              </w:rPr>
            </w:pPr>
            <w:r w:rsidRPr="002B103C">
              <w:rPr>
                <w:color w:val="943634" w:themeColor="accent2" w:themeShade="BF"/>
                <w:szCs w:val="22"/>
              </w:rPr>
              <w:t>Health Board</w:t>
            </w:r>
          </w:p>
        </w:tc>
        <w:tc>
          <w:tcPr>
            <w:tcW w:w="7313" w:type="dxa"/>
            <w:tcBorders>
              <w:left w:val="single" w:sz="4" w:space="0" w:color="auto"/>
              <w:right w:val="single" w:sz="4" w:space="0" w:color="auto"/>
            </w:tcBorders>
            <w:shd w:val="clear" w:color="auto" w:fill="auto"/>
            <w:hideMark/>
          </w:tcPr>
          <w:p w14:paraId="60016FAD" w14:textId="77777777" w:rsidR="00C268C6" w:rsidRPr="002B103C" w:rsidRDefault="00C268C6" w:rsidP="003B1653">
            <w:pPr>
              <w:pStyle w:val="ListParagraph"/>
              <w:numPr>
                <w:ilvl w:val="0"/>
                <w:numId w:val="26"/>
              </w:numPr>
              <w:ind w:left="357" w:hanging="357"/>
              <w:cnfStyle w:val="000000100000" w:firstRow="0" w:lastRow="0" w:firstColumn="0" w:lastColumn="0" w:oddVBand="0" w:evenVBand="0" w:oddHBand="1" w:evenHBand="0" w:firstRowFirstColumn="0" w:firstRowLastColumn="0" w:lastRowFirstColumn="0" w:lastRowLastColumn="0"/>
              <w:rPr>
                <w:color w:val="943634" w:themeColor="accent2" w:themeShade="BF"/>
                <w:szCs w:val="22"/>
              </w:rPr>
            </w:pPr>
            <w:r w:rsidRPr="002B103C">
              <w:rPr>
                <w:color w:val="943634" w:themeColor="accent2" w:themeShade="BF"/>
                <w:szCs w:val="22"/>
              </w:rPr>
              <w:t>Quarterly IMTP Progress Reports</w:t>
            </w:r>
          </w:p>
          <w:p w14:paraId="32261B09" w14:textId="77777777" w:rsidR="00C268C6" w:rsidRPr="002B103C" w:rsidRDefault="00C268C6" w:rsidP="003B1653">
            <w:pPr>
              <w:pStyle w:val="ListParagraph"/>
              <w:numPr>
                <w:ilvl w:val="0"/>
                <w:numId w:val="26"/>
              </w:numPr>
              <w:ind w:left="357" w:hanging="357"/>
              <w:cnfStyle w:val="000000100000" w:firstRow="0" w:lastRow="0" w:firstColumn="0" w:lastColumn="0" w:oddVBand="0" w:evenVBand="0" w:oddHBand="1" w:evenHBand="0" w:firstRowFirstColumn="0" w:firstRowLastColumn="0" w:lastRowFirstColumn="0" w:lastRowLastColumn="0"/>
              <w:rPr>
                <w:color w:val="943634" w:themeColor="accent2" w:themeShade="BF"/>
                <w:szCs w:val="22"/>
              </w:rPr>
            </w:pPr>
            <w:r w:rsidRPr="002B103C">
              <w:rPr>
                <w:color w:val="943634" w:themeColor="accent2" w:themeShade="BF"/>
                <w:szCs w:val="22"/>
              </w:rPr>
              <w:t xml:space="preserve">Integrated Performance Dashboard </w:t>
            </w:r>
          </w:p>
          <w:p w14:paraId="7AE80447" w14:textId="77777777" w:rsidR="00C268C6" w:rsidRPr="002B103C" w:rsidRDefault="00C268C6" w:rsidP="003B1653">
            <w:pPr>
              <w:pStyle w:val="ListParagraph"/>
              <w:numPr>
                <w:ilvl w:val="0"/>
                <w:numId w:val="26"/>
              </w:numPr>
              <w:ind w:left="357" w:hanging="357"/>
              <w:cnfStyle w:val="000000100000" w:firstRow="0" w:lastRow="0" w:firstColumn="0" w:lastColumn="0" w:oddVBand="0" w:evenVBand="0" w:oddHBand="1" w:evenHBand="0" w:firstRowFirstColumn="0" w:firstRowLastColumn="0" w:lastRowFirstColumn="0" w:lastRowLastColumn="0"/>
              <w:rPr>
                <w:color w:val="943634" w:themeColor="accent2" w:themeShade="BF"/>
                <w:szCs w:val="22"/>
              </w:rPr>
            </w:pPr>
            <w:r w:rsidRPr="002B103C">
              <w:rPr>
                <w:color w:val="943634" w:themeColor="accent2" w:themeShade="BF"/>
                <w:szCs w:val="22"/>
              </w:rPr>
              <w:t>Quality and Finance Reports</w:t>
            </w:r>
          </w:p>
          <w:p w14:paraId="31F91A18" w14:textId="77777777" w:rsidR="00C268C6" w:rsidRPr="002B103C" w:rsidRDefault="00C268C6" w:rsidP="003B1653">
            <w:pPr>
              <w:numPr>
                <w:ilvl w:val="0"/>
                <w:numId w:val="26"/>
              </w:numPr>
              <w:ind w:left="357" w:hanging="357"/>
              <w:cnfStyle w:val="000000100000" w:firstRow="0" w:lastRow="0" w:firstColumn="0" w:lastColumn="0" w:oddVBand="0" w:evenVBand="0" w:oddHBand="1" w:evenHBand="0" w:firstRowFirstColumn="0" w:firstRowLastColumn="0" w:lastRowFirstColumn="0" w:lastRowLastColumn="0"/>
              <w:rPr>
                <w:rFonts w:asciiTheme="minorHAnsi" w:hAnsiTheme="minorHAnsi"/>
                <w:color w:val="943634" w:themeColor="accent2" w:themeShade="BF"/>
                <w:szCs w:val="22"/>
              </w:rPr>
            </w:pPr>
            <w:r w:rsidRPr="002B103C">
              <w:rPr>
                <w:rFonts w:asciiTheme="minorHAnsi" w:hAnsiTheme="minorHAnsi"/>
                <w:color w:val="943634" w:themeColor="accent2" w:themeShade="BF"/>
                <w:szCs w:val="22"/>
              </w:rPr>
              <w:t>Annual Service Delivery Reports</w:t>
            </w:r>
          </w:p>
          <w:p w14:paraId="3C6ADFC3" w14:textId="77777777" w:rsidR="00C268C6" w:rsidRPr="002B103C" w:rsidRDefault="00C268C6" w:rsidP="003B1653">
            <w:pPr>
              <w:numPr>
                <w:ilvl w:val="0"/>
                <w:numId w:val="26"/>
              </w:numPr>
              <w:ind w:left="357" w:hanging="357"/>
              <w:cnfStyle w:val="000000100000" w:firstRow="0" w:lastRow="0" w:firstColumn="0" w:lastColumn="0" w:oddVBand="0" w:evenVBand="0" w:oddHBand="1" w:evenHBand="0" w:firstRowFirstColumn="0" w:firstRowLastColumn="0" w:lastRowFirstColumn="0" w:lastRowLastColumn="0"/>
              <w:rPr>
                <w:rFonts w:asciiTheme="minorHAnsi" w:hAnsiTheme="minorHAnsi"/>
                <w:color w:val="943634" w:themeColor="accent2" w:themeShade="BF"/>
                <w:szCs w:val="22"/>
              </w:rPr>
            </w:pPr>
            <w:r w:rsidRPr="002B103C">
              <w:rPr>
                <w:rFonts w:asciiTheme="minorHAnsi" w:hAnsiTheme="minorHAnsi"/>
                <w:color w:val="943634" w:themeColor="accent2" w:themeShade="BF"/>
                <w:szCs w:val="22"/>
              </w:rPr>
              <w:t>Committee Reports</w:t>
            </w:r>
          </w:p>
          <w:p w14:paraId="6B171BE5" w14:textId="77777777" w:rsidR="00C268C6" w:rsidRPr="002B103C" w:rsidRDefault="00C268C6" w:rsidP="003B1653">
            <w:pPr>
              <w:numPr>
                <w:ilvl w:val="0"/>
                <w:numId w:val="26"/>
              </w:numPr>
              <w:ind w:left="357" w:hanging="357"/>
              <w:cnfStyle w:val="000000100000" w:firstRow="0" w:lastRow="0" w:firstColumn="0" w:lastColumn="0" w:oddVBand="0" w:evenVBand="0" w:oddHBand="1" w:evenHBand="0" w:firstRowFirstColumn="0" w:firstRowLastColumn="0" w:lastRowFirstColumn="0" w:lastRowLastColumn="0"/>
              <w:rPr>
                <w:rFonts w:asciiTheme="minorHAnsi" w:hAnsiTheme="minorHAnsi"/>
                <w:color w:val="943634" w:themeColor="accent2" w:themeShade="BF"/>
                <w:szCs w:val="22"/>
              </w:rPr>
            </w:pPr>
            <w:r w:rsidRPr="002B103C">
              <w:rPr>
                <w:rFonts w:asciiTheme="minorHAnsi" w:hAnsiTheme="minorHAnsi"/>
                <w:color w:val="943634" w:themeColor="accent2" w:themeShade="BF"/>
                <w:szCs w:val="22"/>
              </w:rPr>
              <w:t>External Audits and Reviews</w:t>
            </w:r>
          </w:p>
          <w:p w14:paraId="70961B25" w14:textId="77777777" w:rsidR="00C268C6" w:rsidRPr="002B103C" w:rsidRDefault="00C268C6" w:rsidP="003B1653">
            <w:pPr>
              <w:numPr>
                <w:ilvl w:val="0"/>
                <w:numId w:val="26"/>
              </w:numPr>
              <w:ind w:left="357" w:hanging="357"/>
              <w:cnfStyle w:val="000000100000" w:firstRow="0" w:lastRow="0" w:firstColumn="0" w:lastColumn="0" w:oddVBand="0" w:evenVBand="0" w:oddHBand="1" w:evenHBand="0" w:firstRowFirstColumn="0" w:firstRowLastColumn="0" w:lastRowFirstColumn="0" w:lastRowLastColumn="0"/>
              <w:rPr>
                <w:color w:val="943634" w:themeColor="accent2" w:themeShade="BF"/>
                <w:szCs w:val="22"/>
              </w:rPr>
            </w:pPr>
            <w:r w:rsidRPr="002B103C">
              <w:rPr>
                <w:rFonts w:asciiTheme="minorHAnsi" w:hAnsiTheme="minorHAnsi"/>
                <w:color w:val="943634" w:themeColor="accent2" w:themeShade="BF"/>
                <w:szCs w:val="22"/>
              </w:rPr>
              <w:t>Regular updates on the development of the next IMTP</w:t>
            </w:r>
          </w:p>
        </w:tc>
      </w:tr>
      <w:tr w:rsidR="00C268C6" w:rsidRPr="002B103C" w14:paraId="3FBEFAA1" w14:textId="77777777" w:rsidTr="0060790C">
        <w:trPr>
          <w:trHeight w:val="13"/>
          <w:jc w:val="center"/>
        </w:trPr>
        <w:tc>
          <w:tcPr>
            <w:cnfStyle w:val="001000000000" w:firstRow="0" w:lastRow="0" w:firstColumn="1" w:lastColumn="0" w:oddVBand="0" w:evenVBand="0" w:oddHBand="0" w:evenHBand="0" w:firstRowFirstColumn="0" w:firstRowLastColumn="0" w:lastRowFirstColumn="0" w:lastRowLastColumn="0"/>
            <w:tcW w:w="2547" w:type="dxa"/>
            <w:shd w:val="clear" w:color="auto" w:fill="auto"/>
            <w:hideMark/>
          </w:tcPr>
          <w:p w14:paraId="0EBB78C7" w14:textId="77777777" w:rsidR="00C268C6" w:rsidRPr="002B103C" w:rsidRDefault="00C268C6" w:rsidP="0060790C">
            <w:pPr>
              <w:rPr>
                <w:color w:val="943634" w:themeColor="accent2" w:themeShade="BF"/>
                <w:szCs w:val="22"/>
              </w:rPr>
            </w:pPr>
            <w:r w:rsidRPr="002B103C">
              <w:rPr>
                <w:color w:val="943634" w:themeColor="accent2" w:themeShade="BF"/>
                <w:szCs w:val="22"/>
              </w:rPr>
              <w:t>Integrated Governance Committee</w:t>
            </w:r>
          </w:p>
        </w:tc>
        <w:tc>
          <w:tcPr>
            <w:tcW w:w="7313" w:type="dxa"/>
            <w:shd w:val="clear" w:color="auto" w:fill="auto"/>
            <w:hideMark/>
          </w:tcPr>
          <w:p w14:paraId="49152124" w14:textId="77777777" w:rsidR="00C268C6" w:rsidRPr="002B103C" w:rsidRDefault="00C268C6" w:rsidP="003B1653">
            <w:pPr>
              <w:numPr>
                <w:ilvl w:val="0"/>
                <w:numId w:val="27"/>
              </w:numPr>
              <w:ind w:left="357" w:hanging="357"/>
              <w:cnfStyle w:val="000000000000" w:firstRow="0" w:lastRow="0" w:firstColumn="0" w:lastColumn="0" w:oddVBand="0" w:evenVBand="0" w:oddHBand="0" w:evenHBand="0" w:firstRowFirstColumn="0" w:firstRowLastColumn="0" w:lastRowFirstColumn="0" w:lastRowLastColumn="0"/>
              <w:rPr>
                <w:color w:val="943634" w:themeColor="accent2" w:themeShade="BF"/>
                <w:szCs w:val="22"/>
              </w:rPr>
            </w:pPr>
            <w:r w:rsidRPr="002B103C">
              <w:rPr>
                <w:color w:val="943634" w:themeColor="accent2" w:themeShade="BF"/>
                <w:szCs w:val="22"/>
              </w:rPr>
              <w:t>Board Committee Reports</w:t>
            </w:r>
          </w:p>
          <w:p w14:paraId="4AA53A6B" w14:textId="77777777" w:rsidR="00C268C6" w:rsidRPr="002B103C" w:rsidRDefault="00C268C6" w:rsidP="003B1653">
            <w:pPr>
              <w:numPr>
                <w:ilvl w:val="0"/>
                <w:numId w:val="27"/>
              </w:numPr>
              <w:ind w:left="357" w:hanging="357"/>
              <w:cnfStyle w:val="000000000000" w:firstRow="0" w:lastRow="0" w:firstColumn="0" w:lastColumn="0" w:oddVBand="0" w:evenVBand="0" w:oddHBand="0" w:evenHBand="0" w:firstRowFirstColumn="0" w:firstRowLastColumn="0" w:lastRowFirstColumn="0" w:lastRowLastColumn="0"/>
              <w:rPr>
                <w:color w:val="943634" w:themeColor="accent2" w:themeShade="BF"/>
                <w:szCs w:val="22"/>
              </w:rPr>
            </w:pPr>
            <w:r w:rsidRPr="002B103C">
              <w:rPr>
                <w:color w:val="943634" w:themeColor="accent2" w:themeShade="BF"/>
                <w:szCs w:val="22"/>
              </w:rPr>
              <w:t>External Audits and Reviews</w:t>
            </w:r>
          </w:p>
        </w:tc>
      </w:tr>
      <w:tr w:rsidR="00C268C6" w:rsidRPr="002B103C" w14:paraId="7E1CCF1B" w14:textId="77777777" w:rsidTr="0060790C">
        <w:trPr>
          <w:cnfStyle w:val="000000100000" w:firstRow="0" w:lastRow="0" w:firstColumn="0" w:lastColumn="0" w:oddVBand="0" w:evenVBand="0" w:oddHBand="1" w:evenHBand="0" w:firstRowFirstColumn="0" w:firstRowLastColumn="0" w:lastRowFirstColumn="0" w:lastRowLastColumn="0"/>
          <w:trHeight w:val="13"/>
          <w:jc w:val="center"/>
        </w:trPr>
        <w:tc>
          <w:tcPr>
            <w:cnfStyle w:val="001000000000" w:firstRow="0" w:lastRow="0" w:firstColumn="1" w:lastColumn="0" w:oddVBand="0" w:evenVBand="0" w:oddHBand="0" w:evenHBand="0" w:firstRowFirstColumn="0" w:firstRowLastColumn="0" w:lastRowFirstColumn="0" w:lastRowLastColumn="0"/>
            <w:tcW w:w="2547" w:type="dxa"/>
            <w:tcBorders>
              <w:left w:val="single" w:sz="4" w:space="0" w:color="auto"/>
              <w:right w:val="single" w:sz="4" w:space="0" w:color="auto"/>
            </w:tcBorders>
            <w:shd w:val="clear" w:color="auto" w:fill="auto"/>
            <w:hideMark/>
          </w:tcPr>
          <w:p w14:paraId="1CA1D193" w14:textId="77777777" w:rsidR="00C268C6" w:rsidRPr="002B103C" w:rsidRDefault="00C268C6" w:rsidP="0060790C">
            <w:pPr>
              <w:rPr>
                <w:color w:val="943634" w:themeColor="accent2" w:themeShade="BF"/>
                <w:szCs w:val="22"/>
              </w:rPr>
            </w:pPr>
            <w:r w:rsidRPr="002B103C">
              <w:rPr>
                <w:color w:val="943634" w:themeColor="accent2" w:themeShade="BF"/>
                <w:szCs w:val="22"/>
              </w:rPr>
              <w:t>Board Committees</w:t>
            </w:r>
          </w:p>
        </w:tc>
        <w:tc>
          <w:tcPr>
            <w:tcW w:w="7313" w:type="dxa"/>
            <w:tcBorders>
              <w:left w:val="single" w:sz="4" w:space="0" w:color="auto"/>
              <w:right w:val="single" w:sz="4" w:space="0" w:color="auto"/>
            </w:tcBorders>
            <w:shd w:val="clear" w:color="auto" w:fill="auto"/>
            <w:hideMark/>
          </w:tcPr>
          <w:p w14:paraId="06F1BB23" w14:textId="77777777" w:rsidR="00C268C6" w:rsidRPr="002B103C" w:rsidRDefault="00C268C6" w:rsidP="003B1653">
            <w:pPr>
              <w:pStyle w:val="ListParagraph"/>
              <w:numPr>
                <w:ilvl w:val="0"/>
                <w:numId w:val="28"/>
              </w:numPr>
              <w:ind w:left="357" w:hanging="357"/>
              <w:cnfStyle w:val="000000100000" w:firstRow="0" w:lastRow="0" w:firstColumn="0" w:lastColumn="0" w:oddVBand="0" w:evenVBand="0" w:oddHBand="1" w:evenHBand="0" w:firstRowFirstColumn="0" w:firstRowLastColumn="0" w:lastRowFirstColumn="0" w:lastRowLastColumn="0"/>
              <w:rPr>
                <w:color w:val="943634" w:themeColor="accent2" w:themeShade="BF"/>
                <w:szCs w:val="22"/>
              </w:rPr>
            </w:pPr>
            <w:r w:rsidRPr="002B103C">
              <w:rPr>
                <w:color w:val="943634" w:themeColor="accent2" w:themeShade="BF"/>
                <w:szCs w:val="22"/>
              </w:rPr>
              <w:t xml:space="preserve">Integrated Performance Dashboard </w:t>
            </w:r>
          </w:p>
          <w:p w14:paraId="02A4F32D" w14:textId="77777777" w:rsidR="00C268C6" w:rsidRPr="002B103C" w:rsidRDefault="00C268C6" w:rsidP="003B1653">
            <w:pPr>
              <w:pStyle w:val="ListParagraph"/>
              <w:numPr>
                <w:ilvl w:val="0"/>
                <w:numId w:val="28"/>
              </w:numPr>
              <w:ind w:left="357" w:hanging="357"/>
              <w:cnfStyle w:val="000000100000" w:firstRow="0" w:lastRow="0" w:firstColumn="0" w:lastColumn="0" w:oddVBand="0" w:evenVBand="0" w:oddHBand="1" w:evenHBand="0" w:firstRowFirstColumn="0" w:firstRowLastColumn="0" w:lastRowFirstColumn="0" w:lastRowLastColumn="0"/>
              <w:rPr>
                <w:color w:val="943634" w:themeColor="accent2" w:themeShade="BF"/>
                <w:szCs w:val="22"/>
              </w:rPr>
            </w:pPr>
            <w:r w:rsidRPr="002B103C">
              <w:rPr>
                <w:color w:val="943634" w:themeColor="accent2" w:themeShade="BF"/>
                <w:szCs w:val="22"/>
              </w:rPr>
              <w:lastRenderedPageBreak/>
              <w:t>Quality and Finance Reports</w:t>
            </w:r>
          </w:p>
          <w:p w14:paraId="0D11C770" w14:textId="77777777" w:rsidR="00C268C6" w:rsidRPr="002B103C" w:rsidRDefault="00C268C6" w:rsidP="003B1653">
            <w:pPr>
              <w:pStyle w:val="ListParagraph"/>
              <w:numPr>
                <w:ilvl w:val="0"/>
                <w:numId w:val="28"/>
              </w:numPr>
              <w:ind w:left="357" w:hanging="357"/>
              <w:cnfStyle w:val="000000100000" w:firstRow="0" w:lastRow="0" w:firstColumn="0" w:lastColumn="0" w:oddVBand="0" w:evenVBand="0" w:oddHBand="1" w:evenHBand="0" w:firstRowFirstColumn="0" w:firstRowLastColumn="0" w:lastRowFirstColumn="0" w:lastRowLastColumn="0"/>
              <w:rPr>
                <w:color w:val="943634" w:themeColor="accent2" w:themeShade="BF"/>
                <w:szCs w:val="22"/>
              </w:rPr>
            </w:pPr>
            <w:r w:rsidRPr="002B103C">
              <w:rPr>
                <w:color w:val="943634" w:themeColor="accent2" w:themeShade="BF"/>
                <w:szCs w:val="22"/>
              </w:rPr>
              <w:t>External and Internal Audits and Reviews</w:t>
            </w:r>
          </w:p>
        </w:tc>
      </w:tr>
      <w:tr w:rsidR="00C268C6" w:rsidRPr="002B103C" w14:paraId="0AE44E7D" w14:textId="77777777" w:rsidTr="0060790C">
        <w:trPr>
          <w:trHeight w:val="13"/>
          <w:jc w:val="center"/>
        </w:trPr>
        <w:tc>
          <w:tcPr>
            <w:cnfStyle w:val="001000000000" w:firstRow="0" w:lastRow="0" w:firstColumn="1" w:lastColumn="0" w:oddVBand="0" w:evenVBand="0" w:oddHBand="0" w:evenHBand="0" w:firstRowFirstColumn="0" w:firstRowLastColumn="0" w:lastRowFirstColumn="0" w:lastRowLastColumn="0"/>
            <w:tcW w:w="2547" w:type="dxa"/>
            <w:shd w:val="clear" w:color="auto" w:fill="auto"/>
            <w:hideMark/>
          </w:tcPr>
          <w:p w14:paraId="32423137" w14:textId="77777777" w:rsidR="00C268C6" w:rsidRPr="002B103C" w:rsidRDefault="00C268C6" w:rsidP="0060790C">
            <w:pPr>
              <w:rPr>
                <w:color w:val="943634" w:themeColor="accent2" w:themeShade="BF"/>
                <w:szCs w:val="22"/>
              </w:rPr>
            </w:pPr>
            <w:r w:rsidRPr="002B103C">
              <w:rPr>
                <w:color w:val="943634" w:themeColor="accent2" w:themeShade="BF"/>
                <w:szCs w:val="22"/>
              </w:rPr>
              <w:lastRenderedPageBreak/>
              <w:t>Executive Board</w:t>
            </w:r>
          </w:p>
        </w:tc>
        <w:tc>
          <w:tcPr>
            <w:tcW w:w="7313" w:type="dxa"/>
            <w:shd w:val="clear" w:color="auto" w:fill="auto"/>
            <w:hideMark/>
          </w:tcPr>
          <w:p w14:paraId="3066E39F" w14:textId="77777777" w:rsidR="00C268C6" w:rsidRPr="002B103C" w:rsidRDefault="00C268C6" w:rsidP="003B1653">
            <w:pPr>
              <w:pStyle w:val="ListParagraph"/>
              <w:numPr>
                <w:ilvl w:val="0"/>
                <w:numId w:val="29"/>
              </w:numPr>
              <w:ind w:left="357" w:hanging="357"/>
              <w:cnfStyle w:val="000000000000" w:firstRow="0" w:lastRow="0" w:firstColumn="0" w:lastColumn="0" w:oddVBand="0" w:evenVBand="0" w:oddHBand="0" w:evenHBand="0" w:firstRowFirstColumn="0" w:firstRowLastColumn="0" w:lastRowFirstColumn="0" w:lastRowLastColumn="0"/>
              <w:rPr>
                <w:color w:val="943634" w:themeColor="accent2" w:themeShade="BF"/>
                <w:szCs w:val="22"/>
              </w:rPr>
            </w:pPr>
            <w:r w:rsidRPr="002B103C">
              <w:rPr>
                <w:color w:val="943634" w:themeColor="accent2" w:themeShade="BF"/>
                <w:szCs w:val="22"/>
              </w:rPr>
              <w:t>Quarterly IMTP Progress Reports</w:t>
            </w:r>
          </w:p>
          <w:p w14:paraId="76372007" w14:textId="77777777" w:rsidR="00C268C6" w:rsidRPr="002B103C" w:rsidRDefault="00C268C6" w:rsidP="003B1653">
            <w:pPr>
              <w:pStyle w:val="ListParagraph"/>
              <w:numPr>
                <w:ilvl w:val="0"/>
                <w:numId w:val="29"/>
              </w:numPr>
              <w:ind w:left="357" w:hanging="357"/>
              <w:cnfStyle w:val="000000000000" w:firstRow="0" w:lastRow="0" w:firstColumn="0" w:lastColumn="0" w:oddVBand="0" w:evenVBand="0" w:oddHBand="0" w:evenHBand="0" w:firstRowFirstColumn="0" w:firstRowLastColumn="0" w:lastRowFirstColumn="0" w:lastRowLastColumn="0"/>
              <w:rPr>
                <w:color w:val="943634" w:themeColor="accent2" w:themeShade="BF"/>
                <w:szCs w:val="22"/>
              </w:rPr>
            </w:pPr>
            <w:r w:rsidRPr="002B103C">
              <w:rPr>
                <w:color w:val="943634" w:themeColor="accent2" w:themeShade="BF"/>
                <w:szCs w:val="22"/>
              </w:rPr>
              <w:t xml:space="preserve">Integrated Performance Dashboard </w:t>
            </w:r>
          </w:p>
          <w:p w14:paraId="3BD4A182" w14:textId="77777777" w:rsidR="00C268C6" w:rsidRPr="002B103C" w:rsidRDefault="00C268C6" w:rsidP="003B1653">
            <w:pPr>
              <w:numPr>
                <w:ilvl w:val="0"/>
                <w:numId w:val="29"/>
              </w:numPr>
              <w:ind w:left="357" w:hanging="357"/>
              <w:cnfStyle w:val="000000000000" w:firstRow="0" w:lastRow="0" w:firstColumn="0" w:lastColumn="0" w:oddVBand="0" w:evenVBand="0" w:oddHBand="0" w:evenHBand="0" w:firstRowFirstColumn="0" w:firstRowLastColumn="0" w:lastRowFirstColumn="0" w:lastRowLastColumn="0"/>
              <w:rPr>
                <w:color w:val="943634" w:themeColor="accent2" w:themeShade="BF"/>
                <w:szCs w:val="22"/>
              </w:rPr>
            </w:pPr>
            <w:r w:rsidRPr="002B103C">
              <w:rPr>
                <w:color w:val="943634" w:themeColor="accent2" w:themeShade="BF"/>
                <w:szCs w:val="22"/>
              </w:rPr>
              <w:t>Quality and Finance Reports</w:t>
            </w:r>
          </w:p>
          <w:p w14:paraId="6744C088" w14:textId="77777777" w:rsidR="00C268C6" w:rsidRPr="002B103C" w:rsidRDefault="00C268C6" w:rsidP="003B1653">
            <w:pPr>
              <w:numPr>
                <w:ilvl w:val="0"/>
                <w:numId w:val="29"/>
              </w:numPr>
              <w:ind w:left="357" w:hanging="357"/>
              <w:cnfStyle w:val="000000000000" w:firstRow="0" w:lastRow="0" w:firstColumn="0" w:lastColumn="0" w:oddVBand="0" w:evenVBand="0" w:oddHBand="0" w:evenHBand="0" w:firstRowFirstColumn="0" w:firstRowLastColumn="0" w:lastRowFirstColumn="0" w:lastRowLastColumn="0"/>
              <w:rPr>
                <w:color w:val="943634" w:themeColor="accent2" w:themeShade="BF"/>
                <w:szCs w:val="22"/>
              </w:rPr>
            </w:pPr>
            <w:r w:rsidRPr="002B103C">
              <w:rPr>
                <w:color w:val="943634" w:themeColor="accent2" w:themeShade="BF"/>
                <w:szCs w:val="22"/>
              </w:rPr>
              <w:t>Annual Service Delivery Reports</w:t>
            </w:r>
          </w:p>
          <w:p w14:paraId="539B061C" w14:textId="77777777" w:rsidR="00C268C6" w:rsidRPr="002B103C" w:rsidRDefault="00C268C6" w:rsidP="003B1653">
            <w:pPr>
              <w:numPr>
                <w:ilvl w:val="0"/>
                <w:numId w:val="29"/>
              </w:numPr>
              <w:ind w:left="357" w:hanging="357"/>
              <w:cnfStyle w:val="000000000000" w:firstRow="0" w:lastRow="0" w:firstColumn="0" w:lastColumn="0" w:oddVBand="0" w:evenVBand="0" w:oddHBand="0" w:evenHBand="0" w:firstRowFirstColumn="0" w:firstRowLastColumn="0" w:lastRowFirstColumn="0" w:lastRowLastColumn="0"/>
              <w:rPr>
                <w:color w:val="943634" w:themeColor="accent2" w:themeShade="BF"/>
                <w:szCs w:val="22"/>
              </w:rPr>
            </w:pPr>
            <w:r w:rsidRPr="002B103C">
              <w:rPr>
                <w:color w:val="943634" w:themeColor="accent2" w:themeShade="BF"/>
                <w:szCs w:val="22"/>
              </w:rPr>
              <w:t>Business Case Approval</w:t>
            </w:r>
          </w:p>
          <w:p w14:paraId="7D463ECE" w14:textId="77777777" w:rsidR="00C268C6" w:rsidRPr="002B103C" w:rsidRDefault="00C268C6" w:rsidP="003B1653">
            <w:pPr>
              <w:numPr>
                <w:ilvl w:val="0"/>
                <w:numId w:val="29"/>
              </w:numPr>
              <w:ind w:left="357" w:hanging="357"/>
              <w:cnfStyle w:val="000000000000" w:firstRow="0" w:lastRow="0" w:firstColumn="0" w:lastColumn="0" w:oddVBand="0" w:evenVBand="0" w:oddHBand="0" w:evenHBand="0" w:firstRowFirstColumn="0" w:firstRowLastColumn="0" w:lastRowFirstColumn="0" w:lastRowLastColumn="0"/>
              <w:rPr>
                <w:color w:val="943634" w:themeColor="accent2" w:themeShade="BF"/>
                <w:szCs w:val="22"/>
              </w:rPr>
            </w:pPr>
            <w:r w:rsidRPr="002B103C">
              <w:rPr>
                <w:color w:val="943634" w:themeColor="accent2" w:themeShade="BF"/>
                <w:szCs w:val="22"/>
              </w:rPr>
              <w:t>Regular updates on the development of the next IMTP</w:t>
            </w:r>
          </w:p>
        </w:tc>
      </w:tr>
      <w:tr w:rsidR="00C268C6" w:rsidRPr="002B103C" w14:paraId="2D618ED1" w14:textId="77777777" w:rsidTr="0060790C">
        <w:trPr>
          <w:cnfStyle w:val="000000100000" w:firstRow="0" w:lastRow="0" w:firstColumn="0" w:lastColumn="0" w:oddVBand="0" w:evenVBand="0" w:oddHBand="1" w:evenHBand="0" w:firstRowFirstColumn="0" w:firstRowLastColumn="0" w:lastRowFirstColumn="0" w:lastRowLastColumn="0"/>
          <w:trHeight w:val="13"/>
          <w:jc w:val="center"/>
        </w:trPr>
        <w:tc>
          <w:tcPr>
            <w:cnfStyle w:val="001000000000" w:firstRow="0" w:lastRow="0" w:firstColumn="1" w:lastColumn="0" w:oddVBand="0" w:evenVBand="0" w:oddHBand="0" w:evenHBand="0" w:firstRowFirstColumn="0" w:firstRowLastColumn="0" w:lastRowFirstColumn="0" w:lastRowLastColumn="0"/>
            <w:tcW w:w="2547" w:type="dxa"/>
            <w:tcBorders>
              <w:left w:val="single" w:sz="4" w:space="0" w:color="auto"/>
              <w:right w:val="single" w:sz="4" w:space="0" w:color="auto"/>
            </w:tcBorders>
            <w:shd w:val="clear" w:color="auto" w:fill="auto"/>
            <w:hideMark/>
          </w:tcPr>
          <w:p w14:paraId="73A3C961" w14:textId="77777777" w:rsidR="00C268C6" w:rsidRPr="002B103C" w:rsidRDefault="00C268C6" w:rsidP="0060790C">
            <w:pPr>
              <w:rPr>
                <w:color w:val="943634" w:themeColor="accent2" w:themeShade="BF"/>
                <w:szCs w:val="22"/>
              </w:rPr>
            </w:pPr>
            <w:r w:rsidRPr="002B103C">
              <w:rPr>
                <w:color w:val="943634" w:themeColor="accent2" w:themeShade="BF"/>
                <w:szCs w:val="22"/>
              </w:rPr>
              <w:t>Efficiency, Productivity and Value Board</w:t>
            </w:r>
          </w:p>
        </w:tc>
        <w:tc>
          <w:tcPr>
            <w:tcW w:w="7313" w:type="dxa"/>
            <w:tcBorders>
              <w:left w:val="single" w:sz="4" w:space="0" w:color="auto"/>
              <w:right w:val="single" w:sz="4" w:space="0" w:color="auto"/>
            </w:tcBorders>
            <w:shd w:val="clear" w:color="auto" w:fill="auto"/>
            <w:hideMark/>
          </w:tcPr>
          <w:p w14:paraId="6D718260" w14:textId="77777777" w:rsidR="00C268C6" w:rsidRPr="002B103C" w:rsidRDefault="00C268C6" w:rsidP="003B1653">
            <w:pPr>
              <w:pStyle w:val="ListParagraph"/>
              <w:numPr>
                <w:ilvl w:val="0"/>
                <w:numId w:val="30"/>
              </w:numPr>
              <w:ind w:left="357" w:hanging="357"/>
              <w:cnfStyle w:val="000000100000" w:firstRow="0" w:lastRow="0" w:firstColumn="0" w:lastColumn="0" w:oddVBand="0" w:evenVBand="0" w:oddHBand="1" w:evenHBand="0" w:firstRowFirstColumn="0" w:firstRowLastColumn="0" w:lastRowFirstColumn="0" w:lastRowLastColumn="0"/>
              <w:rPr>
                <w:color w:val="943634" w:themeColor="accent2" w:themeShade="BF"/>
                <w:szCs w:val="22"/>
              </w:rPr>
            </w:pPr>
            <w:r w:rsidRPr="002B103C">
              <w:rPr>
                <w:color w:val="943634" w:themeColor="accent2" w:themeShade="BF"/>
                <w:szCs w:val="22"/>
              </w:rPr>
              <w:t xml:space="preserve">Chief Executive Chaired meeting with all Executive Directors and Deputy Medical Director and Assistant Directors, supported by the Programme Management Office (PMO), whose focus is on  Cross Cutting Themes with Programme Highlight Reports; Directorate Savings Plans </w:t>
            </w:r>
          </w:p>
          <w:p w14:paraId="36A38BB2" w14:textId="77777777" w:rsidR="00C268C6" w:rsidRPr="002B103C" w:rsidRDefault="00C268C6" w:rsidP="003B1653">
            <w:pPr>
              <w:pStyle w:val="ListParagraph"/>
              <w:numPr>
                <w:ilvl w:val="0"/>
                <w:numId w:val="30"/>
              </w:numPr>
              <w:ind w:left="357" w:hanging="357"/>
              <w:cnfStyle w:val="000000100000" w:firstRow="0" w:lastRow="0" w:firstColumn="0" w:lastColumn="0" w:oddVBand="0" w:evenVBand="0" w:oddHBand="1" w:evenHBand="0" w:firstRowFirstColumn="0" w:firstRowLastColumn="0" w:lastRowFirstColumn="0" w:lastRowLastColumn="0"/>
              <w:rPr>
                <w:color w:val="943634" w:themeColor="accent2" w:themeShade="BF"/>
                <w:szCs w:val="22"/>
              </w:rPr>
            </w:pPr>
            <w:r w:rsidRPr="002B103C">
              <w:rPr>
                <w:color w:val="943634" w:themeColor="accent2" w:themeShade="BF"/>
                <w:szCs w:val="22"/>
              </w:rPr>
              <w:t>Project/Cross-cutting Theme Highlight Reports</w:t>
            </w:r>
          </w:p>
          <w:p w14:paraId="3B32F804" w14:textId="77777777" w:rsidR="00C268C6" w:rsidRPr="002B103C" w:rsidRDefault="00C268C6" w:rsidP="003B1653">
            <w:pPr>
              <w:pStyle w:val="ListParagraph"/>
              <w:numPr>
                <w:ilvl w:val="0"/>
                <w:numId w:val="30"/>
              </w:numPr>
              <w:ind w:left="357" w:hanging="357"/>
              <w:cnfStyle w:val="000000100000" w:firstRow="0" w:lastRow="0" w:firstColumn="0" w:lastColumn="0" w:oddVBand="0" w:evenVBand="0" w:oddHBand="1" w:evenHBand="0" w:firstRowFirstColumn="0" w:firstRowLastColumn="0" w:lastRowFirstColumn="0" w:lastRowLastColumn="0"/>
              <w:rPr>
                <w:color w:val="943634" w:themeColor="accent2" w:themeShade="BF"/>
                <w:szCs w:val="22"/>
              </w:rPr>
            </w:pPr>
            <w:r w:rsidRPr="002B103C">
              <w:rPr>
                <w:color w:val="943634" w:themeColor="accent2" w:themeShade="BF"/>
                <w:szCs w:val="22"/>
              </w:rPr>
              <w:t xml:space="preserve">Overall Programme Management and delivery tracking </w:t>
            </w:r>
          </w:p>
        </w:tc>
      </w:tr>
      <w:tr w:rsidR="00C268C6" w:rsidRPr="002B103C" w14:paraId="3A69BE46" w14:textId="77777777" w:rsidTr="0060790C">
        <w:trPr>
          <w:trHeight w:val="15"/>
          <w:jc w:val="center"/>
        </w:trPr>
        <w:tc>
          <w:tcPr>
            <w:cnfStyle w:val="001000000000" w:firstRow="0" w:lastRow="0" w:firstColumn="1" w:lastColumn="0" w:oddVBand="0" w:evenVBand="0" w:oddHBand="0" w:evenHBand="0" w:firstRowFirstColumn="0" w:firstRowLastColumn="0" w:lastRowFirstColumn="0" w:lastRowLastColumn="0"/>
            <w:tcW w:w="2547" w:type="dxa"/>
            <w:shd w:val="clear" w:color="auto" w:fill="auto"/>
            <w:hideMark/>
          </w:tcPr>
          <w:p w14:paraId="12B0A7D8" w14:textId="77777777" w:rsidR="00C268C6" w:rsidRPr="002B103C" w:rsidRDefault="00C268C6" w:rsidP="0060790C">
            <w:pPr>
              <w:rPr>
                <w:color w:val="943634" w:themeColor="accent2" w:themeShade="BF"/>
                <w:szCs w:val="22"/>
              </w:rPr>
            </w:pPr>
            <w:r w:rsidRPr="002B103C">
              <w:rPr>
                <w:color w:val="943634" w:themeColor="accent2" w:themeShade="BF"/>
                <w:szCs w:val="22"/>
              </w:rPr>
              <w:t xml:space="preserve">Clinical Business Meetings </w:t>
            </w:r>
          </w:p>
        </w:tc>
        <w:tc>
          <w:tcPr>
            <w:tcW w:w="7313" w:type="dxa"/>
            <w:shd w:val="clear" w:color="auto" w:fill="auto"/>
            <w:hideMark/>
          </w:tcPr>
          <w:p w14:paraId="1E23BAA0" w14:textId="77777777" w:rsidR="00C268C6" w:rsidRPr="002B103C" w:rsidRDefault="00C268C6" w:rsidP="003B1653">
            <w:pPr>
              <w:pStyle w:val="ListParagraph"/>
              <w:numPr>
                <w:ilvl w:val="0"/>
                <w:numId w:val="30"/>
              </w:numPr>
              <w:ind w:left="357" w:hanging="357"/>
              <w:cnfStyle w:val="000000000000" w:firstRow="0" w:lastRow="0" w:firstColumn="0" w:lastColumn="0" w:oddVBand="0" w:evenVBand="0" w:oddHBand="0" w:evenHBand="0" w:firstRowFirstColumn="0" w:firstRowLastColumn="0" w:lastRowFirstColumn="0" w:lastRowLastColumn="0"/>
              <w:rPr>
                <w:color w:val="943634" w:themeColor="accent2" w:themeShade="BF"/>
                <w:szCs w:val="22"/>
              </w:rPr>
            </w:pPr>
            <w:r w:rsidRPr="002B103C">
              <w:rPr>
                <w:color w:val="943634" w:themeColor="accent2" w:themeShade="BF"/>
                <w:szCs w:val="22"/>
              </w:rPr>
              <w:t>Local Dashboard monitoring</w:t>
            </w:r>
          </w:p>
          <w:p w14:paraId="5BBB4598" w14:textId="77777777" w:rsidR="00C268C6" w:rsidRPr="002B103C" w:rsidRDefault="00C268C6" w:rsidP="003B1653">
            <w:pPr>
              <w:pStyle w:val="ListParagraph"/>
              <w:numPr>
                <w:ilvl w:val="0"/>
                <w:numId w:val="30"/>
              </w:numPr>
              <w:ind w:left="357" w:hanging="357"/>
              <w:cnfStyle w:val="000000000000" w:firstRow="0" w:lastRow="0" w:firstColumn="0" w:lastColumn="0" w:oddVBand="0" w:evenVBand="0" w:oddHBand="0" w:evenHBand="0" w:firstRowFirstColumn="0" w:firstRowLastColumn="0" w:lastRowFirstColumn="0" w:lastRowLastColumn="0"/>
              <w:rPr>
                <w:color w:val="943634" w:themeColor="accent2" w:themeShade="BF"/>
                <w:szCs w:val="22"/>
              </w:rPr>
            </w:pPr>
            <w:r w:rsidRPr="002B103C">
              <w:rPr>
                <w:color w:val="943634" w:themeColor="accent2" w:themeShade="BF"/>
                <w:szCs w:val="22"/>
              </w:rPr>
              <w:t xml:space="preserve">Progress / Highlight reports </w:t>
            </w:r>
          </w:p>
        </w:tc>
      </w:tr>
      <w:tr w:rsidR="00C268C6" w:rsidRPr="002B103C" w14:paraId="410BD717" w14:textId="77777777" w:rsidTr="0060790C">
        <w:trPr>
          <w:cnfStyle w:val="000000100000" w:firstRow="0" w:lastRow="0" w:firstColumn="0" w:lastColumn="0" w:oddVBand="0" w:evenVBand="0" w:oddHBand="1" w:evenHBand="0" w:firstRowFirstColumn="0" w:firstRowLastColumn="0" w:lastRowFirstColumn="0" w:lastRowLastColumn="0"/>
          <w:trHeight w:val="15"/>
          <w:jc w:val="center"/>
        </w:trPr>
        <w:tc>
          <w:tcPr>
            <w:cnfStyle w:val="001000000000" w:firstRow="0" w:lastRow="0" w:firstColumn="1" w:lastColumn="0" w:oddVBand="0" w:evenVBand="0" w:oddHBand="0" w:evenHBand="0" w:firstRowFirstColumn="0" w:firstRowLastColumn="0" w:lastRowFirstColumn="0" w:lastRowLastColumn="0"/>
            <w:tcW w:w="2547" w:type="dxa"/>
            <w:tcBorders>
              <w:left w:val="single" w:sz="4" w:space="0" w:color="auto"/>
              <w:right w:val="single" w:sz="4" w:space="0" w:color="auto"/>
            </w:tcBorders>
            <w:shd w:val="clear" w:color="auto" w:fill="auto"/>
            <w:hideMark/>
          </w:tcPr>
          <w:p w14:paraId="05B5460B" w14:textId="77777777" w:rsidR="00C268C6" w:rsidRPr="002B103C" w:rsidRDefault="00C268C6" w:rsidP="0060790C">
            <w:pPr>
              <w:rPr>
                <w:color w:val="943634" w:themeColor="accent2" w:themeShade="BF"/>
                <w:szCs w:val="22"/>
              </w:rPr>
            </w:pPr>
            <w:r w:rsidRPr="002B103C">
              <w:rPr>
                <w:color w:val="943634" w:themeColor="accent2" w:themeShade="BF"/>
                <w:szCs w:val="22"/>
              </w:rPr>
              <w:t xml:space="preserve">Corporate Business Meetings </w:t>
            </w:r>
          </w:p>
        </w:tc>
        <w:tc>
          <w:tcPr>
            <w:tcW w:w="7313" w:type="dxa"/>
            <w:tcBorders>
              <w:left w:val="single" w:sz="4" w:space="0" w:color="auto"/>
              <w:right w:val="single" w:sz="4" w:space="0" w:color="auto"/>
            </w:tcBorders>
            <w:shd w:val="clear" w:color="auto" w:fill="auto"/>
            <w:hideMark/>
          </w:tcPr>
          <w:p w14:paraId="164CD9D5" w14:textId="77777777" w:rsidR="00C268C6" w:rsidRPr="002B103C" w:rsidRDefault="00C268C6" w:rsidP="003B1653">
            <w:pPr>
              <w:pStyle w:val="ListParagraph"/>
              <w:numPr>
                <w:ilvl w:val="0"/>
                <w:numId w:val="30"/>
              </w:numPr>
              <w:ind w:left="357" w:hanging="357"/>
              <w:cnfStyle w:val="000000100000" w:firstRow="0" w:lastRow="0" w:firstColumn="0" w:lastColumn="0" w:oddVBand="0" w:evenVBand="0" w:oddHBand="1" w:evenHBand="0" w:firstRowFirstColumn="0" w:firstRowLastColumn="0" w:lastRowFirstColumn="0" w:lastRowLastColumn="0"/>
              <w:rPr>
                <w:color w:val="943634" w:themeColor="accent2" w:themeShade="BF"/>
                <w:szCs w:val="22"/>
              </w:rPr>
            </w:pPr>
            <w:r w:rsidRPr="002B103C">
              <w:rPr>
                <w:color w:val="943634" w:themeColor="accent2" w:themeShade="BF"/>
                <w:szCs w:val="22"/>
              </w:rPr>
              <w:t>Local Dashboard monitoring</w:t>
            </w:r>
          </w:p>
          <w:p w14:paraId="1D4D7EF2" w14:textId="77777777" w:rsidR="00C268C6" w:rsidRPr="002B103C" w:rsidRDefault="00C268C6" w:rsidP="003B1653">
            <w:pPr>
              <w:pStyle w:val="ListParagraph"/>
              <w:numPr>
                <w:ilvl w:val="0"/>
                <w:numId w:val="30"/>
              </w:numPr>
              <w:ind w:left="357" w:hanging="357"/>
              <w:cnfStyle w:val="000000100000" w:firstRow="0" w:lastRow="0" w:firstColumn="0" w:lastColumn="0" w:oddVBand="0" w:evenVBand="0" w:oddHBand="1" w:evenHBand="0" w:firstRowFirstColumn="0" w:firstRowLastColumn="0" w:lastRowFirstColumn="0" w:lastRowLastColumn="0"/>
              <w:rPr>
                <w:color w:val="943634" w:themeColor="accent2" w:themeShade="BF"/>
                <w:szCs w:val="22"/>
              </w:rPr>
            </w:pPr>
            <w:r w:rsidRPr="002B103C">
              <w:rPr>
                <w:color w:val="943634" w:themeColor="accent2" w:themeShade="BF"/>
                <w:szCs w:val="22"/>
              </w:rPr>
              <w:t xml:space="preserve">Progress / Highlight reports </w:t>
            </w:r>
          </w:p>
        </w:tc>
      </w:tr>
    </w:tbl>
    <w:p w14:paraId="7E476AA3" w14:textId="77777777" w:rsidR="00C268C6" w:rsidRPr="002B103C" w:rsidRDefault="00C268C6" w:rsidP="00C268C6">
      <w:pPr>
        <w:rPr>
          <w:color w:val="943634" w:themeColor="accent2" w:themeShade="BF"/>
          <w:szCs w:val="22"/>
        </w:rPr>
      </w:pPr>
    </w:p>
    <w:p w14:paraId="14D2F4E4" w14:textId="77777777" w:rsidR="00C268C6" w:rsidRPr="002B103C" w:rsidRDefault="00C268C6" w:rsidP="00C268C6">
      <w:pPr>
        <w:rPr>
          <w:color w:val="943634" w:themeColor="accent2" w:themeShade="BF"/>
          <w:szCs w:val="22"/>
        </w:rPr>
      </w:pPr>
      <w:r w:rsidRPr="002B103C">
        <w:rPr>
          <w:color w:val="943634" w:themeColor="accent2" w:themeShade="BF"/>
          <w:szCs w:val="22"/>
        </w:rPr>
        <w:t>The key to ensuring the Board and its committees are kept abreast of any potential areas of concern with regard to performance and information is data quality.  The Health Board continually strives to ensure that its data and information is of the highest quality.  The Performance and Information team work closely with Clinical Directorates to ensure that the recording of data is as real-time as is possible and that it mirrors the patient pathway.</w:t>
      </w:r>
    </w:p>
    <w:p w14:paraId="7C098419" w14:textId="77777777" w:rsidR="00C268C6" w:rsidRPr="002B103C" w:rsidRDefault="00C268C6" w:rsidP="00C268C6">
      <w:pPr>
        <w:rPr>
          <w:color w:val="943634" w:themeColor="accent2" w:themeShade="BF"/>
          <w:szCs w:val="22"/>
        </w:rPr>
      </w:pPr>
    </w:p>
    <w:p w14:paraId="141DB8E8" w14:textId="77777777" w:rsidR="00C268C6" w:rsidRPr="002B103C" w:rsidRDefault="00C268C6" w:rsidP="00C268C6">
      <w:pPr>
        <w:rPr>
          <w:rFonts w:asciiTheme="minorHAnsi" w:hAnsiTheme="minorHAnsi"/>
          <w:color w:val="943634" w:themeColor="accent2" w:themeShade="BF"/>
          <w:szCs w:val="22"/>
        </w:rPr>
      </w:pPr>
      <w:r w:rsidRPr="002B103C">
        <w:rPr>
          <w:rFonts w:asciiTheme="minorHAnsi" w:hAnsiTheme="minorHAnsi"/>
          <w:color w:val="943634" w:themeColor="accent2" w:themeShade="BF"/>
          <w:szCs w:val="22"/>
        </w:rPr>
        <w:t>To that effect, a Data Quality Steering Group is in operation, which reports to the Information Governance Group chaired by an Independent Member and the Quality Safety and Risk Committee also takes an active interest in data quality.  Our policies outline the Health Board’s approach to data quality and are explicit in the responsibilities held by individual staff members.</w:t>
      </w:r>
    </w:p>
    <w:p w14:paraId="534B5FA4" w14:textId="77777777" w:rsidR="00C268C6" w:rsidRPr="002B103C" w:rsidRDefault="00C268C6" w:rsidP="00C268C6">
      <w:pPr>
        <w:rPr>
          <w:color w:val="943634" w:themeColor="accent2" w:themeShade="BF"/>
          <w:szCs w:val="22"/>
        </w:rPr>
      </w:pPr>
    </w:p>
    <w:p w14:paraId="0DA0FBBC" w14:textId="77777777" w:rsidR="00C268C6" w:rsidRPr="002B103C" w:rsidRDefault="00C268C6" w:rsidP="00C268C6">
      <w:pPr>
        <w:rPr>
          <w:color w:val="943634" w:themeColor="accent2" w:themeShade="BF"/>
          <w:szCs w:val="22"/>
        </w:rPr>
      </w:pPr>
      <w:r w:rsidRPr="002B103C">
        <w:rPr>
          <w:color w:val="943634" w:themeColor="accent2" w:themeShade="BF"/>
          <w:szCs w:val="22"/>
        </w:rPr>
        <w:t xml:space="preserve">To ensure ownership of performance monitoring and data quality at an operational level, the Performance and Information Team continues to support a number of dashboards within clinical directorates including A&amp;E, Wards, Theatre, Outpatients, Mental Health, Maternity and Stroke Services. </w:t>
      </w:r>
    </w:p>
    <w:p w14:paraId="73E61703" w14:textId="77777777" w:rsidR="00C268C6" w:rsidRPr="002B103C" w:rsidRDefault="00C268C6" w:rsidP="00C268C6">
      <w:pPr>
        <w:rPr>
          <w:color w:val="943634" w:themeColor="accent2" w:themeShade="BF"/>
          <w:szCs w:val="22"/>
        </w:rPr>
      </w:pPr>
    </w:p>
    <w:p w14:paraId="5D0DC560" w14:textId="77777777" w:rsidR="00C268C6" w:rsidRPr="002B103C" w:rsidRDefault="00C268C6" w:rsidP="00C268C6">
      <w:pPr>
        <w:rPr>
          <w:color w:val="943634" w:themeColor="accent2" w:themeShade="BF"/>
          <w:szCs w:val="22"/>
        </w:rPr>
      </w:pPr>
      <w:r w:rsidRPr="002B103C">
        <w:rPr>
          <w:color w:val="943634" w:themeColor="accent2" w:themeShade="BF"/>
          <w:szCs w:val="22"/>
        </w:rPr>
        <w:t xml:space="preserve">As an interactive business intelligence tool, the Dashboard facilitates the local production of key performance indicators, with the ability to review changes in delivery over the last three years.  Initially based on quantitative measures, the tool continues to be further developed to include qualitative measures linked to the National Quality Indicators and to incorporate workforce and finance information.  </w:t>
      </w:r>
    </w:p>
    <w:p w14:paraId="7459D44E" w14:textId="77777777" w:rsidR="00C268C6" w:rsidRPr="002B103C" w:rsidRDefault="00C268C6" w:rsidP="00C268C6">
      <w:pPr>
        <w:rPr>
          <w:color w:val="943634" w:themeColor="accent2" w:themeShade="BF"/>
          <w:szCs w:val="22"/>
        </w:rPr>
      </w:pPr>
    </w:p>
    <w:p w14:paraId="3532ABC6" w14:textId="77777777" w:rsidR="00C268C6" w:rsidRPr="002B103C" w:rsidRDefault="00C268C6" w:rsidP="00C268C6">
      <w:pPr>
        <w:rPr>
          <w:color w:val="943634" w:themeColor="accent2" w:themeShade="BF"/>
          <w:szCs w:val="22"/>
        </w:rPr>
      </w:pPr>
      <w:r w:rsidRPr="002B103C">
        <w:rPr>
          <w:color w:val="943634" w:themeColor="accent2" w:themeShade="BF"/>
          <w:szCs w:val="22"/>
        </w:rPr>
        <w:t>The Data Quality Steering Group (DQSG), jointly chaired by one of our Consultant Surgeons and the Assistant Director of Performance and Information has membership consisting of Assistant Directors and Heads of Nursing from operational areas.  The DQSG has a Data Quality Audit Programme with an annual timetable covering access, clinical and administrative areas.  Findings from these audits inform programmes of work to improve the quality and timeliness of the Health Board’s data, with some data quality targets also included with the Dashboard itself.</w:t>
      </w:r>
    </w:p>
    <w:p w14:paraId="73F49315" w14:textId="77777777" w:rsidR="00C268C6" w:rsidRPr="002B103C" w:rsidRDefault="00C268C6" w:rsidP="00C268C6">
      <w:pPr>
        <w:rPr>
          <w:color w:val="943634" w:themeColor="accent2" w:themeShade="BF"/>
          <w:szCs w:val="22"/>
        </w:rPr>
      </w:pPr>
    </w:p>
    <w:p w14:paraId="08BB89C3" w14:textId="77777777" w:rsidR="00C268C6" w:rsidRPr="002B103C" w:rsidRDefault="00C268C6" w:rsidP="00C268C6">
      <w:pPr>
        <w:rPr>
          <w:bCs/>
          <w:color w:val="943634" w:themeColor="accent2" w:themeShade="BF"/>
          <w:szCs w:val="22"/>
        </w:rPr>
      </w:pPr>
      <w:r w:rsidRPr="002B103C">
        <w:rPr>
          <w:rFonts w:asciiTheme="minorHAnsi" w:hAnsiTheme="minorHAnsi"/>
          <w:color w:val="943634" w:themeColor="accent2" w:themeShade="BF"/>
          <w:szCs w:val="22"/>
        </w:rPr>
        <w:t xml:space="preserve">The Health Board a comprehensive Integrated Performance Dashboard, aligned with the Quadruple Aims, which is presented monthly at Executive Board, regularly at a number of Board committees and bi-monthly at the Health Board public meeting, as part of our openness and transparency agenda with our public.  </w:t>
      </w:r>
      <w:r w:rsidRPr="002B103C">
        <w:rPr>
          <w:bCs/>
          <w:color w:val="943634" w:themeColor="accent2" w:themeShade="BF"/>
          <w:szCs w:val="22"/>
        </w:rPr>
        <w:t xml:space="preserve">The report sets out our performance and quality targets for the year and is supported by a covering report that seeks to expand on key areas, as well as to highlight areas of best practice within the Health Board.  </w:t>
      </w:r>
    </w:p>
    <w:p w14:paraId="1DA0BE81" w14:textId="77777777" w:rsidR="00C268C6" w:rsidRPr="003F79D8" w:rsidRDefault="00C268C6" w:rsidP="00C268C6">
      <w:pPr>
        <w:jc w:val="left"/>
        <w:rPr>
          <w:bCs/>
          <w:iCs/>
          <w:szCs w:val="22"/>
        </w:rPr>
      </w:pPr>
    </w:p>
    <w:p w14:paraId="3AB92B56" w14:textId="77777777" w:rsidR="00C268C6" w:rsidRPr="003F79D8" w:rsidRDefault="00C268C6" w:rsidP="00C268C6">
      <w:pPr>
        <w:rPr>
          <w:b/>
          <w:bCs/>
          <w:iCs/>
          <w:szCs w:val="22"/>
        </w:rPr>
      </w:pPr>
      <w:r w:rsidRPr="003F79D8">
        <w:rPr>
          <w:b/>
          <w:bCs/>
          <w:iCs/>
          <w:szCs w:val="22"/>
        </w:rPr>
        <w:lastRenderedPageBreak/>
        <w:t>Governance for Delivery of Regional Collaboration</w:t>
      </w:r>
    </w:p>
    <w:p w14:paraId="6CC05F3A" w14:textId="77777777" w:rsidR="00C268C6" w:rsidRPr="003B1653" w:rsidRDefault="00C268C6" w:rsidP="00C268C6">
      <w:pPr>
        <w:rPr>
          <w:rFonts w:asciiTheme="minorHAnsi" w:hAnsiTheme="minorHAnsi"/>
          <w:szCs w:val="22"/>
        </w:rPr>
      </w:pPr>
      <w:bookmarkStart w:id="240" w:name="_Toc503816728"/>
      <w:r w:rsidRPr="003F79D8">
        <w:rPr>
          <w:rFonts w:asciiTheme="minorHAnsi" w:hAnsiTheme="minorHAnsi"/>
          <w:szCs w:val="22"/>
        </w:rPr>
        <w:t xml:space="preserve">In addition to confirming priority service areas for Regional collaboration (see </w:t>
      </w:r>
      <w:r>
        <w:rPr>
          <w:rFonts w:asciiTheme="minorHAnsi" w:hAnsiTheme="minorHAnsi"/>
          <w:b/>
          <w:bCs/>
          <w:szCs w:val="22"/>
        </w:rPr>
        <w:t>S</w:t>
      </w:r>
      <w:r w:rsidRPr="003F79D8">
        <w:rPr>
          <w:rFonts w:asciiTheme="minorHAnsi" w:hAnsiTheme="minorHAnsi"/>
          <w:b/>
          <w:bCs/>
          <w:szCs w:val="22"/>
        </w:rPr>
        <w:t>ection 5.</w:t>
      </w:r>
      <w:r>
        <w:rPr>
          <w:rFonts w:asciiTheme="minorHAnsi" w:hAnsiTheme="minorHAnsi"/>
          <w:b/>
          <w:bCs/>
          <w:szCs w:val="22"/>
        </w:rPr>
        <w:t>4.3.1</w:t>
      </w:r>
      <w:r w:rsidRPr="003F79D8">
        <w:rPr>
          <w:rFonts w:asciiTheme="minorHAnsi" w:hAnsiTheme="minorHAnsi"/>
          <w:szCs w:val="22"/>
        </w:rPr>
        <w:t xml:space="preserve">), the South Central and East </w:t>
      </w:r>
      <w:r w:rsidRPr="003B1653">
        <w:rPr>
          <w:rFonts w:asciiTheme="minorHAnsi" w:hAnsiTheme="minorHAnsi"/>
          <w:szCs w:val="22"/>
        </w:rPr>
        <w:t xml:space="preserve">Regional Chairs and Chief Executives have, at the request of the Cabinet Secretary for Health and Social Care, have established the Regional Planning and Delivery Forum which is attended by the Chief Executive for NHS Wales. The Chair of the Forum rotates through the member organisations and from September 2019 has been chaired by the Chair of CTMuHB.  The Forum has been established to drive the pace of Regional change and Directors of Planning are liaising to guide delivery of the work programme. </w:t>
      </w:r>
    </w:p>
    <w:p w14:paraId="2B121DDF" w14:textId="77777777" w:rsidR="00C268C6" w:rsidRPr="003B1653" w:rsidRDefault="00C268C6" w:rsidP="00C268C6">
      <w:pPr>
        <w:rPr>
          <w:rFonts w:asciiTheme="minorHAnsi" w:hAnsiTheme="minorHAnsi"/>
          <w:szCs w:val="22"/>
        </w:rPr>
      </w:pPr>
    </w:p>
    <w:p w14:paraId="7110B9C4" w14:textId="77777777" w:rsidR="00C268C6" w:rsidRPr="003F79D8" w:rsidRDefault="00C268C6" w:rsidP="00C268C6">
      <w:pPr>
        <w:rPr>
          <w:rFonts w:asciiTheme="minorHAnsi" w:hAnsiTheme="minorHAnsi"/>
          <w:szCs w:val="22"/>
        </w:rPr>
      </w:pPr>
      <w:r w:rsidRPr="003B1653">
        <w:rPr>
          <w:rFonts w:asciiTheme="minorHAnsi" w:hAnsiTheme="minorHAnsi"/>
          <w:szCs w:val="22"/>
        </w:rPr>
        <w:t>The governance framework continues to evolve, along with consideration of how these impact on the role of the NHS Collaborative and the emerging establishment of the new NHS Wales Executive.  This is considered to be an important issue to progress if prioritisation of the work programme and effective decision making, is to follow from planning work to ensure change is implemented efficiently.</w:t>
      </w:r>
      <w:r w:rsidRPr="003F79D8">
        <w:rPr>
          <w:rFonts w:asciiTheme="minorHAnsi" w:hAnsiTheme="minorHAnsi"/>
          <w:szCs w:val="22"/>
        </w:rPr>
        <w:t xml:space="preserve">  </w:t>
      </w:r>
    </w:p>
    <w:bookmarkEnd w:id="240"/>
    <w:p w14:paraId="29B39887" w14:textId="6971CEBE" w:rsidR="00C268C6" w:rsidRPr="003F79D8" w:rsidRDefault="003B1653" w:rsidP="00C268C6">
      <w:pPr>
        <w:pStyle w:val="Heading2"/>
        <w:rPr>
          <w:szCs w:val="22"/>
        </w:rPr>
      </w:pPr>
      <w:r>
        <w:rPr>
          <w:szCs w:val="22"/>
        </w:rPr>
        <w:t>Board Assurance Framework</w:t>
      </w:r>
    </w:p>
    <w:p w14:paraId="3897D874" w14:textId="77777777" w:rsidR="00C268C6" w:rsidRPr="00E63291" w:rsidRDefault="00C268C6" w:rsidP="00C268C6">
      <w:pPr>
        <w:rPr>
          <w:rFonts w:ascii="Verdana" w:hAnsi="Verdana" w:cs="Verdana"/>
          <w:sz w:val="24"/>
        </w:rPr>
      </w:pPr>
      <w:bookmarkStart w:id="241" w:name="_Toc503816729"/>
      <w:bookmarkStart w:id="242" w:name="_Toc532299715"/>
      <w:bookmarkStart w:id="243" w:name="_Toc532464128"/>
      <w:bookmarkStart w:id="244" w:name="_Toc536195594"/>
    </w:p>
    <w:p w14:paraId="3457B69A" w14:textId="77777777" w:rsidR="00C268C6" w:rsidRPr="003B1653" w:rsidRDefault="00C268C6" w:rsidP="00C268C6">
      <w:pPr>
        <w:rPr>
          <w:rFonts w:asciiTheme="minorHAnsi" w:hAnsiTheme="minorHAnsi"/>
          <w:color w:val="943634" w:themeColor="accent2" w:themeShade="BF"/>
          <w:szCs w:val="22"/>
        </w:rPr>
      </w:pPr>
      <w:r w:rsidRPr="003B1653">
        <w:rPr>
          <w:rFonts w:asciiTheme="minorHAnsi" w:hAnsiTheme="minorHAnsi"/>
          <w:color w:val="943634" w:themeColor="accent2" w:themeShade="BF"/>
          <w:szCs w:val="22"/>
        </w:rPr>
        <w:t>The Board received its Structured Assessment from the Wales Audit Office at the Audit Committee meeting in January 2020.  The main conclusions were as follows:</w:t>
      </w:r>
    </w:p>
    <w:p w14:paraId="24051155" w14:textId="77777777" w:rsidR="00C268C6" w:rsidRPr="003B1653" w:rsidRDefault="00C268C6" w:rsidP="00C268C6">
      <w:pPr>
        <w:autoSpaceDE w:val="0"/>
        <w:autoSpaceDN w:val="0"/>
        <w:adjustRightInd w:val="0"/>
        <w:rPr>
          <w:color w:val="943634" w:themeColor="accent2" w:themeShade="BF"/>
        </w:rPr>
      </w:pPr>
    </w:p>
    <w:p w14:paraId="7176A61E" w14:textId="77777777" w:rsidR="00C268C6" w:rsidRPr="003B1653" w:rsidRDefault="00C268C6" w:rsidP="00C268C6">
      <w:pPr>
        <w:autoSpaceDE w:val="0"/>
        <w:autoSpaceDN w:val="0"/>
        <w:adjustRightInd w:val="0"/>
        <w:rPr>
          <w:rFonts w:asciiTheme="minorHAnsi" w:hAnsiTheme="minorHAnsi"/>
          <w:color w:val="943634" w:themeColor="accent2" w:themeShade="BF"/>
          <w:szCs w:val="22"/>
        </w:rPr>
      </w:pPr>
      <w:r w:rsidRPr="003B1653">
        <w:rPr>
          <w:color w:val="943634" w:themeColor="accent2" w:themeShade="BF"/>
        </w:rPr>
        <w:t>TO BE COMPLETED IN DUE COURSE</w:t>
      </w:r>
    </w:p>
    <w:p w14:paraId="6FCFCE99" w14:textId="77777777" w:rsidR="00C268C6" w:rsidRPr="003B1653" w:rsidRDefault="00C268C6" w:rsidP="00C268C6">
      <w:pPr>
        <w:autoSpaceDE w:val="0"/>
        <w:autoSpaceDN w:val="0"/>
        <w:adjustRightInd w:val="0"/>
        <w:rPr>
          <w:rFonts w:asciiTheme="minorHAnsi" w:hAnsiTheme="minorHAnsi"/>
          <w:color w:val="943634" w:themeColor="accent2" w:themeShade="BF"/>
          <w:szCs w:val="22"/>
        </w:rPr>
      </w:pPr>
    </w:p>
    <w:p w14:paraId="1235AD9C" w14:textId="77777777" w:rsidR="00C268C6" w:rsidRPr="003B1653" w:rsidRDefault="00C268C6" w:rsidP="00C268C6">
      <w:pPr>
        <w:autoSpaceDE w:val="0"/>
        <w:autoSpaceDN w:val="0"/>
        <w:adjustRightInd w:val="0"/>
        <w:rPr>
          <w:rFonts w:asciiTheme="minorHAnsi" w:hAnsiTheme="minorHAnsi"/>
          <w:color w:val="943634" w:themeColor="accent2" w:themeShade="BF"/>
          <w:szCs w:val="22"/>
        </w:rPr>
      </w:pPr>
      <w:r w:rsidRPr="003B1653">
        <w:rPr>
          <w:rFonts w:asciiTheme="minorHAnsi" w:hAnsiTheme="minorHAnsi"/>
          <w:color w:val="943634" w:themeColor="accent2" w:themeShade="BF"/>
          <w:szCs w:val="22"/>
        </w:rPr>
        <w:t>Overall, this year’s Structured Assessment work has demonstrated that ….TO BE COMPLETED IN DUE COURSE</w:t>
      </w:r>
    </w:p>
    <w:p w14:paraId="3051EE0C" w14:textId="77777777" w:rsidR="00C268C6" w:rsidRPr="00E63291" w:rsidRDefault="00C268C6" w:rsidP="00C268C6">
      <w:pPr>
        <w:autoSpaceDE w:val="0"/>
        <w:autoSpaceDN w:val="0"/>
        <w:adjustRightInd w:val="0"/>
        <w:rPr>
          <w:rFonts w:asciiTheme="minorHAnsi" w:hAnsiTheme="minorHAnsi"/>
          <w:szCs w:val="22"/>
        </w:rPr>
      </w:pPr>
    </w:p>
    <w:p w14:paraId="1AE3C466" w14:textId="77777777" w:rsidR="00C268C6" w:rsidRPr="00E63291" w:rsidRDefault="00C268C6" w:rsidP="00C268C6">
      <w:pPr>
        <w:rPr>
          <w:rFonts w:asciiTheme="minorHAnsi" w:hAnsiTheme="minorHAnsi"/>
          <w:szCs w:val="22"/>
        </w:rPr>
      </w:pPr>
      <w:r w:rsidRPr="00E63291">
        <w:rPr>
          <w:rFonts w:asciiTheme="minorHAnsi" w:hAnsiTheme="minorHAnsi"/>
          <w:szCs w:val="22"/>
        </w:rPr>
        <w:t>The Health Board’s Board Assurance Framework (BAF) is aligned to its three year Plan and there is a need to continually review these arrangements to ensure:</w:t>
      </w:r>
    </w:p>
    <w:p w14:paraId="2EF24FC7" w14:textId="77777777" w:rsidR="00C268C6" w:rsidRPr="00E63291" w:rsidRDefault="00C268C6" w:rsidP="00C268C6">
      <w:pPr>
        <w:pStyle w:val="NormaBullet"/>
      </w:pPr>
      <w:r w:rsidRPr="00E63291">
        <w:t xml:space="preserve">That lessons learnt from across the organisation, such as serious incident reporting and from external reviews, are taken on board swiftly and comprehensively.  </w:t>
      </w:r>
    </w:p>
    <w:p w14:paraId="20EB4D27" w14:textId="77777777" w:rsidR="00C268C6" w:rsidRPr="00E63291" w:rsidRDefault="00C268C6" w:rsidP="00C268C6">
      <w:pPr>
        <w:pStyle w:val="NormaBullet"/>
      </w:pPr>
      <w:r w:rsidRPr="00E63291">
        <w:t xml:space="preserve">As part of its response to the change in the organisation’s level of escalation by the Welsh Government from level 1 ‘routine monitoring’ to level 2 ‘enhanced monitoring’. </w:t>
      </w:r>
    </w:p>
    <w:p w14:paraId="7DFB8C0F" w14:textId="77777777" w:rsidR="00C268C6" w:rsidRPr="00E63291" w:rsidRDefault="00C268C6" w:rsidP="00C268C6">
      <w:pPr>
        <w:rPr>
          <w:rFonts w:asciiTheme="minorHAnsi" w:hAnsiTheme="minorHAnsi"/>
          <w:szCs w:val="22"/>
        </w:rPr>
      </w:pPr>
    </w:p>
    <w:p w14:paraId="363912D0" w14:textId="6EE69469" w:rsidR="00C268C6" w:rsidRPr="00E63291" w:rsidRDefault="003B1653" w:rsidP="00C268C6">
      <w:pPr>
        <w:rPr>
          <w:rFonts w:asciiTheme="minorHAnsi" w:hAnsiTheme="minorHAnsi"/>
          <w:szCs w:val="22"/>
        </w:rPr>
      </w:pPr>
      <w:r w:rsidRPr="00E63291">
        <w:rPr>
          <w:noProof/>
        </w:rPr>
        <w:drawing>
          <wp:anchor distT="0" distB="0" distL="114300" distR="114300" simplePos="0" relativeHeight="252835840" behindDoc="1" locked="0" layoutInCell="1" allowOverlap="1" wp14:anchorId="65E59DB2" wp14:editId="420A84FD">
            <wp:simplePos x="0" y="0"/>
            <wp:positionH relativeFrom="margin">
              <wp:posOffset>3380740</wp:posOffset>
            </wp:positionH>
            <wp:positionV relativeFrom="paragraph">
              <wp:posOffset>22860</wp:posOffset>
            </wp:positionV>
            <wp:extent cx="2974340" cy="2508885"/>
            <wp:effectExtent l="0" t="0" r="0" b="5715"/>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2974340" cy="2508885"/>
                    </a:xfrm>
                    <a:prstGeom prst="rect">
                      <a:avLst/>
                    </a:prstGeom>
                    <a:noFill/>
                    <a:ln>
                      <a:noFill/>
                    </a:ln>
                  </pic:spPr>
                </pic:pic>
              </a:graphicData>
            </a:graphic>
          </wp:anchor>
        </w:drawing>
      </w:r>
      <w:r w:rsidR="00C268C6" w:rsidRPr="00E63291">
        <w:rPr>
          <w:rFonts w:asciiTheme="minorHAnsi" w:hAnsiTheme="minorHAnsi"/>
          <w:szCs w:val="22"/>
        </w:rPr>
        <w:t xml:space="preserve">The BAF maps the business of the Board and its Committees against its five key organisational objectives.  The populated BAF continues to mature to become a useful tool for the organisation to become fully embedded and used by the Board Members for scrutiny and assurance on clinical and corporate matters.  The Board has agreed to hold a development session to discuss its approach to the BAF and Risk Management, particularly to discuss the risk appetite, this has been planned to take place in April 2019. </w:t>
      </w:r>
    </w:p>
    <w:p w14:paraId="469376AD" w14:textId="559276DB" w:rsidR="00C268C6" w:rsidRPr="00E63291" w:rsidRDefault="00C268C6" w:rsidP="00C268C6">
      <w:pPr>
        <w:rPr>
          <w:rFonts w:asciiTheme="minorHAnsi" w:hAnsiTheme="minorHAnsi"/>
          <w:szCs w:val="22"/>
        </w:rPr>
      </w:pPr>
    </w:p>
    <w:p w14:paraId="223C9EC5" w14:textId="165EBD5D" w:rsidR="00C268C6" w:rsidRPr="00E63291" w:rsidRDefault="00C268C6" w:rsidP="00C268C6">
      <w:pPr>
        <w:rPr>
          <w:szCs w:val="22"/>
        </w:rPr>
      </w:pPr>
      <w:r w:rsidRPr="00E63291">
        <w:rPr>
          <w:rFonts w:asciiTheme="minorHAnsi" w:hAnsiTheme="minorHAnsi"/>
          <w:szCs w:val="22"/>
        </w:rPr>
        <w:t>The BAF is designed to support the Board to deliver its Strategy as outlined within this Plan.  The framework also serves to inform the Board on the principal clinical and corporate risks to the delivery of the Health Board’s objectives.  The BAF aligns principal risks, key controls, its risk appetite and assurances on controls alongside each objective.  Gaps are identified where key controls and assurances are insufficient to mitigate the risk of non-</w:t>
      </w:r>
      <w:r w:rsidRPr="00E63291">
        <w:rPr>
          <w:rFonts w:asciiTheme="minorHAnsi" w:hAnsiTheme="minorHAnsi"/>
          <w:szCs w:val="22"/>
        </w:rPr>
        <w:softHyphen/>
        <w:t xml:space="preserve">delivery of objectives.  This enables the Board to develop and monitor action plans intended to close the gaps.  </w:t>
      </w:r>
      <w:r w:rsidRPr="00E63291">
        <w:rPr>
          <w:szCs w:val="22"/>
        </w:rPr>
        <w:t>At a high level, the schematic to the right represents the Board Assurance System:</w:t>
      </w:r>
      <w:r w:rsidRPr="00E63291">
        <w:rPr>
          <w:noProof/>
        </w:rPr>
        <w:t xml:space="preserve"> </w:t>
      </w:r>
    </w:p>
    <w:p w14:paraId="0AA3AFD4" w14:textId="77777777" w:rsidR="00C268C6" w:rsidRPr="00E63291" w:rsidRDefault="00C268C6" w:rsidP="00C268C6">
      <w:pPr>
        <w:rPr>
          <w:rFonts w:asciiTheme="minorHAnsi" w:hAnsiTheme="minorHAnsi"/>
          <w:szCs w:val="22"/>
        </w:rPr>
      </w:pPr>
    </w:p>
    <w:p w14:paraId="449D1DB3" w14:textId="77777777" w:rsidR="00C268C6" w:rsidRPr="00E63291" w:rsidRDefault="00C268C6" w:rsidP="00C268C6">
      <w:pPr>
        <w:rPr>
          <w:rFonts w:asciiTheme="minorHAnsi" w:hAnsiTheme="minorHAnsi"/>
          <w:szCs w:val="22"/>
        </w:rPr>
      </w:pPr>
      <w:r w:rsidRPr="00E63291">
        <w:rPr>
          <w:rFonts w:asciiTheme="minorHAnsi" w:hAnsiTheme="minorHAnsi"/>
          <w:szCs w:val="22"/>
        </w:rPr>
        <w:t>The Board will:</w:t>
      </w:r>
    </w:p>
    <w:p w14:paraId="5A893305" w14:textId="77777777" w:rsidR="00C268C6" w:rsidRPr="00E63291" w:rsidRDefault="00C268C6" w:rsidP="00C268C6">
      <w:pPr>
        <w:pStyle w:val="NormaBullet"/>
        <w:rPr>
          <w:rFonts w:asciiTheme="minorHAnsi" w:hAnsiTheme="minorHAnsi"/>
          <w:szCs w:val="22"/>
        </w:rPr>
      </w:pPr>
      <w:r w:rsidRPr="00E63291">
        <w:rPr>
          <w:rFonts w:asciiTheme="minorHAnsi" w:hAnsiTheme="minorHAnsi"/>
          <w:szCs w:val="22"/>
        </w:rPr>
        <w:t>Determine its strategic direction and related objectives.</w:t>
      </w:r>
    </w:p>
    <w:p w14:paraId="5C771C3C" w14:textId="77777777" w:rsidR="00C268C6" w:rsidRPr="00E63291" w:rsidRDefault="00C268C6" w:rsidP="00C268C6">
      <w:pPr>
        <w:pStyle w:val="NormaBullet"/>
        <w:rPr>
          <w:rFonts w:asciiTheme="minorHAnsi" w:hAnsiTheme="minorHAnsi"/>
          <w:szCs w:val="22"/>
        </w:rPr>
      </w:pPr>
      <w:r w:rsidRPr="00E63291">
        <w:rPr>
          <w:rFonts w:asciiTheme="minorHAnsi" w:hAnsiTheme="minorHAnsi"/>
          <w:szCs w:val="22"/>
        </w:rPr>
        <w:t>Identify the principal clinical and corporate risks that threaten the achievement of its objectives.</w:t>
      </w:r>
    </w:p>
    <w:p w14:paraId="60830655" w14:textId="77777777" w:rsidR="00C268C6" w:rsidRPr="00E63291" w:rsidRDefault="00C268C6" w:rsidP="00C268C6">
      <w:pPr>
        <w:pStyle w:val="NormaBullet"/>
        <w:rPr>
          <w:rFonts w:asciiTheme="minorHAnsi" w:hAnsiTheme="minorHAnsi"/>
          <w:szCs w:val="22"/>
        </w:rPr>
      </w:pPr>
      <w:r w:rsidRPr="00E63291">
        <w:rPr>
          <w:rFonts w:asciiTheme="minorHAnsi" w:hAnsiTheme="minorHAnsi"/>
          <w:szCs w:val="22"/>
        </w:rPr>
        <w:lastRenderedPageBreak/>
        <w:t>Agree its “risk appetite” recognising the interdependencies of objectives and the impact of mitigating clinical and corporate risks.</w:t>
      </w:r>
    </w:p>
    <w:p w14:paraId="1D96D13C" w14:textId="77777777" w:rsidR="00C268C6" w:rsidRPr="00E63291" w:rsidRDefault="00C268C6" w:rsidP="00C268C6">
      <w:pPr>
        <w:pStyle w:val="NormaBullet"/>
        <w:rPr>
          <w:rFonts w:asciiTheme="minorHAnsi" w:hAnsiTheme="minorHAnsi"/>
          <w:szCs w:val="22"/>
        </w:rPr>
      </w:pPr>
      <w:r w:rsidRPr="00E63291">
        <w:rPr>
          <w:rFonts w:asciiTheme="minorHAnsi" w:hAnsiTheme="minorHAnsi"/>
          <w:szCs w:val="22"/>
        </w:rPr>
        <w:t>Agree the key strategic and operational plans that will deliver those objectives and which encompass the controls and actions in place to manage the identified risks.</w:t>
      </w:r>
    </w:p>
    <w:p w14:paraId="3DE5A2EB" w14:textId="77777777" w:rsidR="00C268C6" w:rsidRPr="00E63291" w:rsidRDefault="00C268C6" w:rsidP="00C268C6">
      <w:pPr>
        <w:pStyle w:val="NormaBullet"/>
        <w:rPr>
          <w:rFonts w:asciiTheme="minorHAnsi" w:hAnsiTheme="minorHAnsi"/>
          <w:szCs w:val="22"/>
        </w:rPr>
      </w:pPr>
      <w:r w:rsidRPr="00E63291">
        <w:rPr>
          <w:rFonts w:asciiTheme="minorHAnsi" w:hAnsiTheme="minorHAnsi"/>
          <w:szCs w:val="22"/>
        </w:rPr>
        <w:t xml:space="preserve">Monitor delivery through robust performance, scrutiny and assurance arrangements. </w:t>
      </w:r>
    </w:p>
    <w:p w14:paraId="2DA7ED16" w14:textId="77777777" w:rsidR="00C268C6" w:rsidRPr="00E63291" w:rsidRDefault="00C268C6" w:rsidP="00C268C6">
      <w:pPr>
        <w:pStyle w:val="NormaBullet"/>
        <w:rPr>
          <w:rFonts w:asciiTheme="minorHAnsi" w:hAnsiTheme="minorHAnsi"/>
          <w:szCs w:val="22"/>
        </w:rPr>
      </w:pPr>
      <w:r w:rsidRPr="00E63291">
        <w:rPr>
          <w:rFonts w:asciiTheme="minorHAnsi" w:hAnsiTheme="minorHAnsi"/>
          <w:szCs w:val="22"/>
        </w:rPr>
        <w:t>Ensure that plans are in place to take corrective action where there is minimal assurance that agreed objectives will be fully delivered.</w:t>
      </w:r>
    </w:p>
    <w:p w14:paraId="1E3F250F" w14:textId="77777777" w:rsidR="00C268C6" w:rsidRPr="00E63291" w:rsidRDefault="00C268C6" w:rsidP="00C268C6">
      <w:pPr>
        <w:pStyle w:val="NormaBullet"/>
        <w:rPr>
          <w:rFonts w:asciiTheme="minorHAnsi" w:hAnsiTheme="minorHAnsi"/>
          <w:szCs w:val="22"/>
        </w:rPr>
      </w:pPr>
      <w:r w:rsidRPr="00E63291">
        <w:rPr>
          <w:rFonts w:asciiTheme="minorHAnsi" w:hAnsiTheme="minorHAnsi"/>
          <w:szCs w:val="22"/>
        </w:rPr>
        <w:t>Sustain and uphold dynamic clinical and corporate risk management arrangements across the Health Board.</w:t>
      </w:r>
    </w:p>
    <w:p w14:paraId="777D6F89" w14:textId="77777777" w:rsidR="00C268C6" w:rsidRPr="00E63291" w:rsidRDefault="00C268C6" w:rsidP="00C268C6">
      <w:pPr>
        <w:rPr>
          <w:rFonts w:asciiTheme="minorHAnsi" w:hAnsiTheme="minorHAnsi"/>
          <w:szCs w:val="22"/>
        </w:rPr>
      </w:pPr>
    </w:p>
    <w:p w14:paraId="222CD8BA" w14:textId="77777777" w:rsidR="00C268C6" w:rsidRPr="003B1653" w:rsidRDefault="00C268C6" w:rsidP="00C268C6">
      <w:pPr>
        <w:rPr>
          <w:rFonts w:asciiTheme="minorHAnsi" w:hAnsiTheme="minorHAnsi"/>
          <w:szCs w:val="22"/>
        </w:rPr>
      </w:pPr>
      <w:r w:rsidRPr="003B1653">
        <w:rPr>
          <w:rFonts w:asciiTheme="minorHAnsi" w:hAnsiTheme="minorHAnsi"/>
          <w:szCs w:val="22"/>
        </w:rPr>
        <w:t xml:space="preserve">In November 2019 the Board revised how it receives assurance on risk and agreed to transfer delegated scrutiny and assurance on risk management arrangements from the Quality, Safety &amp; Risk Committee to the Audit Committee. </w:t>
      </w:r>
    </w:p>
    <w:p w14:paraId="2D831816" w14:textId="77777777" w:rsidR="00C268C6" w:rsidRPr="003B1653" w:rsidRDefault="00C268C6" w:rsidP="00C268C6">
      <w:pPr>
        <w:rPr>
          <w:rFonts w:asciiTheme="minorHAnsi" w:hAnsiTheme="minorHAnsi"/>
          <w:szCs w:val="22"/>
        </w:rPr>
      </w:pPr>
    </w:p>
    <w:p w14:paraId="193FC688" w14:textId="77777777" w:rsidR="00C268C6" w:rsidRPr="003B1653" w:rsidRDefault="00C268C6" w:rsidP="00C268C6">
      <w:pPr>
        <w:rPr>
          <w:rFonts w:asciiTheme="minorHAnsi" w:hAnsiTheme="minorHAnsi"/>
          <w:szCs w:val="22"/>
        </w:rPr>
      </w:pPr>
      <w:r w:rsidRPr="003B1653">
        <w:rPr>
          <w:rFonts w:asciiTheme="minorHAnsi" w:hAnsiTheme="minorHAnsi"/>
          <w:szCs w:val="22"/>
        </w:rPr>
        <w:t>In line with current arrangements, each principal clinical and corporate risk is assigned to the Board or as appropriate to a Board Committee, which has responsibility on behalf of the Board to seek assurance and provide scrutiny so that those risks are being managed in accordance with the agreed risk appetite, approved plans and the organisations values.  Each risk has a lead director allocated in order that the mitigation actions are owned and acted upon and regularly reviewed and updated.</w:t>
      </w:r>
    </w:p>
    <w:p w14:paraId="3EB00E46" w14:textId="77777777" w:rsidR="00C268C6" w:rsidRPr="003B1653" w:rsidRDefault="00C268C6" w:rsidP="00C268C6">
      <w:pPr>
        <w:rPr>
          <w:szCs w:val="22"/>
        </w:rPr>
      </w:pPr>
    </w:p>
    <w:p w14:paraId="0320561F" w14:textId="77777777" w:rsidR="00C268C6" w:rsidRPr="003B1653" w:rsidRDefault="00C268C6" w:rsidP="00C268C6">
      <w:pPr>
        <w:rPr>
          <w:rFonts w:asciiTheme="minorHAnsi" w:hAnsiTheme="minorHAnsi"/>
          <w:szCs w:val="22"/>
        </w:rPr>
      </w:pPr>
      <w:r w:rsidRPr="003B1653">
        <w:rPr>
          <w:rFonts w:asciiTheme="minorHAnsi" w:hAnsiTheme="minorHAnsi"/>
          <w:szCs w:val="22"/>
        </w:rPr>
        <w:t>To ensure appropriate scrutiny and assurance arrangements are in place, the Board is supported by a number of committees, namely, Audit; Quality &amp; Safety; Remuneration and Terms of Service; Mental Health Act Monitoring; Finance, Performance and Workforce; Charitable Funds and the Primary and Community Care Committee.  In November 2019, the Board approved the establishment of one further committee, namely the Information Governance and ICT Committee, and broadened the remit of the Primary and Community Services Committee to include Population and Partnerships.</w:t>
      </w:r>
    </w:p>
    <w:p w14:paraId="0A9489B4" w14:textId="77777777" w:rsidR="00C268C6" w:rsidRPr="003B1653" w:rsidRDefault="00C268C6" w:rsidP="00C268C6">
      <w:pPr>
        <w:rPr>
          <w:rFonts w:asciiTheme="minorHAnsi" w:hAnsiTheme="minorHAnsi"/>
          <w:szCs w:val="22"/>
        </w:rPr>
      </w:pPr>
    </w:p>
    <w:p w14:paraId="7F7378D5" w14:textId="7C619808" w:rsidR="00C268C6" w:rsidRPr="003B1653" w:rsidRDefault="00C268C6" w:rsidP="00C268C6">
      <w:pPr>
        <w:rPr>
          <w:rFonts w:asciiTheme="minorHAnsi" w:hAnsiTheme="minorHAnsi"/>
          <w:color w:val="FF0000"/>
          <w:szCs w:val="22"/>
        </w:rPr>
      </w:pPr>
      <w:r w:rsidRPr="003B1653">
        <w:rPr>
          <w:rFonts w:asciiTheme="minorHAnsi" w:hAnsiTheme="minorHAnsi"/>
          <w:color w:val="943634" w:themeColor="accent2" w:themeShade="BF"/>
          <w:szCs w:val="22"/>
        </w:rPr>
        <w:t>The Board also agreed to increase the regularity of the Charitable Funds Committee from once a year to four times a year. These committees of the Board undertake scrutiny and assurance in relation to the delivery of the Board’s strategic priorities, compliance with legislation, providing safe and effective services, learning lessons, sharing good practice and delivering other key targets identified within this IMTP.</w:t>
      </w:r>
    </w:p>
    <w:p w14:paraId="0BEF8E4A" w14:textId="77777777" w:rsidR="00C268C6" w:rsidRPr="003B1653" w:rsidRDefault="00C268C6" w:rsidP="00C268C6">
      <w:pPr>
        <w:rPr>
          <w:rFonts w:asciiTheme="minorHAnsi" w:hAnsiTheme="minorHAnsi"/>
          <w:szCs w:val="22"/>
        </w:rPr>
      </w:pPr>
    </w:p>
    <w:p w14:paraId="00326E73" w14:textId="77777777" w:rsidR="00C268C6" w:rsidRPr="003B1653" w:rsidRDefault="00C268C6" w:rsidP="00C268C6">
      <w:pPr>
        <w:rPr>
          <w:rFonts w:asciiTheme="minorHAnsi" w:hAnsiTheme="minorHAnsi"/>
          <w:szCs w:val="22"/>
        </w:rPr>
      </w:pPr>
      <w:r w:rsidRPr="003B1653">
        <w:rPr>
          <w:rFonts w:asciiTheme="minorHAnsi" w:hAnsiTheme="minorHAnsi"/>
          <w:szCs w:val="22"/>
        </w:rPr>
        <w:t xml:space="preserve">The introduction of the Quality Governance Framework in February 2019, as well as the arrangements to underpin the work of the Quality &amp; Safety Committee has seen an early improvement in assurance on quality and safety matters, including scrutiny on the progress of delivering against the Maternity Improvement Project.  </w:t>
      </w:r>
    </w:p>
    <w:p w14:paraId="29C3E2C8" w14:textId="77777777" w:rsidR="00C268C6" w:rsidRPr="003B1653" w:rsidRDefault="00C268C6" w:rsidP="00C268C6">
      <w:pPr>
        <w:rPr>
          <w:rFonts w:asciiTheme="minorHAnsi" w:hAnsiTheme="minorHAnsi"/>
          <w:szCs w:val="22"/>
        </w:rPr>
      </w:pPr>
    </w:p>
    <w:p w14:paraId="48000E59" w14:textId="5FD0B443" w:rsidR="00C268C6" w:rsidRPr="003B1653" w:rsidRDefault="00C268C6" w:rsidP="00C268C6">
      <w:pPr>
        <w:rPr>
          <w:rFonts w:asciiTheme="minorHAnsi" w:hAnsiTheme="minorHAnsi"/>
          <w:color w:val="943634" w:themeColor="accent2" w:themeShade="BF"/>
          <w:szCs w:val="22"/>
        </w:rPr>
      </w:pPr>
      <w:r w:rsidRPr="003B1653">
        <w:rPr>
          <w:rFonts w:asciiTheme="minorHAnsi" w:hAnsiTheme="minorHAnsi"/>
          <w:color w:val="943634" w:themeColor="accent2" w:themeShade="BF"/>
          <w:szCs w:val="22"/>
        </w:rPr>
        <w:t xml:space="preserve">Nurse Staffing (Wales) Act IRMER AND HTA. </w:t>
      </w:r>
    </w:p>
    <w:p w14:paraId="45334798" w14:textId="77777777" w:rsidR="00C268C6" w:rsidRPr="003B1653" w:rsidRDefault="00C268C6" w:rsidP="00C268C6">
      <w:pPr>
        <w:rPr>
          <w:rFonts w:asciiTheme="minorHAnsi" w:hAnsiTheme="minorHAnsi"/>
          <w:szCs w:val="22"/>
        </w:rPr>
      </w:pPr>
    </w:p>
    <w:p w14:paraId="5B4E7533" w14:textId="77777777" w:rsidR="00C268C6" w:rsidRPr="003B1653" w:rsidRDefault="00C268C6" w:rsidP="00C268C6">
      <w:pPr>
        <w:rPr>
          <w:rFonts w:asciiTheme="minorHAnsi" w:hAnsiTheme="minorHAnsi"/>
          <w:szCs w:val="22"/>
        </w:rPr>
      </w:pPr>
      <w:r w:rsidRPr="003B1653">
        <w:rPr>
          <w:rFonts w:asciiTheme="minorHAnsi" w:hAnsiTheme="minorHAnsi"/>
          <w:szCs w:val="22"/>
        </w:rPr>
        <w:t xml:space="preserve">Independent Members and Directors recognise the important role they have to play in making sure that there is a connection between the Board and all levels of the organisation. Board Engagement is a key focus, with Board Development session venues being rotated and held across all areas of the Health Board, all being followed with Board ‘walkabouts’ giving Board members the opportunity to gain a better understanding of the services, environment and patient and staff experience. Board engagement is also supported through the ‘Let’s Talk’ engagement events launched in August 2019 with continuous, regular events for staff and patients, both through informal drop-in sessions and more structured events such as the ‘Let’s Talk Culture’ sessions encouraging staff and patients to develop Values and Behaviours for the new CTMuHB. </w:t>
      </w:r>
    </w:p>
    <w:p w14:paraId="6BF2FD57" w14:textId="77777777" w:rsidR="00C268C6" w:rsidRPr="003B1653" w:rsidRDefault="00C268C6" w:rsidP="00C268C6">
      <w:pPr>
        <w:rPr>
          <w:rFonts w:asciiTheme="minorHAnsi" w:hAnsiTheme="minorHAnsi"/>
          <w:szCs w:val="22"/>
        </w:rPr>
      </w:pPr>
    </w:p>
    <w:p w14:paraId="63EDEE4F" w14:textId="77777777" w:rsidR="00C268C6" w:rsidRDefault="00C268C6" w:rsidP="00C268C6">
      <w:r w:rsidRPr="003B1653">
        <w:t xml:space="preserve">During 2019, Welsh Government commissioned the development and delivery of a bespoke Board Development Programme for CTMuHB Board. Deloitte were successful in the competitive tender and commenced the initial scoping work during October 2019. The scoping work will inform the development and content of the subsequent programme to be delivered throughout 2020 to which all Board Members will be required to attend. In addition, the Welsh Government have reviewed and re-launched a 2 day induction programme for all new Independent Members in NHS Wales. The programme has been opened to all IMs appointed since April 2018. Four eligible Independent Members have been put forward to attend the induction programme scheduled for December </w:t>
      </w:r>
      <w:r w:rsidRPr="003B1653">
        <w:lastRenderedPageBreak/>
        <w:t xml:space="preserve">2019. It is intended that any material released by Welsh Government to the Chairs and Board Secretaries of NHS Wales will be used to strengthen wider Board Development. </w:t>
      </w:r>
    </w:p>
    <w:p w14:paraId="64A0683F" w14:textId="77777777" w:rsidR="003B1653" w:rsidRPr="003B1653" w:rsidRDefault="003B1653" w:rsidP="00C268C6"/>
    <w:p w14:paraId="39DC48B5" w14:textId="77777777" w:rsidR="00C268C6" w:rsidRPr="00E63291" w:rsidRDefault="00C268C6" w:rsidP="00C268C6">
      <w:pPr>
        <w:rPr>
          <w:rFonts w:cs="Arial"/>
          <w:b/>
          <w:bCs/>
          <w:iCs/>
          <w:caps/>
          <w:szCs w:val="22"/>
          <w:lang w:eastAsia="en-US"/>
        </w:rPr>
      </w:pPr>
      <w:r w:rsidRPr="003B1653">
        <w:rPr>
          <w:rFonts w:asciiTheme="minorHAnsi" w:hAnsiTheme="minorHAnsi"/>
          <w:szCs w:val="22"/>
        </w:rPr>
        <w:t>The Health Board will ultimately approve and oversee implementation and delivery of the three year Plan.  Central to implementation and delivery of the Plan is robust local scrutiny and assurance arrangements endorsed by the Board that provide assurance in relation to contractor services, directly provided services and commissioned services.</w:t>
      </w:r>
      <w:r w:rsidRPr="00E63291">
        <w:rPr>
          <w:rFonts w:asciiTheme="minorHAnsi" w:hAnsiTheme="minorHAnsi"/>
          <w:szCs w:val="22"/>
        </w:rPr>
        <w:t xml:space="preserve">  </w:t>
      </w:r>
      <w:bookmarkStart w:id="245" w:name="_Toc536707430"/>
      <w:bookmarkEnd w:id="245"/>
    </w:p>
    <w:p w14:paraId="52DE12D5" w14:textId="77777777" w:rsidR="00C268C6" w:rsidRPr="00E63291" w:rsidRDefault="00C268C6" w:rsidP="00C268C6">
      <w:pPr>
        <w:pStyle w:val="Heading2"/>
        <w:rPr>
          <w:szCs w:val="22"/>
        </w:rPr>
      </w:pPr>
      <w:bookmarkStart w:id="246" w:name="_Toc25262207"/>
      <w:r w:rsidRPr="00E63291">
        <w:rPr>
          <w:szCs w:val="22"/>
        </w:rPr>
        <w:t>Principal Risks to Delivery and Mitigating Actions</w:t>
      </w:r>
      <w:bookmarkEnd w:id="241"/>
      <w:bookmarkEnd w:id="242"/>
      <w:bookmarkEnd w:id="243"/>
      <w:bookmarkEnd w:id="244"/>
      <w:bookmarkEnd w:id="246"/>
    </w:p>
    <w:p w14:paraId="2C854F5F" w14:textId="77777777" w:rsidR="00C268C6" w:rsidRPr="00E63291" w:rsidRDefault="00C268C6" w:rsidP="00C268C6">
      <w:pPr>
        <w:pStyle w:val="Heading3"/>
      </w:pPr>
      <w:r w:rsidRPr="00E63291">
        <w:t>Integrated Risk Management</w:t>
      </w:r>
    </w:p>
    <w:p w14:paraId="1142A8C3" w14:textId="77777777" w:rsidR="00C268C6" w:rsidRPr="00E63291" w:rsidRDefault="00C268C6" w:rsidP="00C268C6">
      <w:r w:rsidRPr="00E63291">
        <w:t xml:space="preserve">The Health Board has an approved strategy for risk management and a related action plan that clearly outlines the organisation’s risk appetite and process for ensuring the Board’s plans are built on a foundation of risk assessment that informs mitigating actions.  </w:t>
      </w:r>
      <w:r w:rsidRPr="00E63291">
        <w:rPr>
          <w:b/>
        </w:rPr>
        <w:t>Chapter 7, Section 7.10</w:t>
      </w:r>
      <w:r w:rsidRPr="00E63291">
        <w:t xml:space="preserve"> also outlines a number of specific risks to a number of current financial assumptions in the Plan which are key.</w:t>
      </w:r>
    </w:p>
    <w:p w14:paraId="4550EBA0" w14:textId="77777777" w:rsidR="00C268C6" w:rsidRPr="00E63291" w:rsidRDefault="00C268C6" w:rsidP="00C268C6"/>
    <w:p w14:paraId="4C6C2819" w14:textId="77777777" w:rsidR="00C268C6" w:rsidRPr="003B1653" w:rsidRDefault="00C268C6" w:rsidP="00C268C6">
      <w:r w:rsidRPr="003B1653">
        <w:t xml:space="preserve">Learning has been identified a result of the products of intervention where risk management can be strengthened across the organisation. A comprehensive review is being undertaken to identify opportunities to strengthen risk identification, assessment, mitigation and escalation from ward to Board. This work will assess the Board’s risk appetite in relation to the achievement of strategic objectives set by the Board, and support officers in managing risks locally, supporting effective decision making. </w:t>
      </w:r>
    </w:p>
    <w:p w14:paraId="6C4B3227" w14:textId="77777777" w:rsidR="00C268C6" w:rsidRPr="003B1653" w:rsidRDefault="00C268C6" w:rsidP="00C268C6"/>
    <w:p w14:paraId="1BCFF1AA" w14:textId="77777777" w:rsidR="00C268C6" w:rsidRPr="003B1653" w:rsidRDefault="00C268C6" w:rsidP="00C268C6">
      <w:r w:rsidRPr="003B1653">
        <w:t xml:space="preserve">Prior to September 2019, the Board received the Corporate Risk Register bi-annually. At the Board meeting in September 2019, the Board agreed to receive the Risk Register at every meeting. Work continues to ensure the processes that underpin the timely escalation of risks is effective and will be linked to the re-fresh of the Board Assurance Framework.  </w:t>
      </w:r>
    </w:p>
    <w:p w14:paraId="1376C507" w14:textId="77777777" w:rsidR="00C268C6" w:rsidRPr="003B1653" w:rsidRDefault="00C268C6" w:rsidP="00C268C6"/>
    <w:p w14:paraId="4E714ED8" w14:textId="77777777" w:rsidR="00C268C6" w:rsidRPr="003B1653" w:rsidRDefault="00C268C6" w:rsidP="00C268C6">
      <w:r w:rsidRPr="003B1653">
        <w:t>Each Committee with an allocated risk, reviews them on a quarterly basis.  The Executive team ensure key risks aligned to delivery are considered and scrutinised by the relevant Committee of the Board which is then approved by the Board when it receives the report for scrutiny. The Corporate Risk Register is received and updated at each monthly Management Board to ensure it reflects an accurate representation of the risks identified.</w:t>
      </w:r>
    </w:p>
    <w:p w14:paraId="6BEAA23D" w14:textId="77777777" w:rsidR="00C268C6" w:rsidRPr="00676853" w:rsidRDefault="00C268C6" w:rsidP="00C268C6">
      <w:pPr>
        <w:rPr>
          <w:highlight w:val="yellow"/>
        </w:rPr>
      </w:pPr>
      <w:r w:rsidRPr="00676853">
        <w:rPr>
          <w:highlight w:val="yellow"/>
        </w:rPr>
        <w:t xml:space="preserve">  </w:t>
      </w:r>
    </w:p>
    <w:p w14:paraId="235EDBF9" w14:textId="4B023832" w:rsidR="00C268C6" w:rsidRPr="003B1653" w:rsidRDefault="00C268C6" w:rsidP="00C268C6">
      <w:pPr>
        <w:rPr>
          <w:color w:val="943634" w:themeColor="accent2" w:themeShade="BF"/>
        </w:rPr>
      </w:pPr>
      <w:r w:rsidRPr="003B1653">
        <w:rPr>
          <w:color w:val="943634" w:themeColor="accent2" w:themeShade="BF"/>
        </w:rPr>
        <w:t xml:space="preserve">In reviewing the robustness of a developing organisational risk register, Board Members consider whether the top recorded risks are those that Members of the Board can relate to and indeed evidence that they are informing the work of the Board and its Committees in delivering its related Strategy.  As at </w:t>
      </w:r>
      <w:r w:rsidR="003B1653" w:rsidRPr="003B1653">
        <w:rPr>
          <w:color w:val="943634" w:themeColor="accent2" w:themeShade="BF"/>
        </w:rPr>
        <w:t>Januray</w:t>
      </w:r>
      <w:r w:rsidRPr="003B1653">
        <w:rPr>
          <w:color w:val="943634" w:themeColor="accent2" w:themeShade="BF"/>
        </w:rPr>
        <w:t xml:space="preserve"> 2020, the top risks outlined within the Health Board’s risk register were:</w:t>
      </w:r>
    </w:p>
    <w:p w14:paraId="1D581115" w14:textId="7F07AEE6" w:rsidR="00C268C6" w:rsidRPr="003B1653" w:rsidRDefault="00C268C6" w:rsidP="00C268C6">
      <w:pPr>
        <w:rPr>
          <w:color w:val="943634" w:themeColor="accent2" w:themeShade="BF"/>
        </w:rPr>
      </w:pPr>
      <w:r w:rsidRPr="003B1653">
        <w:rPr>
          <w:color w:val="943634" w:themeColor="accent2" w:themeShade="BF"/>
        </w:rPr>
        <w:t xml:space="preserve">NEED TO UPDATE NEARER TIME OF REPORT SUBMISSION  </w:t>
      </w:r>
    </w:p>
    <w:p w14:paraId="56940E59" w14:textId="77777777" w:rsidR="00C268C6" w:rsidRPr="00CA53D6" w:rsidRDefault="00C268C6" w:rsidP="00C268C6"/>
    <w:p w14:paraId="7259E6DB" w14:textId="77777777" w:rsidR="00CA53D6" w:rsidRPr="00CA53D6" w:rsidRDefault="00CA53D6" w:rsidP="00CA53D6">
      <w:pPr>
        <w:rPr>
          <w:rFonts w:cs="Calibri"/>
          <w:szCs w:val="22"/>
        </w:rPr>
      </w:pPr>
      <w:r w:rsidRPr="00CA53D6">
        <w:t xml:space="preserve">The Health, Safety and Fire Committee (including staff side representatives) was re-launched in December 2019 and ensure that health and safety issues are properly considered and managed in line with the Board’s Strategy and related policies.  Regular audits are being planned on prioritised areas and this information will then be used to ensure necessary improvements are introduced and implemented.  A training programme is in place and related resource issues are being addressed to ensure improved compliance and uptake of training.  </w:t>
      </w:r>
    </w:p>
    <w:p w14:paraId="7DFA5318" w14:textId="77777777" w:rsidR="00CA53D6" w:rsidRPr="00CA53D6" w:rsidRDefault="00CA53D6" w:rsidP="00CA53D6"/>
    <w:p w14:paraId="0752C385" w14:textId="77777777" w:rsidR="00CA53D6" w:rsidRPr="00CA53D6" w:rsidRDefault="00CA53D6" w:rsidP="00CA53D6">
      <w:r w:rsidRPr="00CA53D6">
        <w:t xml:space="preserve">Staff awareness of the need to manage risks is encouraged through regular communication and the Health Board’s Risk Management System ‘DATIX’. Included in this system are the incident reporting system and the risk register. The risk register continues to be rolled out to better capture assessed risks and the actions being taken to mitigate and/or escalate them.  </w:t>
      </w:r>
    </w:p>
    <w:p w14:paraId="0D238C47" w14:textId="77777777" w:rsidR="00CA53D6" w:rsidRPr="00CA53D6" w:rsidRDefault="00CA53D6" w:rsidP="00CA53D6"/>
    <w:p w14:paraId="3EBBFD19" w14:textId="5FB5ABA9" w:rsidR="00663E70" w:rsidRPr="00CA53D6" w:rsidRDefault="00CA53D6" w:rsidP="002C7841">
      <w:r w:rsidRPr="00CA53D6">
        <w:t xml:space="preserve">The Health Board manages risk through its Directorate structures.  </w:t>
      </w:r>
      <w:r w:rsidRPr="00CA53D6">
        <w:rPr>
          <w:b/>
          <w:bCs/>
        </w:rPr>
        <w:t>Annex B14</w:t>
      </w:r>
      <w:r w:rsidRPr="00CA53D6">
        <w:t xml:space="preserve"> sets out a summary of key risks that will be monitored routinely through Board processes that are considered to impact</w:t>
      </w:r>
      <w:r w:rsidR="003B1653">
        <w:t xml:space="preserve"> on some elements of the Plan.</w:t>
      </w:r>
      <w:bookmarkStart w:id="247" w:name="_GoBack"/>
      <w:bookmarkEnd w:id="247"/>
    </w:p>
    <w:p w14:paraId="723641E2" w14:textId="21792D7A" w:rsidR="00663E70" w:rsidRPr="00C268C6" w:rsidRDefault="006F090B" w:rsidP="002C7841">
      <w:pPr>
        <w:rPr>
          <w:szCs w:val="22"/>
        </w:rPr>
      </w:pPr>
      <w:r>
        <w:rPr>
          <w:szCs w:val="22"/>
        </w:rPr>
        <w:pict w14:anchorId="4955899F">
          <v:rect id="_x0000_i1025" style="width:0;height:1.5pt" o:hralign="center" o:hrstd="t" o:hr="t" fillcolor="gray" stroked="f"/>
        </w:pict>
      </w:r>
    </w:p>
    <w:sectPr w:rsidR="00663E70" w:rsidRPr="00C268C6" w:rsidSect="00611BEB">
      <w:headerReference w:type="even" r:id="rId103"/>
      <w:headerReference w:type="default" r:id="rId104"/>
      <w:headerReference w:type="first" r:id="rId105"/>
      <w:footerReference w:type="first" r:id="rId106"/>
      <w:pgSz w:w="11906" w:h="16838"/>
      <w:pgMar w:top="964" w:right="964" w:bottom="964" w:left="96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C56B8BF" w14:textId="77777777" w:rsidR="006F090B" w:rsidRDefault="006F090B" w:rsidP="00875C8C">
      <w:r>
        <w:separator/>
      </w:r>
    </w:p>
  </w:endnote>
  <w:endnote w:type="continuationSeparator" w:id="0">
    <w:p w14:paraId="4E97F4EA" w14:textId="77777777" w:rsidR="006F090B" w:rsidRDefault="006F090B" w:rsidP="00875C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Wingdings 2">
    <w:panose1 w:val="05020102010507070707"/>
    <w:charset w:val="02"/>
    <w:family w:val="roman"/>
    <w:pitch w:val="variable"/>
    <w:sig w:usb0="00000000" w:usb1="10000000" w:usb2="00000000" w:usb3="00000000" w:csb0="80000000" w:csb1="00000000"/>
  </w:font>
  <w:font w:name="FS Ingrid">
    <w:altName w:val="FS Ingrid"/>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utiger LT Std 45 Light">
    <w:altName w:val="Frutiger LT Std 45 Light"/>
    <w:panose1 w:val="00000000000000000000"/>
    <w:charset w:val="00"/>
    <w:family w:val="swiss"/>
    <w:notTrueType/>
    <w:pitch w:val="default"/>
    <w:sig w:usb0="00000003" w:usb1="00000000" w:usb2="00000000" w:usb3="00000000" w:csb0="00000001" w:csb1="00000000"/>
  </w:font>
  <w:font w:name="Helvetica">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Neo Sans Std">
    <w:altName w:val="Neo Sans Std"/>
    <w:panose1 w:val="00000000000000000000"/>
    <w:charset w:val="00"/>
    <w:family w:val="swiss"/>
    <w:notTrueType/>
    <w:pitch w:val="default"/>
    <w:sig w:usb0="00000003" w:usb1="00000000" w:usb2="00000000" w:usb3="00000000" w:csb0="00000001" w:csb1="00000000"/>
  </w:font>
  <w:font w:name="HelveticaNeue-Italic">
    <w:panose1 w:val="00000000000000000000"/>
    <w:charset w:val="00"/>
    <w:family w:val="auto"/>
    <w:notTrueType/>
    <w:pitch w:val="default"/>
    <w:sig w:usb0="00000003" w:usb1="00000000" w:usb2="00000000" w:usb3="00000000" w:csb0="00000001" w:csb1="00000000"/>
  </w:font>
  <w:font w:name="Metronic Slab Pro Regular">
    <w:altName w:val="Metronic Slab Pro Regular"/>
    <w:panose1 w:val="00000000000000000000"/>
    <w:charset w:val="00"/>
    <w:family w:val="roman"/>
    <w:notTrueType/>
    <w:pitch w:val="default"/>
    <w:sig w:usb0="00000003" w:usb1="00000000" w:usb2="00000000" w:usb3="00000000" w:csb0="00000001" w:csb1="00000000"/>
  </w:font>
  <w:font w:name="Gotham-Book">
    <w:panose1 w:val="00000000000000000000"/>
    <w:charset w:val="00"/>
    <w:family w:val="swiss"/>
    <w:notTrueType/>
    <w:pitch w:val="default"/>
    <w:sig w:usb0="00000003" w:usb1="00000000" w:usb2="00000000" w:usb3="00000000" w:csb0="00000001" w:csb1="00000000"/>
  </w:font>
  <w:font w:name="MS PGothic">
    <w:panose1 w:val="020B0600070205080204"/>
    <w:charset w:val="80"/>
    <w:family w:val="swiss"/>
    <w:pitch w:val="variable"/>
    <w:sig w:usb0="E00002FF" w:usb1="6AC7FDFB" w:usb2="08000012" w:usb3="00000000" w:csb0="0002009F" w:csb1="00000000"/>
  </w:font>
  <w:font w:name="Metronic Slab Pro Bold">
    <w:altName w:val="Metronic Slab Pro Bold"/>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F0C65B" w14:textId="77777777" w:rsidR="006F090B" w:rsidRDefault="006F090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C9CAD7" w14:textId="00194A30" w:rsidR="006F090B" w:rsidRDefault="006F090B">
    <w:pPr>
      <w:pStyle w:val="Footer"/>
    </w:pPr>
    <w:r>
      <w:t xml:space="preserve">Page | </w:t>
    </w:r>
    <w:r>
      <w:fldChar w:fldCharType="begin"/>
    </w:r>
    <w:r>
      <w:instrText xml:space="preserve"> PAGE   \* MERGEFORMAT </w:instrText>
    </w:r>
    <w:r>
      <w:fldChar w:fldCharType="separate"/>
    </w:r>
    <w:r w:rsidR="00DB33D2">
      <w:rPr>
        <w:noProof/>
      </w:rPr>
      <w:t>56</w:t>
    </w:r>
    <w:r>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5A357D" w14:textId="77777777" w:rsidR="006F090B" w:rsidRDefault="006F090B">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2F45A7" w14:textId="1F9C64D8" w:rsidR="006F090B" w:rsidRDefault="006F090B">
    <w:pPr>
      <w:pStyle w:val="Footer"/>
    </w:pPr>
    <w:r>
      <w:fldChar w:fldCharType="begin"/>
    </w:r>
    <w:r>
      <w:instrText xml:space="preserve"> PAGE   \* MERGEFORMAT </w:instrText>
    </w:r>
    <w:r>
      <w:fldChar w:fldCharType="separate"/>
    </w:r>
    <w:r w:rsidR="00DB33D2">
      <w:rPr>
        <w:noProof/>
      </w:rPr>
      <w:t>v</w:t>
    </w:r>
    <w:r>
      <w:rPr>
        <w:noProof/>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4362889"/>
      <w:docPartObj>
        <w:docPartGallery w:val="Page Numbers (Bottom of Page)"/>
        <w:docPartUnique/>
      </w:docPartObj>
    </w:sdtPr>
    <w:sdtEndPr>
      <w:rPr>
        <w:noProof/>
      </w:rPr>
    </w:sdtEndPr>
    <w:sdtContent>
      <w:p w14:paraId="2A255C81" w14:textId="77777777" w:rsidR="006F090B" w:rsidRDefault="006F090B">
        <w:pPr>
          <w:pStyle w:val="Footer"/>
        </w:pPr>
        <w:r>
          <w:t xml:space="preserve">Page | </w:t>
        </w:r>
        <w:r>
          <w:fldChar w:fldCharType="begin"/>
        </w:r>
        <w:r>
          <w:instrText xml:space="preserve"> PAGE   \* MERGEFORMAT </w:instrText>
        </w:r>
        <w:r>
          <w:fldChar w:fldCharType="separate"/>
        </w:r>
        <w:r w:rsidR="00DB33D2">
          <w:rPr>
            <w:noProof/>
          </w:rPr>
          <w:t>46</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F0857A" w14:textId="77777777" w:rsidR="006F090B" w:rsidRDefault="006F090B" w:rsidP="00875C8C">
      <w:r>
        <w:separator/>
      </w:r>
    </w:p>
  </w:footnote>
  <w:footnote w:type="continuationSeparator" w:id="0">
    <w:p w14:paraId="058FC198" w14:textId="77777777" w:rsidR="006F090B" w:rsidRDefault="006F090B" w:rsidP="00875C8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983887" w14:textId="41A290EC" w:rsidR="006F090B" w:rsidRDefault="006F090B">
    <w:pPr>
      <w:pStyle w:val="Header"/>
    </w:pPr>
    <w:r>
      <w:rPr>
        <w:noProof/>
      </w:rPr>
      <w:pict w14:anchorId="3C05B2A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80900297" o:spid="_x0000_s266242" type="#_x0000_t136" style="position:absolute;left:0;text-align:left;margin-left:0;margin-top:0;width:562.65pt;height:140.65pt;rotation:315;z-index:-251655168;mso-position-horizontal:center;mso-position-horizontal-relative:margin;mso-position-vertical:center;mso-position-vertical-relative:margin" o:allowincell="f" fillcolor="silver" stroked="f">
          <v:fill opacity=".5"/>
          <v:textpath style="font-family:&quot;Calibri&quot;;font-size:1pt" string="Working Draft"/>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D2BA61" w14:textId="17327F9E" w:rsidR="006F090B" w:rsidRPr="00BC4B53" w:rsidRDefault="006F090B" w:rsidP="003635D4">
    <w:pPr>
      <w:pStyle w:val="Header"/>
      <w:spacing w:after="0"/>
      <w:rPr>
        <w:sz w:val="16"/>
        <w:szCs w:val="16"/>
      </w:rPr>
    </w:pPr>
    <w:r>
      <w:rPr>
        <w:noProof/>
      </w:rPr>
      <w:pict w14:anchorId="1A21A13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80900298" o:spid="_x0000_s266243" type="#_x0000_t136" style="position:absolute;left:0;text-align:left;margin-left:0;margin-top:0;width:562.65pt;height:140.65pt;rotation:315;z-index:-251653120;mso-position-horizontal:center;mso-position-horizontal-relative:margin;mso-position-vertical:center;mso-position-vertical-relative:margin" o:allowincell="f" fillcolor="silver" stroked="f">
          <v:fill opacity=".5"/>
          <v:textpath style="font-family:&quot;Calibri&quot;;font-size:1pt" string="Working Draft"/>
          <w10:wrap anchorx="margin" anchory="margin"/>
        </v:shape>
      </w:pict>
    </w:r>
  </w:p>
  <w:p w14:paraId="00E47482" w14:textId="77777777" w:rsidR="006F090B" w:rsidRDefault="006F090B"/>
  <w:p w14:paraId="3CA76FBA" w14:textId="77777777" w:rsidR="006F090B" w:rsidRDefault="006F090B"/>
  <w:p w14:paraId="2968F90A" w14:textId="77777777" w:rsidR="006F090B" w:rsidRDefault="006F090B"/>
  <w:p w14:paraId="63D959E8" w14:textId="77777777" w:rsidR="006F090B" w:rsidRDefault="006F090B"/>
  <w:p w14:paraId="4E1A1FFB" w14:textId="77777777" w:rsidR="006F090B" w:rsidRDefault="006F090B"/>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2D002A" w14:textId="56762590" w:rsidR="006F090B" w:rsidRDefault="006F090B">
    <w:pPr>
      <w:pStyle w:val="Header"/>
    </w:pPr>
    <w:r>
      <w:rPr>
        <w:noProof/>
      </w:rPr>
      <w:pict w14:anchorId="120EA25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80900296" o:spid="_x0000_s266241" type="#_x0000_t136" style="position:absolute;left:0;text-align:left;margin-left:0;margin-top:0;width:562.65pt;height:140.65pt;rotation:315;z-index:-251657216;mso-position-horizontal:center;mso-position-horizontal-relative:margin;mso-position-vertical:center;mso-position-vertical-relative:margin" o:allowincell="f" fillcolor="silver" stroked="f">
          <v:fill opacity=".5"/>
          <v:textpath style="font-family:&quot;Calibri&quot;;font-size:1pt" string="Working Draft"/>
          <w10:wrap anchorx="margin" anchory="margin"/>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4878EE" w14:textId="76736C9E" w:rsidR="006F090B" w:rsidRDefault="006F090B">
    <w:pPr>
      <w:pStyle w:val="Header"/>
    </w:pPr>
    <w:r>
      <w:rPr>
        <w:noProof/>
      </w:rPr>
      <w:pict w14:anchorId="08566BD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80900300" o:spid="_x0000_s266245" type="#_x0000_t136" style="position:absolute;left:0;text-align:left;margin-left:0;margin-top:0;width:562.65pt;height:140.65pt;rotation:315;z-index:-251649024;mso-position-horizontal:center;mso-position-horizontal-relative:margin;mso-position-vertical:center;mso-position-vertical-relative:margin" o:allowincell="f" fillcolor="silver" stroked="f">
          <v:fill opacity=".5"/>
          <v:textpath style="font-family:&quot;Calibri&quot;;font-size:1pt" string="Working Draft"/>
          <w10:wrap anchorx="margin" anchory="margin"/>
        </v:shap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BBACC2" w14:textId="418D1D86" w:rsidR="006F090B" w:rsidRPr="00BC4B53" w:rsidRDefault="006F090B" w:rsidP="003635D4">
    <w:pPr>
      <w:pStyle w:val="Header"/>
      <w:spacing w:after="0"/>
      <w:rPr>
        <w:sz w:val="16"/>
        <w:szCs w:val="16"/>
      </w:rPr>
    </w:pPr>
    <w:r>
      <w:rPr>
        <w:noProof/>
      </w:rPr>
      <w:pict w14:anchorId="45AAB92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80900301" o:spid="_x0000_s266246" type="#_x0000_t136" style="position:absolute;left:0;text-align:left;margin-left:0;margin-top:0;width:562.65pt;height:140.65pt;rotation:315;z-index:-251646976;mso-position-horizontal:center;mso-position-horizontal-relative:margin;mso-position-vertical:center;mso-position-vertical-relative:margin" o:allowincell="f" fillcolor="silver" stroked="f">
          <v:fill opacity=".5"/>
          <v:textpath style="font-family:&quot;Calibri&quot;;font-size:1pt" string="Working Draft"/>
          <w10:wrap anchorx="margin" anchory="margin"/>
        </v:shape>
      </w:pic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278A52" w14:textId="586E894E" w:rsidR="006F090B" w:rsidRDefault="006F090B">
    <w:pPr>
      <w:pStyle w:val="Header"/>
    </w:pPr>
    <w:r>
      <w:rPr>
        <w:noProof/>
      </w:rPr>
      <w:pict w14:anchorId="0F30A67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80900299" o:spid="_x0000_s266244" type="#_x0000_t136" style="position:absolute;left:0;text-align:left;margin-left:0;margin-top:0;width:562.65pt;height:140.65pt;rotation:315;z-index:-251651072;mso-position-horizontal:center;mso-position-horizontal-relative:margin;mso-position-vertical:center;mso-position-vertical-relative:margin" o:allowincell="f" fillcolor="silver" stroked="f">
          <v:fill opacity=".5"/>
          <v:textpath style="font-family:&quot;Calibri&quot;;font-size:1pt" string="Working Draft"/>
          <w10:wrap anchorx="margin" anchory="margin"/>
        </v:shape>
      </w:pic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621304" w14:textId="403B2FC7" w:rsidR="006F090B" w:rsidRDefault="006F090B">
    <w:pPr>
      <w:pStyle w:val="Header"/>
    </w:pPr>
    <w:r>
      <w:rPr>
        <w:noProof/>
      </w:rPr>
      <w:pict w14:anchorId="6654047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80900303" o:spid="_x0000_s266248" type="#_x0000_t136" style="position:absolute;left:0;text-align:left;margin-left:0;margin-top:0;width:562.65pt;height:140.65pt;rotation:315;z-index:-251642880;mso-position-horizontal:center;mso-position-horizontal-relative:margin;mso-position-vertical:center;mso-position-vertical-relative:margin" o:allowincell="f" fillcolor="silver" stroked="f">
          <v:fill opacity=".5"/>
          <v:textpath style="font-family:&quot;Calibri&quot;;font-size:1pt" string="Working Draft"/>
          <w10:wrap anchorx="margin" anchory="margin"/>
        </v:shape>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454D07" w14:textId="13B40651" w:rsidR="006F090B" w:rsidRDefault="006F090B">
    <w:pPr>
      <w:pStyle w:val="Header"/>
    </w:pPr>
    <w:r>
      <w:rPr>
        <w:noProof/>
      </w:rPr>
      <w:pict w14:anchorId="395F2FA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80900304" o:spid="_x0000_s266249" type="#_x0000_t136" style="position:absolute;left:0;text-align:left;margin-left:0;margin-top:0;width:562.65pt;height:140.65pt;rotation:315;z-index:-251640832;mso-position-horizontal:center;mso-position-horizontal-relative:margin;mso-position-vertical:center;mso-position-vertical-relative:margin" o:allowincell="f" fillcolor="silver" stroked="f">
          <v:fill opacity=".5"/>
          <v:textpath style="font-family:&quot;Calibri&quot;;font-size:1pt" string="Working Draft"/>
          <w10:wrap anchorx="margin" anchory="margin"/>
        </v:shape>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7BDD66" w14:textId="1AC2D682" w:rsidR="006F090B" w:rsidRDefault="006F090B">
    <w:pPr>
      <w:pStyle w:val="Header"/>
    </w:pPr>
    <w:r>
      <w:rPr>
        <w:noProof/>
      </w:rPr>
      <w:pict w14:anchorId="46F4072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80900302" o:spid="_x0000_s266247" type="#_x0000_t136" style="position:absolute;left:0;text-align:left;margin-left:0;margin-top:0;width:562.65pt;height:140.65pt;rotation:315;z-index:-251644928;mso-position-horizontal:center;mso-position-horizontal-relative:margin;mso-position-vertical:center;mso-position-vertical-relative:margin" o:allowincell="f" fillcolor="silver" stroked="f">
          <v:fill opacity=".5"/>
          <v:textpath style="font-family:&quot;Calibri&quot;;font-size:1pt" string="Working Draft"/>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6"/>
    <w:multiLevelType w:val="multilevel"/>
    <w:tmpl w:val="00000006"/>
    <w:name w:val="WWNum6"/>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433248"/>
    <w:multiLevelType w:val="hybridMultilevel"/>
    <w:tmpl w:val="722430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11944B1"/>
    <w:multiLevelType w:val="hybridMultilevel"/>
    <w:tmpl w:val="00AE95F2"/>
    <w:lvl w:ilvl="0" w:tplc="A61E4694">
      <w:start w:val="1"/>
      <w:numFmt w:val="bullet"/>
      <w:pStyle w:val="NormaBulletIndent"/>
      <w:lvlText w:val="o"/>
      <w:lvlJc w:val="left"/>
      <w:pPr>
        <w:ind w:left="1077" w:hanging="360"/>
      </w:pPr>
      <w:rPr>
        <w:rFonts w:ascii="Courier New" w:hAnsi="Courier New" w:cs="Courier New" w:hint="default"/>
      </w:rPr>
    </w:lvl>
    <w:lvl w:ilvl="1" w:tplc="08090003">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3" w15:restartNumberingAfterBreak="0">
    <w:nsid w:val="0509695E"/>
    <w:multiLevelType w:val="hybridMultilevel"/>
    <w:tmpl w:val="3626D292"/>
    <w:lvl w:ilvl="0" w:tplc="E2A2F9AE">
      <w:start w:val="1"/>
      <w:numFmt w:val="bullet"/>
      <w:pStyle w:val="NormaBullet"/>
      <w:lvlText w:val=""/>
      <w:lvlJc w:val="left"/>
      <w:pPr>
        <w:ind w:left="360" w:hanging="360"/>
      </w:pPr>
      <w:rPr>
        <w:rFonts w:ascii="Symbol" w:hAnsi="Symbol" w:hint="default"/>
        <w:sz w:val="22"/>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67B43B1"/>
    <w:multiLevelType w:val="hybridMultilevel"/>
    <w:tmpl w:val="1B0E32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026B33"/>
    <w:multiLevelType w:val="multilevel"/>
    <w:tmpl w:val="E8C2EE0A"/>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879458A"/>
    <w:multiLevelType w:val="hybridMultilevel"/>
    <w:tmpl w:val="08E47B14"/>
    <w:lvl w:ilvl="0" w:tplc="29D2D764">
      <w:start w:val="1"/>
      <w:numFmt w:val="lowerLetter"/>
      <w:lvlText w:val="%1)"/>
      <w:lvlJc w:val="left"/>
      <w:pPr>
        <w:ind w:left="720" w:hanging="360"/>
      </w:pPr>
      <w:rPr>
        <w:rFonts w:asciiTheme="minorHAnsi" w:eastAsia="Times New Roman" w:hAnsiTheme="minorHAnsi" w:cs="Tahom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9692E26"/>
    <w:multiLevelType w:val="hybridMultilevel"/>
    <w:tmpl w:val="3D403E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98F6720"/>
    <w:multiLevelType w:val="hybridMultilevel"/>
    <w:tmpl w:val="E82EACA8"/>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9" w15:restartNumberingAfterBreak="0">
    <w:nsid w:val="0BBA0405"/>
    <w:multiLevelType w:val="hybridMultilevel"/>
    <w:tmpl w:val="D9B800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0BF15043"/>
    <w:multiLevelType w:val="hybridMultilevel"/>
    <w:tmpl w:val="AFD872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C7D4F24"/>
    <w:multiLevelType w:val="hybridMultilevel"/>
    <w:tmpl w:val="E87806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F88000F"/>
    <w:multiLevelType w:val="multilevel"/>
    <w:tmpl w:val="E8C2EE0A"/>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FAD04B4"/>
    <w:multiLevelType w:val="hybridMultilevel"/>
    <w:tmpl w:val="DB829BEA"/>
    <w:lvl w:ilvl="0" w:tplc="08090003">
      <w:start w:val="1"/>
      <w:numFmt w:val="bullet"/>
      <w:lvlText w:val="o"/>
      <w:lvlJc w:val="left"/>
      <w:pPr>
        <w:ind w:left="1077" w:hanging="360"/>
      </w:pPr>
      <w:rPr>
        <w:rFonts w:ascii="Courier New" w:hAnsi="Courier New" w:cs="Courier New"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14" w15:restartNumberingAfterBreak="0">
    <w:nsid w:val="12E51AB2"/>
    <w:multiLevelType w:val="hybridMultilevel"/>
    <w:tmpl w:val="A3AA36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458398B"/>
    <w:multiLevelType w:val="hybridMultilevel"/>
    <w:tmpl w:val="991A243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14AD6F17"/>
    <w:multiLevelType w:val="hybridMultilevel"/>
    <w:tmpl w:val="2896582A"/>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153254EC"/>
    <w:multiLevelType w:val="hybridMultilevel"/>
    <w:tmpl w:val="775226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5D37F2D"/>
    <w:multiLevelType w:val="hybridMultilevel"/>
    <w:tmpl w:val="8B9AFC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17210CCC"/>
    <w:multiLevelType w:val="hybridMultilevel"/>
    <w:tmpl w:val="48BCD8D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19DD79C1"/>
    <w:multiLevelType w:val="hybridMultilevel"/>
    <w:tmpl w:val="49EE7F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1A475136"/>
    <w:multiLevelType w:val="hybridMultilevel"/>
    <w:tmpl w:val="B70CEB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1DA15D65"/>
    <w:multiLevelType w:val="hybridMultilevel"/>
    <w:tmpl w:val="DBACD1C8"/>
    <w:lvl w:ilvl="0" w:tplc="08090001">
      <w:start w:val="1"/>
      <w:numFmt w:val="bullet"/>
      <w:lvlText w:val=""/>
      <w:lvlJc w:val="left"/>
      <w:pPr>
        <w:ind w:left="720" w:hanging="360"/>
      </w:pPr>
      <w:rPr>
        <w:rFonts w:ascii="Symbol" w:hAnsi="Symbol" w:hint="default"/>
      </w:rPr>
    </w:lvl>
    <w:lvl w:ilvl="1" w:tplc="731A0576">
      <w:start w:val="3"/>
      <w:numFmt w:val="bullet"/>
      <w:lvlText w:val="-"/>
      <w:lvlJc w:val="left"/>
      <w:pPr>
        <w:ind w:left="1440" w:hanging="360"/>
      </w:pPr>
      <w:rPr>
        <w:rFonts w:ascii="Arial" w:eastAsia="Cambria" w:hAnsi="Arial" w:cs="Arial"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1E0F62A9"/>
    <w:multiLevelType w:val="hybridMultilevel"/>
    <w:tmpl w:val="7E82D2D6"/>
    <w:lvl w:ilvl="0" w:tplc="08090001">
      <w:start w:val="1"/>
      <w:numFmt w:val="bullet"/>
      <w:lvlText w:val=""/>
      <w:lvlJc w:val="left"/>
      <w:pPr>
        <w:tabs>
          <w:tab w:val="num" w:pos="360"/>
        </w:tabs>
        <w:ind w:left="360" w:hanging="360"/>
      </w:pPr>
      <w:rPr>
        <w:rFonts w:ascii="Symbol" w:hAnsi="Symbol" w:hint="default"/>
      </w:rPr>
    </w:lvl>
    <w:lvl w:ilvl="1" w:tplc="DB16787E" w:tentative="1">
      <w:start w:val="1"/>
      <w:numFmt w:val="bullet"/>
      <w:lvlText w:val="-"/>
      <w:lvlJc w:val="left"/>
      <w:pPr>
        <w:tabs>
          <w:tab w:val="num" w:pos="1080"/>
        </w:tabs>
        <w:ind w:left="1080" w:hanging="360"/>
      </w:pPr>
      <w:rPr>
        <w:rFonts w:ascii="Times New Roman" w:hAnsi="Times New Roman" w:hint="default"/>
      </w:rPr>
    </w:lvl>
    <w:lvl w:ilvl="2" w:tplc="16D67F4C" w:tentative="1">
      <w:start w:val="1"/>
      <w:numFmt w:val="bullet"/>
      <w:lvlText w:val="-"/>
      <w:lvlJc w:val="left"/>
      <w:pPr>
        <w:tabs>
          <w:tab w:val="num" w:pos="1800"/>
        </w:tabs>
        <w:ind w:left="1800" w:hanging="360"/>
      </w:pPr>
      <w:rPr>
        <w:rFonts w:ascii="Times New Roman" w:hAnsi="Times New Roman" w:hint="default"/>
      </w:rPr>
    </w:lvl>
    <w:lvl w:ilvl="3" w:tplc="03EA6AE2" w:tentative="1">
      <w:start w:val="1"/>
      <w:numFmt w:val="bullet"/>
      <w:lvlText w:val="-"/>
      <w:lvlJc w:val="left"/>
      <w:pPr>
        <w:tabs>
          <w:tab w:val="num" w:pos="2520"/>
        </w:tabs>
        <w:ind w:left="2520" w:hanging="360"/>
      </w:pPr>
      <w:rPr>
        <w:rFonts w:ascii="Times New Roman" w:hAnsi="Times New Roman" w:hint="default"/>
      </w:rPr>
    </w:lvl>
    <w:lvl w:ilvl="4" w:tplc="D7BA7E44" w:tentative="1">
      <w:start w:val="1"/>
      <w:numFmt w:val="bullet"/>
      <w:lvlText w:val="-"/>
      <w:lvlJc w:val="left"/>
      <w:pPr>
        <w:tabs>
          <w:tab w:val="num" w:pos="3240"/>
        </w:tabs>
        <w:ind w:left="3240" w:hanging="360"/>
      </w:pPr>
      <w:rPr>
        <w:rFonts w:ascii="Times New Roman" w:hAnsi="Times New Roman" w:hint="default"/>
      </w:rPr>
    </w:lvl>
    <w:lvl w:ilvl="5" w:tplc="7C2AB322" w:tentative="1">
      <w:start w:val="1"/>
      <w:numFmt w:val="bullet"/>
      <w:lvlText w:val="-"/>
      <w:lvlJc w:val="left"/>
      <w:pPr>
        <w:tabs>
          <w:tab w:val="num" w:pos="3960"/>
        </w:tabs>
        <w:ind w:left="3960" w:hanging="360"/>
      </w:pPr>
      <w:rPr>
        <w:rFonts w:ascii="Times New Roman" w:hAnsi="Times New Roman" w:hint="default"/>
      </w:rPr>
    </w:lvl>
    <w:lvl w:ilvl="6" w:tplc="96DC11FC" w:tentative="1">
      <w:start w:val="1"/>
      <w:numFmt w:val="bullet"/>
      <w:lvlText w:val="-"/>
      <w:lvlJc w:val="left"/>
      <w:pPr>
        <w:tabs>
          <w:tab w:val="num" w:pos="4680"/>
        </w:tabs>
        <w:ind w:left="4680" w:hanging="360"/>
      </w:pPr>
      <w:rPr>
        <w:rFonts w:ascii="Times New Roman" w:hAnsi="Times New Roman" w:hint="default"/>
      </w:rPr>
    </w:lvl>
    <w:lvl w:ilvl="7" w:tplc="62FA66D2" w:tentative="1">
      <w:start w:val="1"/>
      <w:numFmt w:val="bullet"/>
      <w:lvlText w:val="-"/>
      <w:lvlJc w:val="left"/>
      <w:pPr>
        <w:tabs>
          <w:tab w:val="num" w:pos="5400"/>
        </w:tabs>
        <w:ind w:left="5400" w:hanging="360"/>
      </w:pPr>
      <w:rPr>
        <w:rFonts w:ascii="Times New Roman" w:hAnsi="Times New Roman" w:hint="default"/>
      </w:rPr>
    </w:lvl>
    <w:lvl w:ilvl="8" w:tplc="09D46702" w:tentative="1">
      <w:start w:val="1"/>
      <w:numFmt w:val="bullet"/>
      <w:lvlText w:val="-"/>
      <w:lvlJc w:val="left"/>
      <w:pPr>
        <w:tabs>
          <w:tab w:val="num" w:pos="6120"/>
        </w:tabs>
        <w:ind w:left="6120" w:hanging="360"/>
      </w:pPr>
      <w:rPr>
        <w:rFonts w:ascii="Times New Roman" w:hAnsi="Times New Roman" w:hint="default"/>
      </w:rPr>
    </w:lvl>
  </w:abstractNum>
  <w:abstractNum w:abstractNumId="24" w15:restartNumberingAfterBreak="0">
    <w:nsid w:val="1E485C25"/>
    <w:multiLevelType w:val="hybridMultilevel"/>
    <w:tmpl w:val="70E09D0E"/>
    <w:lvl w:ilvl="0" w:tplc="08090001">
      <w:start w:val="1"/>
      <w:numFmt w:val="bullet"/>
      <w:lvlText w:val=""/>
      <w:lvlJc w:val="left"/>
      <w:pPr>
        <w:tabs>
          <w:tab w:val="num" w:pos="360"/>
        </w:tabs>
        <w:ind w:left="360" w:hanging="360"/>
      </w:pPr>
      <w:rPr>
        <w:rFonts w:ascii="Symbol" w:hAnsi="Symbol" w:hint="default"/>
      </w:rPr>
    </w:lvl>
    <w:lvl w:ilvl="1" w:tplc="6220FDE2" w:tentative="1">
      <w:start w:val="1"/>
      <w:numFmt w:val="bullet"/>
      <w:lvlText w:val="-"/>
      <w:lvlJc w:val="left"/>
      <w:pPr>
        <w:tabs>
          <w:tab w:val="num" w:pos="1080"/>
        </w:tabs>
        <w:ind w:left="1080" w:hanging="360"/>
      </w:pPr>
      <w:rPr>
        <w:rFonts w:ascii="Times New Roman" w:hAnsi="Times New Roman" w:hint="default"/>
      </w:rPr>
    </w:lvl>
    <w:lvl w:ilvl="2" w:tplc="73B8F306" w:tentative="1">
      <w:start w:val="1"/>
      <w:numFmt w:val="bullet"/>
      <w:lvlText w:val="-"/>
      <w:lvlJc w:val="left"/>
      <w:pPr>
        <w:tabs>
          <w:tab w:val="num" w:pos="1800"/>
        </w:tabs>
        <w:ind w:left="1800" w:hanging="360"/>
      </w:pPr>
      <w:rPr>
        <w:rFonts w:ascii="Times New Roman" w:hAnsi="Times New Roman" w:hint="default"/>
      </w:rPr>
    </w:lvl>
    <w:lvl w:ilvl="3" w:tplc="CF72F9CA" w:tentative="1">
      <w:start w:val="1"/>
      <w:numFmt w:val="bullet"/>
      <w:lvlText w:val="-"/>
      <w:lvlJc w:val="left"/>
      <w:pPr>
        <w:tabs>
          <w:tab w:val="num" w:pos="2520"/>
        </w:tabs>
        <w:ind w:left="2520" w:hanging="360"/>
      </w:pPr>
      <w:rPr>
        <w:rFonts w:ascii="Times New Roman" w:hAnsi="Times New Roman" w:hint="default"/>
      </w:rPr>
    </w:lvl>
    <w:lvl w:ilvl="4" w:tplc="682CB7DC" w:tentative="1">
      <w:start w:val="1"/>
      <w:numFmt w:val="bullet"/>
      <w:lvlText w:val="-"/>
      <w:lvlJc w:val="left"/>
      <w:pPr>
        <w:tabs>
          <w:tab w:val="num" w:pos="3240"/>
        </w:tabs>
        <w:ind w:left="3240" w:hanging="360"/>
      </w:pPr>
      <w:rPr>
        <w:rFonts w:ascii="Times New Roman" w:hAnsi="Times New Roman" w:hint="default"/>
      </w:rPr>
    </w:lvl>
    <w:lvl w:ilvl="5" w:tplc="076ACADC" w:tentative="1">
      <w:start w:val="1"/>
      <w:numFmt w:val="bullet"/>
      <w:lvlText w:val="-"/>
      <w:lvlJc w:val="left"/>
      <w:pPr>
        <w:tabs>
          <w:tab w:val="num" w:pos="3960"/>
        </w:tabs>
        <w:ind w:left="3960" w:hanging="360"/>
      </w:pPr>
      <w:rPr>
        <w:rFonts w:ascii="Times New Roman" w:hAnsi="Times New Roman" w:hint="default"/>
      </w:rPr>
    </w:lvl>
    <w:lvl w:ilvl="6" w:tplc="F9D85C90" w:tentative="1">
      <w:start w:val="1"/>
      <w:numFmt w:val="bullet"/>
      <w:lvlText w:val="-"/>
      <w:lvlJc w:val="left"/>
      <w:pPr>
        <w:tabs>
          <w:tab w:val="num" w:pos="4680"/>
        </w:tabs>
        <w:ind w:left="4680" w:hanging="360"/>
      </w:pPr>
      <w:rPr>
        <w:rFonts w:ascii="Times New Roman" w:hAnsi="Times New Roman" w:hint="default"/>
      </w:rPr>
    </w:lvl>
    <w:lvl w:ilvl="7" w:tplc="843A0A50" w:tentative="1">
      <w:start w:val="1"/>
      <w:numFmt w:val="bullet"/>
      <w:lvlText w:val="-"/>
      <w:lvlJc w:val="left"/>
      <w:pPr>
        <w:tabs>
          <w:tab w:val="num" w:pos="5400"/>
        </w:tabs>
        <w:ind w:left="5400" w:hanging="360"/>
      </w:pPr>
      <w:rPr>
        <w:rFonts w:ascii="Times New Roman" w:hAnsi="Times New Roman" w:hint="default"/>
      </w:rPr>
    </w:lvl>
    <w:lvl w:ilvl="8" w:tplc="DFD23EBA" w:tentative="1">
      <w:start w:val="1"/>
      <w:numFmt w:val="bullet"/>
      <w:lvlText w:val="-"/>
      <w:lvlJc w:val="left"/>
      <w:pPr>
        <w:tabs>
          <w:tab w:val="num" w:pos="6120"/>
        </w:tabs>
        <w:ind w:left="6120" w:hanging="360"/>
      </w:pPr>
      <w:rPr>
        <w:rFonts w:ascii="Times New Roman" w:hAnsi="Times New Roman" w:hint="default"/>
      </w:rPr>
    </w:lvl>
  </w:abstractNum>
  <w:abstractNum w:abstractNumId="25" w15:restartNumberingAfterBreak="0">
    <w:nsid w:val="1EEA1D6C"/>
    <w:multiLevelType w:val="hybridMultilevel"/>
    <w:tmpl w:val="EB3C24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1FCF0957"/>
    <w:multiLevelType w:val="hybridMultilevel"/>
    <w:tmpl w:val="229E78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20075DFF"/>
    <w:multiLevelType w:val="hybridMultilevel"/>
    <w:tmpl w:val="76AADF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2134109C"/>
    <w:multiLevelType w:val="hybridMultilevel"/>
    <w:tmpl w:val="E74A97B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21556C4E"/>
    <w:multiLevelType w:val="hybridMultilevel"/>
    <w:tmpl w:val="7C2E77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216E4265"/>
    <w:multiLevelType w:val="hybridMultilevel"/>
    <w:tmpl w:val="D6C83E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26985679"/>
    <w:multiLevelType w:val="hybridMultilevel"/>
    <w:tmpl w:val="BBC648BC"/>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277739C1"/>
    <w:multiLevelType w:val="hybridMultilevel"/>
    <w:tmpl w:val="B7B4E9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283C40D5"/>
    <w:multiLevelType w:val="hybridMultilevel"/>
    <w:tmpl w:val="CBEE12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2B470407"/>
    <w:multiLevelType w:val="hybridMultilevel"/>
    <w:tmpl w:val="7220C632"/>
    <w:lvl w:ilvl="0" w:tplc="F426EB6A">
      <w:start w:val="1"/>
      <w:numFmt w:val="bullet"/>
      <w:pStyle w:val="IPCBullet1"/>
      <w:lvlText w:val=""/>
      <w:lvlJc w:val="left"/>
      <w:pPr>
        <w:ind w:left="720" w:hanging="360"/>
      </w:pPr>
      <w:rPr>
        <w:rFonts w:ascii="Wingdings 2" w:hAnsi="Wingdings 2" w:hint="default"/>
        <w:color w:val="A4AF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2BFD377D"/>
    <w:multiLevelType w:val="hybridMultilevel"/>
    <w:tmpl w:val="C51440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2C642AF5"/>
    <w:multiLevelType w:val="hybridMultilevel"/>
    <w:tmpl w:val="52586DD2"/>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37" w15:restartNumberingAfterBreak="0">
    <w:nsid w:val="2F783EF8"/>
    <w:multiLevelType w:val="hybridMultilevel"/>
    <w:tmpl w:val="C69E19C8"/>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30806DE3"/>
    <w:multiLevelType w:val="hybridMultilevel"/>
    <w:tmpl w:val="D5CA50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31473628"/>
    <w:multiLevelType w:val="hybridMultilevel"/>
    <w:tmpl w:val="CFA451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316E7E08"/>
    <w:multiLevelType w:val="hybridMultilevel"/>
    <w:tmpl w:val="9A24CB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3280251F"/>
    <w:multiLevelType w:val="hybridMultilevel"/>
    <w:tmpl w:val="B150C9F8"/>
    <w:lvl w:ilvl="0" w:tplc="08090001">
      <w:start w:val="1"/>
      <w:numFmt w:val="bullet"/>
      <w:lvlText w:val=""/>
      <w:lvlJc w:val="left"/>
      <w:pPr>
        <w:ind w:left="1077" w:hanging="360"/>
      </w:pPr>
      <w:rPr>
        <w:rFonts w:ascii="Symbol" w:hAnsi="Symbol" w:hint="default"/>
      </w:rPr>
    </w:lvl>
    <w:lvl w:ilvl="1" w:tplc="08090003">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42" w15:restartNumberingAfterBreak="0">
    <w:nsid w:val="32CB5D54"/>
    <w:multiLevelType w:val="hybridMultilevel"/>
    <w:tmpl w:val="7E109F22"/>
    <w:lvl w:ilvl="0" w:tplc="34D2EC00">
      <w:start w:val="2020"/>
      <w:numFmt w:val="bullet"/>
      <w:lvlText w:val="-"/>
      <w:lvlJc w:val="left"/>
      <w:pPr>
        <w:ind w:left="720" w:hanging="360"/>
      </w:pPr>
      <w:rPr>
        <w:rFonts w:ascii="Calibri" w:eastAsiaTheme="minorHAnsi"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33405C84"/>
    <w:multiLevelType w:val="hybridMultilevel"/>
    <w:tmpl w:val="DA9AC13C"/>
    <w:lvl w:ilvl="0" w:tplc="B95C88CE">
      <w:start w:val="1"/>
      <w:numFmt w:val="bullet"/>
      <w:lvlText w:val="•"/>
      <w:lvlJc w:val="left"/>
      <w:pPr>
        <w:tabs>
          <w:tab w:val="num" w:pos="360"/>
        </w:tabs>
        <w:ind w:left="360" w:hanging="360"/>
      </w:pPr>
      <w:rPr>
        <w:rFonts w:ascii="Arial" w:hAnsi="Arial" w:hint="default"/>
      </w:rPr>
    </w:lvl>
    <w:lvl w:ilvl="1" w:tplc="D7BA7654" w:tentative="1">
      <w:start w:val="1"/>
      <w:numFmt w:val="bullet"/>
      <w:lvlText w:val="•"/>
      <w:lvlJc w:val="left"/>
      <w:pPr>
        <w:tabs>
          <w:tab w:val="num" w:pos="1080"/>
        </w:tabs>
        <w:ind w:left="1080" w:hanging="360"/>
      </w:pPr>
      <w:rPr>
        <w:rFonts w:ascii="Arial" w:hAnsi="Arial" w:hint="default"/>
      </w:rPr>
    </w:lvl>
    <w:lvl w:ilvl="2" w:tplc="E47AC29E" w:tentative="1">
      <w:start w:val="1"/>
      <w:numFmt w:val="bullet"/>
      <w:lvlText w:val="•"/>
      <w:lvlJc w:val="left"/>
      <w:pPr>
        <w:tabs>
          <w:tab w:val="num" w:pos="1800"/>
        </w:tabs>
        <w:ind w:left="1800" w:hanging="360"/>
      </w:pPr>
      <w:rPr>
        <w:rFonts w:ascii="Arial" w:hAnsi="Arial" w:hint="default"/>
      </w:rPr>
    </w:lvl>
    <w:lvl w:ilvl="3" w:tplc="C66A488C" w:tentative="1">
      <w:start w:val="1"/>
      <w:numFmt w:val="bullet"/>
      <w:lvlText w:val="•"/>
      <w:lvlJc w:val="left"/>
      <w:pPr>
        <w:tabs>
          <w:tab w:val="num" w:pos="2520"/>
        </w:tabs>
        <w:ind w:left="2520" w:hanging="360"/>
      </w:pPr>
      <w:rPr>
        <w:rFonts w:ascii="Arial" w:hAnsi="Arial" w:hint="default"/>
      </w:rPr>
    </w:lvl>
    <w:lvl w:ilvl="4" w:tplc="B7F6EA8A" w:tentative="1">
      <w:start w:val="1"/>
      <w:numFmt w:val="bullet"/>
      <w:lvlText w:val="•"/>
      <w:lvlJc w:val="left"/>
      <w:pPr>
        <w:tabs>
          <w:tab w:val="num" w:pos="3240"/>
        </w:tabs>
        <w:ind w:left="3240" w:hanging="360"/>
      </w:pPr>
      <w:rPr>
        <w:rFonts w:ascii="Arial" w:hAnsi="Arial" w:hint="default"/>
      </w:rPr>
    </w:lvl>
    <w:lvl w:ilvl="5" w:tplc="67C68430" w:tentative="1">
      <w:start w:val="1"/>
      <w:numFmt w:val="bullet"/>
      <w:lvlText w:val="•"/>
      <w:lvlJc w:val="left"/>
      <w:pPr>
        <w:tabs>
          <w:tab w:val="num" w:pos="3960"/>
        </w:tabs>
        <w:ind w:left="3960" w:hanging="360"/>
      </w:pPr>
      <w:rPr>
        <w:rFonts w:ascii="Arial" w:hAnsi="Arial" w:hint="default"/>
      </w:rPr>
    </w:lvl>
    <w:lvl w:ilvl="6" w:tplc="8CF07A6A" w:tentative="1">
      <w:start w:val="1"/>
      <w:numFmt w:val="bullet"/>
      <w:lvlText w:val="•"/>
      <w:lvlJc w:val="left"/>
      <w:pPr>
        <w:tabs>
          <w:tab w:val="num" w:pos="4680"/>
        </w:tabs>
        <w:ind w:left="4680" w:hanging="360"/>
      </w:pPr>
      <w:rPr>
        <w:rFonts w:ascii="Arial" w:hAnsi="Arial" w:hint="default"/>
      </w:rPr>
    </w:lvl>
    <w:lvl w:ilvl="7" w:tplc="A232EA56" w:tentative="1">
      <w:start w:val="1"/>
      <w:numFmt w:val="bullet"/>
      <w:lvlText w:val="•"/>
      <w:lvlJc w:val="left"/>
      <w:pPr>
        <w:tabs>
          <w:tab w:val="num" w:pos="5400"/>
        </w:tabs>
        <w:ind w:left="5400" w:hanging="360"/>
      </w:pPr>
      <w:rPr>
        <w:rFonts w:ascii="Arial" w:hAnsi="Arial" w:hint="default"/>
      </w:rPr>
    </w:lvl>
    <w:lvl w:ilvl="8" w:tplc="64FCA224" w:tentative="1">
      <w:start w:val="1"/>
      <w:numFmt w:val="bullet"/>
      <w:lvlText w:val="•"/>
      <w:lvlJc w:val="left"/>
      <w:pPr>
        <w:tabs>
          <w:tab w:val="num" w:pos="6120"/>
        </w:tabs>
        <w:ind w:left="6120" w:hanging="360"/>
      </w:pPr>
      <w:rPr>
        <w:rFonts w:ascii="Arial" w:hAnsi="Arial" w:hint="default"/>
      </w:rPr>
    </w:lvl>
  </w:abstractNum>
  <w:abstractNum w:abstractNumId="44" w15:restartNumberingAfterBreak="0">
    <w:nsid w:val="33EF1CB9"/>
    <w:multiLevelType w:val="hybridMultilevel"/>
    <w:tmpl w:val="2164621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5" w15:restartNumberingAfterBreak="0">
    <w:nsid w:val="34194E0F"/>
    <w:multiLevelType w:val="hybridMultilevel"/>
    <w:tmpl w:val="AACE4F5A"/>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35F94369"/>
    <w:multiLevelType w:val="hybridMultilevel"/>
    <w:tmpl w:val="BB36AD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36D71FCC"/>
    <w:multiLevelType w:val="hybridMultilevel"/>
    <w:tmpl w:val="1924F9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38F001CF"/>
    <w:multiLevelType w:val="hybridMultilevel"/>
    <w:tmpl w:val="64D813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391A5DF0"/>
    <w:multiLevelType w:val="hybridMultilevel"/>
    <w:tmpl w:val="F24CF0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0" w15:restartNumberingAfterBreak="0">
    <w:nsid w:val="396E6FA8"/>
    <w:multiLevelType w:val="hybridMultilevel"/>
    <w:tmpl w:val="BDB2D7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3A3B209D"/>
    <w:multiLevelType w:val="hybridMultilevel"/>
    <w:tmpl w:val="B9069E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3A7C671D"/>
    <w:multiLevelType w:val="hybridMultilevel"/>
    <w:tmpl w:val="FB127C6C"/>
    <w:lvl w:ilvl="0" w:tplc="08090001">
      <w:start w:val="1"/>
      <w:numFmt w:val="bullet"/>
      <w:lvlText w:val=""/>
      <w:lvlJc w:val="left"/>
      <w:pPr>
        <w:tabs>
          <w:tab w:val="num" w:pos="720"/>
        </w:tabs>
        <w:ind w:left="720" w:hanging="360"/>
      </w:pPr>
      <w:rPr>
        <w:rFonts w:ascii="Symbol" w:hAnsi="Symbol" w:hint="default"/>
      </w:rPr>
    </w:lvl>
    <w:lvl w:ilvl="1" w:tplc="99DAA6AE">
      <w:start w:val="1"/>
      <w:numFmt w:val="bullet"/>
      <w:lvlText w:val="-"/>
      <w:lvlJc w:val="left"/>
      <w:pPr>
        <w:tabs>
          <w:tab w:val="num" w:pos="1440"/>
        </w:tabs>
        <w:ind w:left="1440" w:hanging="360"/>
      </w:pPr>
      <w:rPr>
        <w:rFonts w:ascii="Arial" w:hAnsi="Arial" w:hint="default"/>
      </w:rPr>
    </w:lvl>
    <w:lvl w:ilvl="2" w:tplc="E9D8C30E" w:tentative="1">
      <w:start w:val="1"/>
      <w:numFmt w:val="bullet"/>
      <w:lvlText w:val="-"/>
      <w:lvlJc w:val="left"/>
      <w:pPr>
        <w:tabs>
          <w:tab w:val="num" w:pos="2160"/>
        </w:tabs>
        <w:ind w:left="2160" w:hanging="360"/>
      </w:pPr>
      <w:rPr>
        <w:rFonts w:ascii="Arial" w:hAnsi="Arial" w:hint="default"/>
      </w:rPr>
    </w:lvl>
    <w:lvl w:ilvl="3" w:tplc="8E2CB72C" w:tentative="1">
      <w:start w:val="1"/>
      <w:numFmt w:val="bullet"/>
      <w:lvlText w:val="-"/>
      <w:lvlJc w:val="left"/>
      <w:pPr>
        <w:tabs>
          <w:tab w:val="num" w:pos="2880"/>
        </w:tabs>
        <w:ind w:left="2880" w:hanging="360"/>
      </w:pPr>
      <w:rPr>
        <w:rFonts w:ascii="Arial" w:hAnsi="Arial" w:hint="default"/>
      </w:rPr>
    </w:lvl>
    <w:lvl w:ilvl="4" w:tplc="825205D8" w:tentative="1">
      <w:start w:val="1"/>
      <w:numFmt w:val="bullet"/>
      <w:lvlText w:val="-"/>
      <w:lvlJc w:val="left"/>
      <w:pPr>
        <w:tabs>
          <w:tab w:val="num" w:pos="3600"/>
        </w:tabs>
        <w:ind w:left="3600" w:hanging="360"/>
      </w:pPr>
      <w:rPr>
        <w:rFonts w:ascii="Arial" w:hAnsi="Arial" w:hint="default"/>
      </w:rPr>
    </w:lvl>
    <w:lvl w:ilvl="5" w:tplc="B33EDD16" w:tentative="1">
      <w:start w:val="1"/>
      <w:numFmt w:val="bullet"/>
      <w:lvlText w:val="-"/>
      <w:lvlJc w:val="left"/>
      <w:pPr>
        <w:tabs>
          <w:tab w:val="num" w:pos="4320"/>
        </w:tabs>
        <w:ind w:left="4320" w:hanging="360"/>
      </w:pPr>
      <w:rPr>
        <w:rFonts w:ascii="Arial" w:hAnsi="Arial" w:hint="default"/>
      </w:rPr>
    </w:lvl>
    <w:lvl w:ilvl="6" w:tplc="3244D18C" w:tentative="1">
      <w:start w:val="1"/>
      <w:numFmt w:val="bullet"/>
      <w:lvlText w:val="-"/>
      <w:lvlJc w:val="left"/>
      <w:pPr>
        <w:tabs>
          <w:tab w:val="num" w:pos="5040"/>
        </w:tabs>
        <w:ind w:left="5040" w:hanging="360"/>
      </w:pPr>
      <w:rPr>
        <w:rFonts w:ascii="Arial" w:hAnsi="Arial" w:hint="default"/>
      </w:rPr>
    </w:lvl>
    <w:lvl w:ilvl="7" w:tplc="93E4F8C6" w:tentative="1">
      <w:start w:val="1"/>
      <w:numFmt w:val="bullet"/>
      <w:lvlText w:val="-"/>
      <w:lvlJc w:val="left"/>
      <w:pPr>
        <w:tabs>
          <w:tab w:val="num" w:pos="5760"/>
        </w:tabs>
        <w:ind w:left="5760" w:hanging="360"/>
      </w:pPr>
      <w:rPr>
        <w:rFonts w:ascii="Arial" w:hAnsi="Arial" w:hint="default"/>
      </w:rPr>
    </w:lvl>
    <w:lvl w:ilvl="8" w:tplc="5922073E" w:tentative="1">
      <w:start w:val="1"/>
      <w:numFmt w:val="bullet"/>
      <w:lvlText w:val="-"/>
      <w:lvlJc w:val="left"/>
      <w:pPr>
        <w:tabs>
          <w:tab w:val="num" w:pos="6480"/>
        </w:tabs>
        <w:ind w:left="6480" w:hanging="360"/>
      </w:pPr>
      <w:rPr>
        <w:rFonts w:ascii="Arial" w:hAnsi="Arial" w:hint="default"/>
      </w:rPr>
    </w:lvl>
  </w:abstractNum>
  <w:abstractNum w:abstractNumId="53" w15:restartNumberingAfterBreak="0">
    <w:nsid w:val="3B557B75"/>
    <w:multiLevelType w:val="hybridMultilevel"/>
    <w:tmpl w:val="7F4E7282"/>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4" w15:restartNumberingAfterBreak="0">
    <w:nsid w:val="43751B09"/>
    <w:multiLevelType w:val="hybridMultilevel"/>
    <w:tmpl w:val="445AA6F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44FD615A"/>
    <w:multiLevelType w:val="hybridMultilevel"/>
    <w:tmpl w:val="B8E01CCC"/>
    <w:lvl w:ilvl="0" w:tplc="D6D430A0">
      <w:start w:val="5"/>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45034BC0"/>
    <w:multiLevelType w:val="hybridMultilevel"/>
    <w:tmpl w:val="9DAEB296"/>
    <w:lvl w:ilvl="0" w:tplc="08090001">
      <w:start w:val="1"/>
      <w:numFmt w:val="bullet"/>
      <w:lvlText w:val=""/>
      <w:lvlJc w:val="left"/>
      <w:pPr>
        <w:ind w:left="1077" w:hanging="360"/>
      </w:pPr>
      <w:rPr>
        <w:rFonts w:ascii="Symbol" w:hAnsi="Symbol" w:hint="default"/>
      </w:rPr>
    </w:lvl>
    <w:lvl w:ilvl="1" w:tplc="08090003">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57" w15:restartNumberingAfterBreak="0">
    <w:nsid w:val="458C4506"/>
    <w:multiLevelType w:val="hybridMultilevel"/>
    <w:tmpl w:val="823478D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8" w15:restartNumberingAfterBreak="0">
    <w:nsid w:val="4B1519C5"/>
    <w:multiLevelType w:val="hybridMultilevel"/>
    <w:tmpl w:val="91EA4D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9" w15:restartNumberingAfterBreak="0">
    <w:nsid w:val="4CF818BF"/>
    <w:multiLevelType w:val="hybridMultilevel"/>
    <w:tmpl w:val="2EFCE970"/>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60" w15:restartNumberingAfterBreak="0">
    <w:nsid w:val="4E0D7BF0"/>
    <w:multiLevelType w:val="hybridMultilevel"/>
    <w:tmpl w:val="01A09678"/>
    <w:lvl w:ilvl="0" w:tplc="08090001">
      <w:start w:val="1"/>
      <w:numFmt w:val="bullet"/>
      <w:lvlText w:val=""/>
      <w:lvlJc w:val="left"/>
      <w:pPr>
        <w:tabs>
          <w:tab w:val="num" w:pos="720"/>
        </w:tabs>
        <w:ind w:left="720" w:hanging="360"/>
      </w:pPr>
      <w:rPr>
        <w:rFonts w:ascii="Symbol" w:hAnsi="Symbol" w:hint="default"/>
      </w:rPr>
    </w:lvl>
    <w:lvl w:ilvl="1" w:tplc="2028EA40" w:tentative="1">
      <w:start w:val="1"/>
      <w:numFmt w:val="bullet"/>
      <w:lvlText w:val="•"/>
      <w:lvlJc w:val="left"/>
      <w:pPr>
        <w:tabs>
          <w:tab w:val="num" w:pos="1440"/>
        </w:tabs>
        <w:ind w:left="1440" w:hanging="360"/>
      </w:pPr>
      <w:rPr>
        <w:rFonts w:ascii="Arial" w:hAnsi="Arial" w:hint="default"/>
      </w:rPr>
    </w:lvl>
    <w:lvl w:ilvl="2" w:tplc="17C8BBF6" w:tentative="1">
      <w:start w:val="1"/>
      <w:numFmt w:val="bullet"/>
      <w:lvlText w:val="•"/>
      <w:lvlJc w:val="left"/>
      <w:pPr>
        <w:tabs>
          <w:tab w:val="num" w:pos="2160"/>
        </w:tabs>
        <w:ind w:left="2160" w:hanging="360"/>
      </w:pPr>
      <w:rPr>
        <w:rFonts w:ascii="Arial" w:hAnsi="Arial" w:hint="default"/>
      </w:rPr>
    </w:lvl>
    <w:lvl w:ilvl="3" w:tplc="4802E864" w:tentative="1">
      <w:start w:val="1"/>
      <w:numFmt w:val="bullet"/>
      <w:lvlText w:val="•"/>
      <w:lvlJc w:val="left"/>
      <w:pPr>
        <w:tabs>
          <w:tab w:val="num" w:pos="2880"/>
        </w:tabs>
        <w:ind w:left="2880" w:hanging="360"/>
      </w:pPr>
      <w:rPr>
        <w:rFonts w:ascii="Arial" w:hAnsi="Arial" w:hint="default"/>
      </w:rPr>
    </w:lvl>
    <w:lvl w:ilvl="4" w:tplc="021C4624" w:tentative="1">
      <w:start w:val="1"/>
      <w:numFmt w:val="bullet"/>
      <w:lvlText w:val="•"/>
      <w:lvlJc w:val="left"/>
      <w:pPr>
        <w:tabs>
          <w:tab w:val="num" w:pos="3600"/>
        </w:tabs>
        <w:ind w:left="3600" w:hanging="360"/>
      </w:pPr>
      <w:rPr>
        <w:rFonts w:ascii="Arial" w:hAnsi="Arial" w:hint="default"/>
      </w:rPr>
    </w:lvl>
    <w:lvl w:ilvl="5" w:tplc="481CC258" w:tentative="1">
      <w:start w:val="1"/>
      <w:numFmt w:val="bullet"/>
      <w:lvlText w:val="•"/>
      <w:lvlJc w:val="left"/>
      <w:pPr>
        <w:tabs>
          <w:tab w:val="num" w:pos="4320"/>
        </w:tabs>
        <w:ind w:left="4320" w:hanging="360"/>
      </w:pPr>
      <w:rPr>
        <w:rFonts w:ascii="Arial" w:hAnsi="Arial" w:hint="default"/>
      </w:rPr>
    </w:lvl>
    <w:lvl w:ilvl="6" w:tplc="1AB05120" w:tentative="1">
      <w:start w:val="1"/>
      <w:numFmt w:val="bullet"/>
      <w:lvlText w:val="•"/>
      <w:lvlJc w:val="left"/>
      <w:pPr>
        <w:tabs>
          <w:tab w:val="num" w:pos="5040"/>
        </w:tabs>
        <w:ind w:left="5040" w:hanging="360"/>
      </w:pPr>
      <w:rPr>
        <w:rFonts w:ascii="Arial" w:hAnsi="Arial" w:hint="default"/>
      </w:rPr>
    </w:lvl>
    <w:lvl w:ilvl="7" w:tplc="A9466410" w:tentative="1">
      <w:start w:val="1"/>
      <w:numFmt w:val="bullet"/>
      <w:lvlText w:val="•"/>
      <w:lvlJc w:val="left"/>
      <w:pPr>
        <w:tabs>
          <w:tab w:val="num" w:pos="5760"/>
        </w:tabs>
        <w:ind w:left="5760" w:hanging="360"/>
      </w:pPr>
      <w:rPr>
        <w:rFonts w:ascii="Arial" w:hAnsi="Arial" w:hint="default"/>
      </w:rPr>
    </w:lvl>
    <w:lvl w:ilvl="8" w:tplc="2DA8DCD2" w:tentative="1">
      <w:start w:val="1"/>
      <w:numFmt w:val="bullet"/>
      <w:lvlText w:val="•"/>
      <w:lvlJc w:val="left"/>
      <w:pPr>
        <w:tabs>
          <w:tab w:val="num" w:pos="6480"/>
        </w:tabs>
        <w:ind w:left="6480" w:hanging="360"/>
      </w:pPr>
      <w:rPr>
        <w:rFonts w:ascii="Arial" w:hAnsi="Arial" w:hint="default"/>
      </w:rPr>
    </w:lvl>
  </w:abstractNum>
  <w:abstractNum w:abstractNumId="61" w15:restartNumberingAfterBreak="0">
    <w:nsid w:val="4EA14996"/>
    <w:multiLevelType w:val="hybridMultilevel"/>
    <w:tmpl w:val="669275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2" w15:restartNumberingAfterBreak="0">
    <w:nsid w:val="50AD4930"/>
    <w:multiLevelType w:val="hybridMultilevel"/>
    <w:tmpl w:val="EF66B4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63" w15:restartNumberingAfterBreak="0">
    <w:nsid w:val="515A4060"/>
    <w:multiLevelType w:val="hybridMultilevel"/>
    <w:tmpl w:val="EEB2B5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52BF33B7"/>
    <w:multiLevelType w:val="hybridMultilevel"/>
    <w:tmpl w:val="3D0C855E"/>
    <w:lvl w:ilvl="0" w:tplc="C1E27692">
      <w:start w:val="1"/>
      <w:numFmt w:val="bullet"/>
      <w:lvlText w:val="•"/>
      <w:lvlJc w:val="left"/>
      <w:pPr>
        <w:tabs>
          <w:tab w:val="num" w:pos="720"/>
        </w:tabs>
        <w:ind w:left="720" w:hanging="360"/>
      </w:pPr>
      <w:rPr>
        <w:rFonts w:ascii="Arial" w:hAnsi="Aria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4BC2D660" w:tentative="1">
      <w:start w:val="1"/>
      <w:numFmt w:val="bullet"/>
      <w:lvlText w:val="•"/>
      <w:lvlJc w:val="left"/>
      <w:pPr>
        <w:tabs>
          <w:tab w:val="num" w:pos="2160"/>
        </w:tabs>
        <w:ind w:left="2160" w:hanging="360"/>
      </w:pPr>
      <w:rPr>
        <w:rFonts w:ascii="Arial" w:hAnsi="Arial" w:hint="default"/>
      </w:rPr>
    </w:lvl>
    <w:lvl w:ilvl="3" w:tplc="C4D21F9C" w:tentative="1">
      <w:start w:val="1"/>
      <w:numFmt w:val="bullet"/>
      <w:lvlText w:val="•"/>
      <w:lvlJc w:val="left"/>
      <w:pPr>
        <w:tabs>
          <w:tab w:val="num" w:pos="2880"/>
        </w:tabs>
        <w:ind w:left="2880" w:hanging="360"/>
      </w:pPr>
      <w:rPr>
        <w:rFonts w:ascii="Arial" w:hAnsi="Arial" w:hint="default"/>
      </w:rPr>
    </w:lvl>
    <w:lvl w:ilvl="4" w:tplc="0DE0BD30" w:tentative="1">
      <w:start w:val="1"/>
      <w:numFmt w:val="bullet"/>
      <w:lvlText w:val="•"/>
      <w:lvlJc w:val="left"/>
      <w:pPr>
        <w:tabs>
          <w:tab w:val="num" w:pos="3600"/>
        </w:tabs>
        <w:ind w:left="3600" w:hanging="360"/>
      </w:pPr>
      <w:rPr>
        <w:rFonts w:ascii="Arial" w:hAnsi="Arial" w:hint="default"/>
      </w:rPr>
    </w:lvl>
    <w:lvl w:ilvl="5" w:tplc="807CB564" w:tentative="1">
      <w:start w:val="1"/>
      <w:numFmt w:val="bullet"/>
      <w:lvlText w:val="•"/>
      <w:lvlJc w:val="left"/>
      <w:pPr>
        <w:tabs>
          <w:tab w:val="num" w:pos="4320"/>
        </w:tabs>
        <w:ind w:left="4320" w:hanging="360"/>
      </w:pPr>
      <w:rPr>
        <w:rFonts w:ascii="Arial" w:hAnsi="Arial" w:hint="default"/>
      </w:rPr>
    </w:lvl>
    <w:lvl w:ilvl="6" w:tplc="44D299BE" w:tentative="1">
      <w:start w:val="1"/>
      <w:numFmt w:val="bullet"/>
      <w:lvlText w:val="•"/>
      <w:lvlJc w:val="left"/>
      <w:pPr>
        <w:tabs>
          <w:tab w:val="num" w:pos="5040"/>
        </w:tabs>
        <w:ind w:left="5040" w:hanging="360"/>
      </w:pPr>
      <w:rPr>
        <w:rFonts w:ascii="Arial" w:hAnsi="Arial" w:hint="default"/>
      </w:rPr>
    </w:lvl>
    <w:lvl w:ilvl="7" w:tplc="A9A6D3CA" w:tentative="1">
      <w:start w:val="1"/>
      <w:numFmt w:val="bullet"/>
      <w:lvlText w:val="•"/>
      <w:lvlJc w:val="left"/>
      <w:pPr>
        <w:tabs>
          <w:tab w:val="num" w:pos="5760"/>
        </w:tabs>
        <w:ind w:left="5760" w:hanging="360"/>
      </w:pPr>
      <w:rPr>
        <w:rFonts w:ascii="Arial" w:hAnsi="Arial" w:hint="default"/>
      </w:rPr>
    </w:lvl>
    <w:lvl w:ilvl="8" w:tplc="90FCA518" w:tentative="1">
      <w:start w:val="1"/>
      <w:numFmt w:val="bullet"/>
      <w:lvlText w:val="•"/>
      <w:lvlJc w:val="left"/>
      <w:pPr>
        <w:tabs>
          <w:tab w:val="num" w:pos="6480"/>
        </w:tabs>
        <w:ind w:left="6480" w:hanging="360"/>
      </w:pPr>
      <w:rPr>
        <w:rFonts w:ascii="Arial" w:hAnsi="Arial" w:hint="default"/>
      </w:rPr>
    </w:lvl>
  </w:abstractNum>
  <w:abstractNum w:abstractNumId="65" w15:restartNumberingAfterBreak="0">
    <w:nsid w:val="545464EF"/>
    <w:multiLevelType w:val="hybridMultilevel"/>
    <w:tmpl w:val="FDFC7A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55B6632C"/>
    <w:multiLevelType w:val="hybridMultilevel"/>
    <w:tmpl w:val="BFB4F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56485868"/>
    <w:multiLevelType w:val="hybridMultilevel"/>
    <w:tmpl w:val="A8D22566"/>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8" w15:restartNumberingAfterBreak="0">
    <w:nsid w:val="56524476"/>
    <w:multiLevelType w:val="hybridMultilevel"/>
    <w:tmpl w:val="5E623B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59D338B8"/>
    <w:multiLevelType w:val="hybridMultilevel"/>
    <w:tmpl w:val="291A509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0" w15:restartNumberingAfterBreak="0">
    <w:nsid w:val="59E57997"/>
    <w:multiLevelType w:val="hybridMultilevel"/>
    <w:tmpl w:val="B19C2D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15:restartNumberingAfterBreak="0">
    <w:nsid w:val="5B8378F6"/>
    <w:multiLevelType w:val="hybridMultilevel"/>
    <w:tmpl w:val="A3E044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2" w15:restartNumberingAfterBreak="0">
    <w:nsid w:val="5C70733F"/>
    <w:multiLevelType w:val="hybridMultilevel"/>
    <w:tmpl w:val="F258A4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 w15:restartNumberingAfterBreak="0">
    <w:nsid w:val="5D752616"/>
    <w:multiLevelType w:val="hybridMultilevel"/>
    <w:tmpl w:val="93A47B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4" w15:restartNumberingAfterBreak="0">
    <w:nsid w:val="5F1D30F4"/>
    <w:multiLevelType w:val="hybridMultilevel"/>
    <w:tmpl w:val="55B42C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 w15:restartNumberingAfterBreak="0">
    <w:nsid w:val="60514F12"/>
    <w:multiLevelType w:val="hybridMultilevel"/>
    <w:tmpl w:val="4D5A0D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61500E46"/>
    <w:multiLevelType w:val="hybridMultilevel"/>
    <w:tmpl w:val="7AD6FF96"/>
    <w:lvl w:ilvl="0" w:tplc="9266E63E">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7" w15:restartNumberingAfterBreak="0">
    <w:nsid w:val="639C1C75"/>
    <w:multiLevelType w:val="hybridMultilevel"/>
    <w:tmpl w:val="B6B61A8E"/>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8" w15:restartNumberingAfterBreak="0">
    <w:nsid w:val="65745322"/>
    <w:multiLevelType w:val="hybridMultilevel"/>
    <w:tmpl w:val="4C9201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65860CE4"/>
    <w:multiLevelType w:val="hybridMultilevel"/>
    <w:tmpl w:val="8996BB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65A37CE3"/>
    <w:multiLevelType w:val="hybridMultilevel"/>
    <w:tmpl w:val="BCE4EF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1" w15:restartNumberingAfterBreak="0">
    <w:nsid w:val="65CB5972"/>
    <w:multiLevelType w:val="hybridMultilevel"/>
    <w:tmpl w:val="720CDB4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2" w15:restartNumberingAfterBreak="0">
    <w:nsid w:val="66452843"/>
    <w:multiLevelType w:val="hybridMultilevel"/>
    <w:tmpl w:val="A896F6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3" w15:restartNumberingAfterBreak="0">
    <w:nsid w:val="667B5429"/>
    <w:multiLevelType w:val="hybridMultilevel"/>
    <w:tmpl w:val="D9EA79C8"/>
    <w:lvl w:ilvl="0" w:tplc="DE667E38">
      <w:start w:val="1"/>
      <w:numFmt w:val="bullet"/>
      <w:pStyle w:val="NormalBullet"/>
      <w:lvlText w:val=""/>
      <w:lvlJc w:val="left"/>
      <w:pPr>
        <w:ind w:left="1069"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4" w15:restartNumberingAfterBreak="0">
    <w:nsid w:val="67740C86"/>
    <w:multiLevelType w:val="hybridMultilevel"/>
    <w:tmpl w:val="4DCAA9B4"/>
    <w:lvl w:ilvl="0" w:tplc="0408065C">
      <w:start w:val="6"/>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5" w15:restartNumberingAfterBreak="0">
    <w:nsid w:val="6DB451D8"/>
    <w:multiLevelType w:val="hybridMultilevel"/>
    <w:tmpl w:val="0BF054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6" w15:restartNumberingAfterBreak="0">
    <w:nsid w:val="6E590D06"/>
    <w:multiLevelType w:val="hybridMultilevel"/>
    <w:tmpl w:val="98C2DF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7" w15:restartNumberingAfterBreak="0">
    <w:nsid w:val="6F322A31"/>
    <w:multiLevelType w:val="hybridMultilevel"/>
    <w:tmpl w:val="A5206684"/>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8" w15:restartNumberingAfterBreak="0">
    <w:nsid w:val="701829E0"/>
    <w:multiLevelType w:val="hybridMultilevel"/>
    <w:tmpl w:val="5F3C124E"/>
    <w:lvl w:ilvl="0" w:tplc="B0C8769C">
      <w:start w:val="1"/>
      <w:numFmt w:val="bullet"/>
      <w:lvlText w:val="•"/>
      <w:lvlJc w:val="left"/>
      <w:pPr>
        <w:tabs>
          <w:tab w:val="num" w:pos="360"/>
        </w:tabs>
        <w:ind w:left="360" w:hanging="360"/>
      </w:pPr>
      <w:rPr>
        <w:rFonts w:ascii="Arial" w:hAnsi="Arial" w:hint="default"/>
      </w:rPr>
    </w:lvl>
    <w:lvl w:ilvl="1" w:tplc="A1F80F5A" w:tentative="1">
      <w:start w:val="1"/>
      <w:numFmt w:val="bullet"/>
      <w:lvlText w:val="•"/>
      <w:lvlJc w:val="left"/>
      <w:pPr>
        <w:tabs>
          <w:tab w:val="num" w:pos="1080"/>
        </w:tabs>
        <w:ind w:left="1080" w:hanging="360"/>
      </w:pPr>
      <w:rPr>
        <w:rFonts w:ascii="Arial" w:hAnsi="Arial" w:hint="default"/>
      </w:rPr>
    </w:lvl>
    <w:lvl w:ilvl="2" w:tplc="53F2057E" w:tentative="1">
      <w:start w:val="1"/>
      <w:numFmt w:val="bullet"/>
      <w:lvlText w:val="•"/>
      <w:lvlJc w:val="left"/>
      <w:pPr>
        <w:tabs>
          <w:tab w:val="num" w:pos="1800"/>
        </w:tabs>
        <w:ind w:left="1800" w:hanging="360"/>
      </w:pPr>
      <w:rPr>
        <w:rFonts w:ascii="Arial" w:hAnsi="Arial" w:hint="default"/>
      </w:rPr>
    </w:lvl>
    <w:lvl w:ilvl="3" w:tplc="1A9AFCBE" w:tentative="1">
      <w:start w:val="1"/>
      <w:numFmt w:val="bullet"/>
      <w:lvlText w:val="•"/>
      <w:lvlJc w:val="left"/>
      <w:pPr>
        <w:tabs>
          <w:tab w:val="num" w:pos="2520"/>
        </w:tabs>
        <w:ind w:left="2520" w:hanging="360"/>
      </w:pPr>
      <w:rPr>
        <w:rFonts w:ascii="Arial" w:hAnsi="Arial" w:hint="default"/>
      </w:rPr>
    </w:lvl>
    <w:lvl w:ilvl="4" w:tplc="BD54BD12" w:tentative="1">
      <w:start w:val="1"/>
      <w:numFmt w:val="bullet"/>
      <w:lvlText w:val="•"/>
      <w:lvlJc w:val="left"/>
      <w:pPr>
        <w:tabs>
          <w:tab w:val="num" w:pos="3240"/>
        </w:tabs>
        <w:ind w:left="3240" w:hanging="360"/>
      </w:pPr>
      <w:rPr>
        <w:rFonts w:ascii="Arial" w:hAnsi="Arial" w:hint="default"/>
      </w:rPr>
    </w:lvl>
    <w:lvl w:ilvl="5" w:tplc="E4C4B910" w:tentative="1">
      <w:start w:val="1"/>
      <w:numFmt w:val="bullet"/>
      <w:lvlText w:val="•"/>
      <w:lvlJc w:val="left"/>
      <w:pPr>
        <w:tabs>
          <w:tab w:val="num" w:pos="3960"/>
        </w:tabs>
        <w:ind w:left="3960" w:hanging="360"/>
      </w:pPr>
      <w:rPr>
        <w:rFonts w:ascii="Arial" w:hAnsi="Arial" w:hint="default"/>
      </w:rPr>
    </w:lvl>
    <w:lvl w:ilvl="6" w:tplc="259089DE" w:tentative="1">
      <w:start w:val="1"/>
      <w:numFmt w:val="bullet"/>
      <w:lvlText w:val="•"/>
      <w:lvlJc w:val="left"/>
      <w:pPr>
        <w:tabs>
          <w:tab w:val="num" w:pos="4680"/>
        </w:tabs>
        <w:ind w:left="4680" w:hanging="360"/>
      </w:pPr>
      <w:rPr>
        <w:rFonts w:ascii="Arial" w:hAnsi="Arial" w:hint="default"/>
      </w:rPr>
    </w:lvl>
    <w:lvl w:ilvl="7" w:tplc="9AF07E88" w:tentative="1">
      <w:start w:val="1"/>
      <w:numFmt w:val="bullet"/>
      <w:lvlText w:val="•"/>
      <w:lvlJc w:val="left"/>
      <w:pPr>
        <w:tabs>
          <w:tab w:val="num" w:pos="5400"/>
        </w:tabs>
        <w:ind w:left="5400" w:hanging="360"/>
      </w:pPr>
      <w:rPr>
        <w:rFonts w:ascii="Arial" w:hAnsi="Arial" w:hint="default"/>
      </w:rPr>
    </w:lvl>
    <w:lvl w:ilvl="8" w:tplc="A2C6215A" w:tentative="1">
      <w:start w:val="1"/>
      <w:numFmt w:val="bullet"/>
      <w:lvlText w:val="•"/>
      <w:lvlJc w:val="left"/>
      <w:pPr>
        <w:tabs>
          <w:tab w:val="num" w:pos="6120"/>
        </w:tabs>
        <w:ind w:left="6120" w:hanging="360"/>
      </w:pPr>
      <w:rPr>
        <w:rFonts w:ascii="Arial" w:hAnsi="Arial" w:hint="default"/>
      </w:rPr>
    </w:lvl>
  </w:abstractNum>
  <w:abstractNum w:abstractNumId="89" w15:restartNumberingAfterBreak="0">
    <w:nsid w:val="704F53EE"/>
    <w:multiLevelType w:val="hybridMultilevel"/>
    <w:tmpl w:val="59BAC676"/>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0" w15:restartNumberingAfterBreak="0">
    <w:nsid w:val="7124414A"/>
    <w:multiLevelType w:val="multilevel"/>
    <w:tmpl w:val="75B4F080"/>
    <w:lvl w:ilvl="0">
      <w:start w:val="1"/>
      <w:numFmt w:val="decimal"/>
      <w:pStyle w:val="Heading1"/>
      <w:lvlText w:val="%1."/>
      <w:lvlJc w:val="left"/>
      <w:pPr>
        <w:ind w:left="360" w:hanging="360"/>
      </w:pPr>
    </w:lvl>
    <w:lvl w:ilvl="1">
      <w:start w:val="1"/>
      <w:numFmt w:val="decimal"/>
      <w:pStyle w:val="Heading2"/>
      <w:lvlText w:val="%1.%2"/>
      <w:lvlJc w:val="left"/>
      <w:pPr>
        <w:ind w:left="1710" w:hanging="576"/>
      </w:pPr>
    </w:lvl>
    <w:lvl w:ilvl="2">
      <w:start w:val="1"/>
      <w:numFmt w:val="decimal"/>
      <w:pStyle w:val="Heading3"/>
      <w:lvlText w:val="%1.%2.%3"/>
      <w:lvlJc w:val="left"/>
      <w:pPr>
        <w:ind w:left="2706" w:hanging="720"/>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lvlText w:val="%1.%2.%3.%4"/>
      <w:lvlJc w:val="left"/>
      <w:pPr>
        <w:ind w:left="3840" w:hanging="864"/>
      </w:pPr>
    </w:lvl>
    <w:lvl w:ilvl="4">
      <w:start w:val="1"/>
      <w:numFmt w:val="decimal"/>
      <w:pStyle w:val="Heading5"/>
      <w:lvlText w:val="%1.%2.%3.%4.%5"/>
      <w:lvlJc w:val="left"/>
      <w:pPr>
        <w:ind w:left="-2252" w:hanging="1008"/>
      </w:pPr>
    </w:lvl>
    <w:lvl w:ilvl="5">
      <w:start w:val="1"/>
      <w:numFmt w:val="decimal"/>
      <w:pStyle w:val="Heading6"/>
      <w:lvlText w:val="%1.%2.%3.%4.%5.%6"/>
      <w:lvlJc w:val="left"/>
      <w:pPr>
        <w:ind w:left="-2108" w:hanging="1152"/>
      </w:pPr>
    </w:lvl>
    <w:lvl w:ilvl="6">
      <w:start w:val="1"/>
      <w:numFmt w:val="decimal"/>
      <w:pStyle w:val="Heading7"/>
      <w:lvlText w:val="%1.%2.%3.%4.%5.%6.%7"/>
      <w:lvlJc w:val="left"/>
      <w:pPr>
        <w:ind w:left="-1964" w:hanging="1296"/>
      </w:pPr>
    </w:lvl>
    <w:lvl w:ilvl="7">
      <w:start w:val="1"/>
      <w:numFmt w:val="decimal"/>
      <w:pStyle w:val="Heading8"/>
      <w:lvlText w:val="%1.%2.%3.%4.%5.%6.%7.%8"/>
      <w:lvlJc w:val="left"/>
      <w:pPr>
        <w:ind w:left="-1820" w:hanging="1440"/>
      </w:pPr>
    </w:lvl>
    <w:lvl w:ilvl="8">
      <w:start w:val="1"/>
      <w:numFmt w:val="decimal"/>
      <w:pStyle w:val="Heading9"/>
      <w:lvlText w:val="%1.%2.%3.%4.%5.%6.%7.%8.%9"/>
      <w:lvlJc w:val="left"/>
      <w:pPr>
        <w:ind w:left="-1676" w:hanging="1584"/>
      </w:pPr>
    </w:lvl>
  </w:abstractNum>
  <w:abstractNum w:abstractNumId="91" w15:restartNumberingAfterBreak="0">
    <w:nsid w:val="71993F2F"/>
    <w:multiLevelType w:val="hybridMultilevel"/>
    <w:tmpl w:val="709A432A"/>
    <w:lvl w:ilvl="0" w:tplc="08090001">
      <w:start w:val="1"/>
      <w:numFmt w:val="bullet"/>
      <w:lvlText w:val=""/>
      <w:lvlJc w:val="left"/>
      <w:pPr>
        <w:ind w:left="1437" w:hanging="360"/>
      </w:pPr>
      <w:rPr>
        <w:rFonts w:ascii="Symbol" w:hAnsi="Symbol" w:hint="default"/>
      </w:rPr>
    </w:lvl>
    <w:lvl w:ilvl="1" w:tplc="08090003" w:tentative="1">
      <w:start w:val="1"/>
      <w:numFmt w:val="bullet"/>
      <w:lvlText w:val="o"/>
      <w:lvlJc w:val="left"/>
      <w:pPr>
        <w:ind w:left="2157" w:hanging="360"/>
      </w:pPr>
      <w:rPr>
        <w:rFonts w:ascii="Courier New" w:hAnsi="Courier New" w:cs="Courier New" w:hint="default"/>
      </w:rPr>
    </w:lvl>
    <w:lvl w:ilvl="2" w:tplc="08090005" w:tentative="1">
      <w:start w:val="1"/>
      <w:numFmt w:val="bullet"/>
      <w:lvlText w:val=""/>
      <w:lvlJc w:val="left"/>
      <w:pPr>
        <w:ind w:left="2877" w:hanging="360"/>
      </w:pPr>
      <w:rPr>
        <w:rFonts w:ascii="Wingdings" w:hAnsi="Wingdings" w:hint="default"/>
      </w:rPr>
    </w:lvl>
    <w:lvl w:ilvl="3" w:tplc="08090001" w:tentative="1">
      <w:start w:val="1"/>
      <w:numFmt w:val="bullet"/>
      <w:lvlText w:val=""/>
      <w:lvlJc w:val="left"/>
      <w:pPr>
        <w:ind w:left="3597" w:hanging="360"/>
      </w:pPr>
      <w:rPr>
        <w:rFonts w:ascii="Symbol" w:hAnsi="Symbol" w:hint="default"/>
      </w:rPr>
    </w:lvl>
    <w:lvl w:ilvl="4" w:tplc="08090003" w:tentative="1">
      <w:start w:val="1"/>
      <w:numFmt w:val="bullet"/>
      <w:lvlText w:val="o"/>
      <w:lvlJc w:val="left"/>
      <w:pPr>
        <w:ind w:left="4317" w:hanging="360"/>
      </w:pPr>
      <w:rPr>
        <w:rFonts w:ascii="Courier New" w:hAnsi="Courier New" w:cs="Courier New" w:hint="default"/>
      </w:rPr>
    </w:lvl>
    <w:lvl w:ilvl="5" w:tplc="08090005" w:tentative="1">
      <w:start w:val="1"/>
      <w:numFmt w:val="bullet"/>
      <w:lvlText w:val=""/>
      <w:lvlJc w:val="left"/>
      <w:pPr>
        <w:ind w:left="5037" w:hanging="360"/>
      </w:pPr>
      <w:rPr>
        <w:rFonts w:ascii="Wingdings" w:hAnsi="Wingdings" w:hint="default"/>
      </w:rPr>
    </w:lvl>
    <w:lvl w:ilvl="6" w:tplc="08090001" w:tentative="1">
      <w:start w:val="1"/>
      <w:numFmt w:val="bullet"/>
      <w:lvlText w:val=""/>
      <w:lvlJc w:val="left"/>
      <w:pPr>
        <w:ind w:left="5757" w:hanging="360"/>
      </w:pPr>
      <w:rPr>
        <w:rFonts w:ascii="Symbol" w:hAnsi="Symbol" w:hint="default"/>
      </w:rPr>
    </w:lvl>
    <w:lvl w:ilvl="7" w:tplc="08090003" w:tentative="1">
      <w:start w:val="1"/>
      <w:numFmt w:val="bullet"/>
      <w:lvlText w:val="o"/>
      <w:lvlJc w:val="left"/>
      <w:pPr>
        <w:ind w:left="6477" w:hanging="360"/>
      </w:pPr>
      <w:rPr>
        <w:rFonts w:ascii="Courier New" w:hAnsi="Courier New" w:cs="Courier New" w:hint="default"/>
      </w:rPr>
    </w:lvl>
    <w:lvl w:ilvl="8" w:tplc="08090005" w:tentative="1">
      <w:start w:val="1"/>
      <w:numFmt w:val="bullet"/>
      <w:lvlText w:val=""/>
      <w:lvlJc w:val="left"/>
      <w:pPr>
        <w:ind w:left="7197" w:hanging="360"/>
      </w:pPr>
      <w:rPr>
        <w:rFonts w:ascii="Wingdings" w:hAnsi="Wingdings" w:hint="default"/>
      </w:rPr>
    </w:lvl>
  </w:abstractNum>
  <w:abstractNum w:abstractNumId="92" w15:restartNumberingAfterBreak="0">
    <w:nsid w:val="7410492D"/>
    <w:multiLevelType w:val="hybridMultilevel"/>
    <w:tmpl w:val="312E35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3" w15:restartNumberingAfterBreak="0">
    <w:nsid w:val="742F75CE"/>
    <w:multiLevelType w:val="hybridMultilevel"/>
    <w:tmpl w:val="63D2D9CC"/>
    <w:lvl w:ilvl="0" w:tplc="08090001">
      <w:start w:val="1"/>
      <w:numFmt w:val="bullet"/>
      <w:lvlText w:val=""/>
      <w:lvlJc w:val="left"/>
      <w:pPr>
        <w:tabs>
          <w:tab w:val="num" w:pos="360"/>
        </w:tabs>
        <w:ind w:left="360" w:hanging="360"/>
      </w:pPr>
      <w:rPr>
        <w:rFonts w:ascii="Symbol" w:hAnsi="Symbol" w:hint="default"/>
      </w:rPr>
    </w:lvl>
    <w:lvl w:ilvl="1" w:tplc="6220FDE2">
      <w:start w:val="1"/>
      <w:numFmt w:val="bullet"/>
      <w:lvlText w:val="-"/>
      <w:lvlJc w:val="left"/>
      <w:pPr>
        <w:tabs>
          <w:tab w:val="num" w:pos="1080"/>
        </w:tabs>
        <w:ind w:left="1080" w:hanging="360"/>
      </w:pPr>
      <w:rPr>
        <w:rFonts w:ascii="Times New Roman" w:hAnsi="Times New Roman" w:hint="default"/>
      </w:rPr>
    </w:lvl>
    <w:lvl w:ilvl="2" w:tplc="73B8F306">
      <w:start w:val="1"/>
      <w:numFmt w:val="bullet"/>
      <w:lvlText w:val="-"/>
      <w:lvlJc w:val="left"/>
      <w:pPr>
        <w:tabs>
          <w:tab w:val="num" w:pos="1800"/>
        </w:tabs>
        <w:ind w:left="1800" w:hanging="360"/>
      </w:pPr>
      <w:rPr>
        <w:rFonts w:ascii="Times New Roman" w:hAnsi="Times New Roman" w:hint="default"/>
      </w:rPr>
    </w:lvl>
    <w:lvl w:ilvl="3" w:tplc="CF72F9CA" w:tentative="1">
      <w:start w:val="1"/>
      <w:numFmt w:val="bullet"/>
      <w:lvlText w:val="-"/>
      <w:lvlJc w:val="left"/>
      <w:pPr>
        <w:tabs>
          <w:tab w:val="num" w:pos="2520"/>
        </w:tabs>
        <w:ind w:left="2520" w:hanging="360"/>
      </w:pPr>
      <w:rPr>
        <w:rFonts w:ascii="Times New Roman" w:hAnsi="Times New Roman" w:hint="default"/>
      </w:rPr>
    </w:lvl>
    <w:lvl w:ilvl="4" w:tplc="682CB7DC" w:tentative="1">
      <w:start w:val="1"/>
      <w:numFmt w:val="bullet"/>
      <w:lvlText w:val="-"/>
      <w:lvlJc w:val="left"/>
      <w:pPr>
        <w:tabs>
          <w:tab w:val="num" w:pos="3240"/>
        </w:tabs>
        <w:ind w:left="3240" w:hanging="360"/>
      </w:pPr>
      <w:rPr>
        <w:rFonts w:ascii="Times New Roman" w:hAnsi="Times New Roman" w:hint="default"/>
      </w:rPr>
    </w:lvl>
    <w:lvl w:ilvl="5" w:tplc="076ACADC" w:tentative="1">
      <w:start w:val="1"/>
      <w:numFmt w:val="bullet"/>
      <w:lvlText w:val="-"/>
      <w:lvlJc w:val="left"/>
      <w:pPr>
        <w:tabs>
          <w:tab w:val="num" w:pos="3960"/>
        </w:tabs>
        <w:ind w:left="3960" w:hanging="360"/>
      </w:pPr>
      <w:rPr>
        <w:rFonts w:ascii="Times New Roman" w:hAnsi="Times New Roman" w:hint="default"/>
      </w:rPr>
    </w:lvl>
    <w:lvl w:ilvl="6" w:tplc="F9D85C90" w:tentative="1">
      <w:start w:val="1"/>
      <w:numFmt w:val="bullet"/>
      <w:lvlText w:val="-"/>
      <w:lvlJc w:val="left"/>
      <w:pPr>
        <w:tabs>
          <w:tab w:val="num" w:pos="4680"/>
        </w:tabs>
        <w:ind w:left="4680" w:hanging="360"/>
      </w:pPr>
      <w:rPr>
        <w:rFonts w:ascii="Times New Roman" w:hAnsi="Times New Roman" w:hint="default"/>
      </w:rPr>
    </w:lvl>
    <w:lvl w:ilvl="7" w:tplc="843A0A50" w:tentative="1">
      <w:start w:val="1"/>
      <w:numFmt w:val="bullet"/>
      <w:lvlText w:val="-"/>
      <w:lvlJc w:val="left"/>
      <w:pPr>
        <w:tabs>
          <w:tab w:val="num" w:pos="5400"/>
        </w:tabs>
        <w:ind w:left="5400" w:hanging="360"/>
      </w:pPr>
      <w:rPr>
        <w:rFonts w:ascii="Times New Roman" w:hAnsi="Times New Roman" w:hint="default"/>
      </w:rPr>
    </w:lvl>
    <w:lvl w:ilvl="8" w:tplc="DFD23EBA" w:tentative="1">
      <w:start w:val="1"/>
      <w:numFmt w:val="bullet"/>
      <w:lvlText w:val="-"/>
      <w:lvlJc w:val="left"/>
      <w:pPr>
        <w:tabs>
          <w:tab w:val="num" w:pos="6120"/>
        </w:tabs>
        <w:ind w:left="6120" w:hanging="360"/>
      </w:pPr>
      <w:rPr>
        <w:rFonts w:ascii="Times New Roman" w:hAnsi="Times New Roman" w:hint="default"/>
      </w:rPr>
    </w:lvl>
  </w:abstractNum>
  <w:abstractNum w:abstractNumId="94" w15:restartNumberingAfterBreak="0">
    <w:nsid w:val="7496636B"/>
    <w:multiLevelType w:val="hybridMultilevel"/>
    <w:tmpl w:val="76BC9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5" w15:restartNumberingAfterBreak="0">
    <w:nsid w:val="74DA21A4"/>
    <w:multiLevelType w:val="hybridMultilevel"/>
    <w:tmpl w:val="815076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6" w15:restartNumberingAfterBreak="0">
    <w:nsid w:val="75476E0B"/>
    <w:multiLevelType w:val="hybridMultilevel"/>
    <w:tmpl w:val="FC78227A"/>
    <w:lvl w:ilvl="0" w:tplc="7294306C">
      <w:start w:val="1"/>
      <w:numFmt w:val="bullet"/>
      <w:pStyle w:val="NormalBulletIndent"/>
      <w:lvlText w:val="o"/>
      <w:lvlJc w:val="left"/>
      <w:pPr>
        <w:ind w:left="1077" w:hanging="360"/>
      </w:pPr>
      <w:rPr>
        <w:rFonts w:ascii="Courier New" w:hAnsi="Courier New" w:cs="Courier New" w:hint="default"/>
      </w:rPr>
    </w:lvl>
    <w:lvl w:ilvl="1" w:tplc="08090003">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97" w15:restartNumberingAfterBreak="0">
    <w:nsid w:val="7875625D"/>
    <w:multiLevelType w:val="hybridMultilevel"/>
    <w:tmpl w:val="A4421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8" w15:restartNumberingAfterBreak="0">
    <w:nsid w:val="7B1411B3"/>
    <w:multiLevelType w:val="hybridMultilevel"/>
    <w:tmpl w:val="44FAA1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9" w15:restartNumberingAfterBreak="0">
    <w:nsid w:val="7D4D4A79"/>
    <w:multiLevelType w:val="hybridMultilevel"/>
    <w:tmpl w:val="9606E58A"/>
    <w:lvl w:ilvl="0" w:tplc="08090001">
      <w:start w:val="1"/>
      <w:numFmt w:val="bullet"/>
      <w:lvlText w:val=""/>
      <w:lvlJc w:val="left"/>
      <w:pPr>
        <w:tabs>
          <w:tab w:val="num" w:pos="720"/>
        </w:tabs>
        <w:ind w:left="720" w:hanging="360"/>
      </w:pPr>
      <w:rPr>
        <w:rFonts w:ascii="Symbol" w:hAnsi="Symbol" w:hint="default"/>
      </w:rPr>
    </w:lvl>
    <w:lvl w:ilvl="1" w:tplc="2E001B1C" w:tentative="1">
      <w:start w:val="1"/>
      <w:numFmt w:val="bullet"/>
      <w:lvlText w:val="•"/>
      <w:lvlJc w:val="left"/>
      <w:pPr>
        <w:tabs>
          <w:tab w:val="num" w:pos="1440"/>
        </w:tabs>
        <w:ind w:left="1440" w:hanging="360"/>
      </w:pPr>
      <w:rPr>
        <w:rFonts w:ascii="Arial" w:hAnsi="Arial" w:hint="default"/>
      </w:rPr>
    </w:lvl>
    <w:lvl w:ilvl="2" w:tplc="3F8A0972" w:tentative="1">
      <w:start w:val="1"/>
      <w:numFmt w:val="bullet"/>
      <w:lvlText w:val="•"/>
      <w:lvlJc w:val="left"/>
      <w:pPr>
        <w:tabs>
          <w:tab w:val="num" w:pos="2160"/>
        </w:tabs>
        <w:ind w:left="2160" w:hanging="360"/>
      </w:pPr>
      <w:rPr>
        <w:rFonts w:ascii="Arial" w:hAnsi="Arial" w:hint="default"/>
      </w:rPr>
    </w:lvl>
    <w:lvl w:ilvl="3" w:tplc="AED6FA26" w:tentative="1">
      <w:start w:val="1"/>
      <w:numFmt w:val="bullet"/>
      <w:lvlText w:val="•"/>
      <w:lvlJc w:val="left"/>
      <w:pPr>
        <w:tabs>
          <w:tab w:val="num" w:pos="2880"/>
        </w:tabs>
        <w:ind w:left="2880" w:hanging="360"/>
      </w:pPr>
      <w:rPr>
        <w:rFonts w:ascii="Arial" w:hAnsi="Arial" w:hint="default"/>
      </w:rPr>
    </w:lvl>
    <w:lvl w:ilvl="4" w:tplc="21C25616" w:tentative="1">
      <w:start w:val="1"/>
      <w:numFmt w:val="bullet"/>
      <w:lvlText w:val="•"/>
      <w:lvlJc w:val="left"/>
      <w:pPr>
        <w:tabs>
          <w:tab w:val="num" w:pos="3600"/>
        </w:tabs>
        <w:ind w:left="3600" w:hanging="360"/>
      </w:pPr>
      <w:rPr>
        <w:rFonts w:ascii="Arial" w:hAnsi="Arial" w:hint="default"/>
      </w:rPr>
    </w:lvl>
    <w:lvl w:ilvl="5" w:tplc="E36EB25C" w:tentative="1">
      <w:start w:val="1"/>
      <w:numFmt w:val="bullet"/>
      <w:lvlText w:val="•"/>
      <w:lvlJc w:val="left"/>
      <w:pPr>
        <w:tabs>
          <w:tab w:val="num" w:pos="4320"/>
        </w:tabs>
        <w:ind w:left="4320" w:hanging="360"/>
      </w:pPr>
      <w:rPr>
        <w:rFonts w:ascii="Arial" w:hAnsi="Arial" w:hint="default"/>
      </w:rPr>
    </w:lvl>
    <w:lvl w:ilvl="6" w:tplc="1A7C4AFC" w:tentative="1">
      <w:start w:val="1"/>
      <w:numFmt w:val="bullet"/>
      <w:lvlText w:val="•"/>
      <w:lvlJc w:val="left"/>
      <w:pPr>
        <w:tabs>
          <w:tab w:val="num" w:pos="5040"/>
        </w:tabs>
        <w:ind w:left="5040" w:hanging="360"/>
      </w:pPr>
      <w:rPr>
        <w:rFonts w:ascii="Arial" w:hAnsi="Arial" w:hint="default"/>
      </w:rPr>
    </w:lvl>
    <w:lvl w:ilvl="7" w:tplc="F934C93E" w:tentative="1">
      <w:start w:val="1"/>
      <w:numFmt w:val="bullet"/>
      <w:lvlText w:val="•"/>
      <w:lvlJc w:val="left"/>
      <w:pPr>
        <w:tabs>
          <w:tab w:val="num" w:pos="5760"/>
        </w:tabs>
        <w:ind w:left="5760" w:hanging="360"/>
      </w:pPr>
      <w:rPr>
        <w:rFonts w:ascii="Arial" w:hAnsi="Arial" w:hint="default"/>
      </w:rPr>
    </w:lvl>
    <w:lvl w:ilvl="8" w:tplc="E954FAE2" w:tentative="1">
      <w:start w:val="1"/>
      <w:numFmt w:val="bullet"/>
      <w:lvlText w:val="•"/>
      <w:lvlJc w:val="left"/>
      <w:pPr>
        <w:tabs>
          <w:tab w:val="num" w:pos="6480"/>
        </w:tabs>
        <w:ind w:left="6480" w:hanging="360"/>
      </w:pPr>
      <w:rPr>
        <w:rFonts w:ascii="Arial" w:hAnsi="Arial" w:hint="default"/>
      </w:rPr>
    </w:lvl>
  </w:abstractNum>
  <w:num w:numId="1">
    <w:abstractNumId w:val="16"/>
  </w:num>
  <w:num w:numId="2">
    <w:abstractNumId w:val="90"/>
  </w:num>
  <w:num w:numId="3">
    <w:abstractNumId w:val="34"/>
  </w:num>
  <w:num w:numId="4">
    <w:abstractNumId w:val="58"/>
  </w:num>
  <w:num w:numId="5">
    <w:abstractNumId w:val="3"/>
  </w:num>
  <w:num w:numId="6">
    <w:abstractNumId w:val="2"/>
  </w:num>
  <w:num w:numId="7">
    <w:abstractNumId w:val="83"/>
  </w:num>
  <w:num w:numId="8">
    <w:abstractNumId w:val="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6"/>
  </w:num>
  <w:num w:numId="10">
    <w:abstractNumId w:val="22"/>
  </w:num>
  <w:num w:numId="11">
    <w:abstractNumId w:val="44"/>
  </w:num>
  <w:num w:numId="12">
    <w:abstractNumId w:val="63"/>
  </w:num>
  <w:num w:numId="13">
    <w:abstractNumId w:val="66"/>
  </w:num>
  <w:num w:numId="14">
    <w:abstractNumId w:val="14"/>
  </w:num>
  <w:num w:numId="15">
    <w:abstractNumId w:val="5"/>
  </w:num>
  <w:num w:numId="16">
    <w:abstractNumId w:val="12"/>
  </w:num>
  <w:num w:numId="17">
    <w:abstractNumId w:val="75"/>
  </w:num>
  <w:num w:numId="18">
    <w:abstractNumId w:val="73"/>
  </w:num>
  <w:num w:numId="19">
    <w:abstractNumId w:val="41"/>
  </w:num>
  <w:num w:numId="20">
    <w:abstractNumId w:val="74"/>
  </w:num>
  <w:num w:numId="21">
    <w:abstractNumId w:val="64"/>
  </w:num>
  <w:num w:numId="22">
    <w:abstractNumId w:val="48"/>
  </w:num>
  <w:num w:numId="23">
    <w:abstractNumId w:val="56"/>
  </w:num>
  <w:num w:numId="24">
    <w:abstractNumId w:val="78"/>
  </w:num>
  <w:num w:numId="25">
    <w:abstractNumId w:val="21"/>
  </w:num>
  <w:num w:numId="26">
    <w:abstractNumId w:val="65"/>
  </w:num>
  <w:num w:numId="27">
    <w:abstractNumId w:val="52"/>
  </w:num>
  <w:num w:numId="28">
    <w:abstractNumId w:val="94"/>
  </w:num>
  <w:num w:numId="29">
    <w:abstractNumId w:val="20"/>
  </w:num>
  <w:num w:numId="30">
    <w:abstractNumId w:val="7"/>
  </w:num>
  <w:num w:numId="31">
    <w:abstractNumId w:val="8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98"/>
  </w:num>
  <w:num w:numId="33">
    <w:abstractNumId w:val="19"/>
  </w:num>
  <w:num w:numId="34">
    <w:abstractNumId w:val="85"/>
  </w:num>
  <w:num w:numId="35">
    <w:abstractNumId w:val="99"/>
  </w:num>
  <w:num w:numId="36">
    <w:abstractNumId w:val="60"/>
  </w:num>
  <w:num w:numId="37">
    <w:abstractNumId w:val="68"/>
  </w:num>
  <w:num w:numId="38">
    <w:abstractNumId w:val="50"/>
  </w:num>
  <w:num w:numId="39">
    <w:abstractNumId w:val="36"/>
  </w:num>
  <w:num w:numId="40">
    <w:abstractNumId w:val="18"/>
  </w:num>
  <w:num w:numId="41">
    <w:abstractNumId w:val="80"/>
  </w:num>
  <w:num w:numId="42">
    <w:abstractNumId w:val="47"/>
  </w:num>
  <w:num w:numId="43">
    <w:abstractNumId w:val="69"/>
  </w:num>
  <w:num w:numId="44">
    <w:abstractNumId w:val="91"/>
  </w:num>
  <w:num w:numId="45">
    <w:abstractNumId w:val="71"/>
  </w:num>
  <w:num w:numId="46">
    <w:abstractNumId w:val="17"/>
  </w:num>
  <w:num w:numId="47">
    <w:abstractNumId w:val="72"/>
  </w:num>
  <w:num w:numId="48">
    <w:abstractNumId w:val="29"/>
  </w:num>
  <w:num w:numId="49">
    <w:abstractNumId w:val="46"/>
  </w:num>
  <w:num w:numId="50">
    <w:abstractNumId w:val="37"/>
  </w:num>
  <w:num w:numId="51">
    <w:abstractNumId w:val="77"/>
  </w:num>
  <w:num w:numId="52">
    <w:abstractNumId w:val="31"/>
  </w:num>
  <w:num w:numId="53">
    <w:abstractNumId w:val="89"/>
  </w:num>
  <w:num w:numId="54">
    <w:abstractNumId w:val="45"/>
  </w:num>
  <w:num w:numId="55">
    <w:abstractNumId w:val="53"/>
  </w:num>
  <w:num w:numId="56">
    <w:abstractNumId w:val="67"/>
  </w:num>
  <w:num w:numId="57">
    <w:abstractNumId w:val="42"/>
  </w:num>
  <w:num w:numId="58">
    <w:abstractNumId w:val="54"/>
  </w:num>
  <w:num w:numId="59">
    <w:abstractNumId w:val="82"/>
  </w:num>
  <w:num w:numId="60">
    <w:abstractNumId w:val="28"/>
  </w:num>
  <w:num w:numId="61">
    <w:abstractNumId w:val="15"/>
  </w:num>
  <w:num w:numId="62">
    <w:abstractNumId w:val="81"/>
  </w:num>
  <w:num w:numId="63">
    <w:abstractNumId w:val="11"/>
  </w:num>
  <w:num w:numId="64">
    <w:abstractNumId w:val="79"/>
  </w:num>
  <w:num w:numId="65">
    <w:abstractNumId w:val="59"/>
  </w:num>
  <w:num w:numId="66">
    <w:abstractNumId w:val="49"/>
  </w:num>
  <w:num w:numId="67">
    <w:abstractNumId w:val="61"/>
  </w:num>
  <w:num w:numId="68">
    <w:abstractNumId w:val="40"/>
  </w:num>
  <w:num w:numId="69">
    <w:abstractNumId w:val="6"/>
  </w:num>
  <w:num w:numId="70">
    <w:abstractNumId w:val="92"/>
  </w:num>
  <w:num w:numId="71">
    <w:abstractNumId w:val="26"/>
  </w:num>
  <w:num w:numId="72">
    <w:abstractNumId w:val="32"/>
  </w:num>
  <w:num w:numId="73">
    <w:abstractNumId w:val="1"/>
  </w:num>
  <w:num w:numId="74">
    <w:abstractNumId w:val="9"/>
  </w:num>
  <w:num w:numId="75">
    <w:abstractNumId w:val="25"/>
  </w:num>
  <w:num w:numId="76">
    <w:abstractNumId w:val="35"/>
  </w:num>
  <w:num w:numId="77">
    <w:abstractNumId w:val="8"/>
  </w:num>
  <w:num w:numId="78">
    <w:abstractNumId w:val="39"/>
  </w:num>
  <w:num w:numId="79">
    <w:abstractNumId w:val="27"/>
  </w:num>
  <w:num w:numId="80">
    <w:abstractNumId w:val="84"/>
  </w:num>
  <w:num w:numId="81">
    <w:abstractNumId w:val="62"/>
  </w:num>
  <w:num w:numId="82">
    <w:abstractNumId w:val="55"/>
  </w:num>
  <w:num w:numId="83">
    <w:abstractNumId w:val="87"/>
  </w:num>
  <w:num w:numId="84">
    <w:abstractNumId w:val="10"/>
  </w:num>
  <w:num w:numId="85">
    <w:abstractNumId w:val="70"/>
  </w:num>
  <w:num w:numId="86">
    <w:abstractNumId w:val="38"/>
  </w:num>
  <w:num w:numId="87">
    <w:abstractNumId w:val="93"/>
  </w:num>
  <w:num w:numId="88">
    <w:abstractNumId w:val="4"/>
  </w:num>
  <w:num w:numId="89">
    <w:abstractNumId w:val="24"/>
  </w:num>
  <w:num w:numId="90">
    <w:abstractNumId w:val="23"/>
  </w:num>
  <w:num w:numId="91">
    <w:abstractNumId w:val="13"/>
  </w:num>
  <w:num w:numId="92">
    <w:abstractNumId w:val="97"/>
  </w:num>
  <w:num w:numId="93">
    <w:abstractNumId w:val="51"/>
  </w:num>
  <w:num w:numId="94">
    <w:abstractNumId w:val="30"/>
  </w:num>
  <w:num w:numId="95">
    <w:abstractNumId w:val="86"/>
  </w:num>
  <w:num w:numId="96">
    <w:abstractNumId w:val="33"/>
  </w:num>
  <w:num w:numId="97">
    <w:abstractNumId w:val="43"/>
  </w:num>
  <w:num w:numId="98">
    <w:abstractNumId w:val="88"/>
  </w:num>
  <w:num w:numId="99">
    <w:abstractNumId w:val="95"/>
  </w:num>
  <w:num w:numId="100">
    <w:abstractNumId w:val="57"/>
  </w:num>
  <w:num w:numId="101">
    <w:abstractNumId w:val="76"/>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removePersonalInformation/>
  <w:removeDateAndTime/>
  <w:displayBackgroundShape/>
  <w:embedSystemFonts/>
  <w:activeWritingStyle w:appName="MSWord" w:lang="en-GB" w:vendorID="64" w:dllVersion="131078" w:nlCheck="1" w:checkStyle="1"/>
  <w:activeWritingStyle w:appName="MSWord" w:lang="en-US" w:vendorID="64" w:dllVersion="131078" w:nlCheck="1" w:checkStyle="1"/>
  <w:activeWritingStyle w:appName="MSWord" w:lang="en-AU" w:vendorID="64" w:dllVersion="131078" w:nlCheck="1" w:checkStyle="1"/>
  <w:activeWritingStyle w:appName="MSWord" w:lang="en-NZ" w:vendorID="64" w:dllVersion="131078" w:nlCheck="1" w:checkStyle="1"/>
  <w:proofState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characterSpacingControl w:val="doNotCompress"/>
  <w:hdrShapeDefaults>
    <o:shapedefaults v:ext="edit" spidmax="266250" style="mso-width-relative:margin;mso-height-relative:margin" fillcolor="white">
      <v:fill color="white"/>
      <o:colormru v:ext="edit" colors="#666"/>
    </o:shapedefaults>
    <o:shapelayout v:ext="edit">
      <o:idmap v:ext="edit" data="260"/>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39C1"/>
    <w:rsid w:val="000002D6"/>
    <w:rsid w:val="0000042A"/>
    <w:rsid w:val="000005CD"/>
    <w:rsid w:val="00000AA5"/>
    <w:rsid w:val="00001154"/>
    <w:rsid w:val="0000194C"/>
    <w:rsid w:val="00001ACF"/>
    <w:rsid w:val="00002CD9"/>
    <w:rsid w:val="00003053"/>
    <w:rsid w:val="000030BC"/>
    <w:rsid w:val="000038A5"/>
    <w:rsid w:val="00003A7C"/>
    <w:rsid w:val="00003B54"/>
    <w:rsid w:val="00003C40"/>
    <w:rsid w:val="00004028"/>
    <w:rsid w:val="00004859"/>
    <w:rsid w:val="00005692"/>
    <w:rsid w:val="00005743"/>
    <w:rsid w:val="0000583D"/>
    <w:rsid w:val="00005CD7"/>
    <w:rsid w:val="00006050"/>
    <w:rsid w:val="0000674D"/>
    <w:rsid w:val="00006AC1"/>
    <w:rsid w:val="00006CBF"/>
    <w:rsid w:val="000071CB"/>
    <w:rsid w:val="00007384"/>
    <w:rsid w:val="00007ED7"/>
    <w:rsid w:val="00010120"/>
    <w:rsid w:val="00010376"/>
    <w:rsid w:val="00010A5D"/>
    <w:rsid w:val="0001144A"/>
    <w:rsid w:val="00011693"/>
    <w:rsid w:val="00011CAF"/>
    <w:rsid w:val="00011D96"/>
    <w:rsid w:val="000125C8"/>
    <w:rsid w:val="00012E22"/>
    <w:rsid w:val="00012F64"/>
    <w:rsid w:val="00012F69"/>
    <w:rsid w:val="0001300B"/>
    <w:rsid w:val="00013586"/>
    <w:rsid w:val="0001375D"/>
    <w:rsid w:val="00013A84"/>
    <w:rsid w:val="00013B9C"/>
    <w:rsid w:val="00013E0B"/>
    <w:rsid w:val="00013E57"/>
    <w:rsid w:val="00013E5D"/>
    <w:rsid w:val="00014052"/>
    <w:rsid w:val="00014377"/>
    <w:rsid w:val="000143DC"/>
    <w:rsid w:val="00014A14"/>
    <w:rsid w:val="00014B53"/>
    <w:rsid w:val="00014BED"/>
    <w:rsid w:val="00014FD5"/>
    <w:rsid w:val="00015066"/>
    <w:rsid w:val="0001527D"/>
    <w:rsid w:val="00015518"/>
    <w:rsid w:val="000156BB"/>
    <w:rsid w:val="000156DC"/>
    <w:rsid w:val="000156E7"/>
    <w:rsid w:val="000158D5"/>
    <w:rsid w:val="00015AB6"/>
    <w:rsid w:val="00015BDF"/>
    <w:rsid w:val="000162BE"/>
    <w:rsid w:val="0001660C"/>
    <w:rsid w:val="00016B8D"/>
    <w:rsid w:val="000173A0"/>
    <w:rsid w:val="000173FA"/>
    <w:rsid w:val="0002036B"/>
    <w:rsid w:val="00020A22"/>
    <w:rsid w:val="00020B1E"/>
    <w:rsid w:val="00020B98"/>
    <w:rsid w:val="00020F9F"/>
    <w:rsid w:val="000215F0"/>
    <w:rsid w:val="00021BF2"/>
    <w:rsid w:val="00021DE7"/>
    <w:rsid w:val="00022494"/>
    <w:rsid w:val="000227C6"/>
    <w:rsid w:val="00022B3B"/>
    <w:rsid w:val="00023181"/>
    <w:rsid w:val="000235E5"/>
    <w:rsid w:val="00023698"/>
    <w:rsid w:val="00023891"/>
    <w:rsid w:val="000239A3"/>
    <w:rsid w:val="00024036"/>
    <w:rsid w:val="00024326"/>
    <w:rsid w:val="00024385"/>
    <w:rsid w:val="00025025"/>
    <w:rsid w:val="00025212"/>
    <w:rsid w:val="00025478"/>
    <w:rsid w:val="000254A6"/>
    <w:rsid w:val="0002638E"/>
    <w:rsid w:val="000263F3"/>
    <w:rsid w:val="000266DB"/>
    <w:rsid w:val="00026B7C"/>
    <w:rsid w:val="0002728C"/>
    <w:rsid w:val="00027BB0"/>
    <w:rsid w:val="0003049D"/>
    <w:rsid w:val="00030FE1"/>
    <w:rsid w:val="00032AC9"/>
    <w:rsid w:val="00032C46"/>
    <w:rsid w:val="00032D87"/>
    <w:rsid w:val="0003378A"/>
    <w:rsid w:val="00033955"/>
    <w:rsid w:val="00033D01"/>
    <w:rsid w:val="00033F04"/>
    <w:rsid w:val="00034229"/>
    <w:rsid w:val="00034837"/>
    <w:rsid w:val="00034E76"/>
    <w:rsid w:val="000350A2"/>
    <w:rsid w:val="0003537B"/>
    <w:rsid w:val="00035C04"/>
    <w:rsid w:val="00036DFF"/>
    <w:rsid w:val="000374A8"/>
    <w:rsid w:val="00037C32"/>
    <w:rsid w:val="000401C8"/>
    <w:rsid w:val="0004068A"/>
    <w:rsid w:val="00040879"/>
    <w:rsid w:val="000411B2"/>
    <w:rsid w:val="0004123B"/>
    <w:rsid w:val="00041326"/>
    <w:rsid w:val="00041349"/>
    <w:rsid w:val="00041F05"/>
    <w:rsid w:val="00041F36"/>
    <w:rsid w:val="00042110"/>
    <w:rsid w:val="0004217A"/>
    <w:rsid w:val="00042295"/>
    <w:rsid w:val="00042765"/>
    <w:rsid w:val="00042987"/>
    <w:rsid w:val="00042A6D"/>
    <w:rsid w:val="00043018"/>
    <w:rsid w:val="000437C5"/>
    <w:rsid w:val="00043A53"/>
    <w:rsid w:val="00043BCF"/>
    <w:rsid w:val="00043E68"/>
    <w:rsid w:val="00043E7B"/>
    <w:rsid w:val="00044024"/>
    <w:rsid w:val="000440D2"/>
    <w:rsid w:val="000445CB"/>
    <w:rsid w:val="00044A6B"/>
    <w:rsid w:val="00044C98"/>
    <w:rsid w:val="000453DE"/>
    <w:rsid w:val="00045483"/>
    <w:rsid w:val="00045A90"/>
    <w:rsid w:val="00046212"/>
    <w:rsid w:val="00046239"/>
    <w:rsid w:val="00046645"/>
    <w:rsid w:val="00046722"/>
    <w:rsid w:val="00046D7B"/>
    <w:rsid w:val="00047003"/>
    <w:rsid w:val="00047241"/>
    <w:rsid w:val="00047506"/>
    <w:rsid w:val="0004759E"/>
    <w:rsid w:val="000478F2"/>
    <w:rsid w:val="00047D3A"/>
    <w:rsid w:val="000501CB"/>
    <w:rsid w:val="0005085C"/>
    <w:rsid w:val="000508A2"/>
    <w:rsid w:val="00050C3F"/>
    <w:rsid w:val="000512A5"/>
    <w:rsid w:val="00051FC0"/>
    <w:rsid w:val="000523A5"/>
    <w:rsid w:val="00052706"/>
    <w:rsid w:val="00053299"/>
    <w:rsid w:val="0005377B"/>
    <w:rsid w:val="00053D99"/>
    <w:rsid w:val="0005409A"/>
    <w:rsid w:val="0005413A"/>
    <w:rsid w:val="000545C7"/>
    <w:rsid w:val="000547D3"/>
    <w:rsid w:val="00054AD0"/>
    <w:rsid w:val="00054CB6"/>
    <w:rsid w:val="000553F8"/>
    <w:rsid w:val="00055407"/>
    <w:rsid w:val="000554F6"/>
    <w:rsid w:val="00055790"/>
    <w:rsid w:val="00055AEB"/>
    <w:rsid w:val="00055BBD"/>
    <w:rsid w:val="00055C9F"/>
    <w:rsid w:val="00055F58"/>
    <w:rsid w:val="000560E7"/>
    <w:rsid w:val="000561FB"/>
    <w:rsid w:val="00056210"/>
    <w:rsid w:val="000563D1"/>
    <w:rsid w:val="0005692A"/>
    <w:rsid w:val="0005755F"/>
    <w:rsid w:val="000579CA"/>
    <w:rsid w:val="00060224"/>
    <w:rsid w:val="00060252"/>
    <w:rsid w:val="000605E1"/>
    <w:rsid w:val="00061FF7"/>
    <w:rsid w:val="00062112"/>
    <w:rsid w:val="00062226"/>
    <w:rsid w:val="000624D2"/>
    <w:rsid w:val="0006267A"/>
    <w:rsid w:val="00062B2D"/>
    <w:rsid w:val="000632B1"/>
    <w:rsid w:val="000633BA"/>
    <w:rsid w:val="00063D96"/>
    <w:rsid w:val="00064101"/>
    <w:rsid w:val="00064195"/>
    <w:rsid w:val="000642A7"/>
    <w:rsid w:val="00064505"/>
    <w:rsid w:val="000654E4"/>
    <w:rsid w:val="00065623"/>
    <w:rsid w:val="00065658"/>
    <w:rsid w:val="00065C37"/>
    <w:rsid w:val="0006603A"/>
    <w:rsid w:val="00066608"/>
    <w:rsid w:val="000666B4"/>
    <w:rsid w:val="0006687C"/>
    <w:rsid w:val="00066E6F"/>
    <w:rsid w:val="00067C17"/>
    <w:rsid w:val="00070016"/>
    <w:rsid w:val="000704D0"/>
    <w:rsid w:val="00070579"/>
    <w:rsid w:val="00070DA0"/>
    <w:rsid w:val="00071631"/>
    <w:rsid w:val="00071A58"/>
    <w:rsid w:val="00071B72"/>
    <w:rsid w:val="00071FD6"/>
    <w:rsid w:val="000729E2"/>
    <w:rsid w:val="00072C2A"/>
    <w:rsid w:val="00072E91"/>
    <w:rsid w:val="00072ED1"/>
    <w:rsid w:val="00072F15"/>
    <w:rsid w:val="00072FF6"/>
    <w:rsid w:val="00073537"/>
    <w:rsid w:val="00073709"/>
    <w:rsid w:val="000739C1"/>
    <w:rsid w:val="000739DC"/>
    <w:rsid w:val="00073A84"/>
    <w:rsid w:val="00074CEA"/>
    <w:rsid w:val="000751CF"/>
    <w:rsid w:val="000751F8"/>
    <w:rsid w:val="000755C1"/>
    <w:rsid w:val="00075695"/>
    <w:rsid w:val="00076068"/>
    <w:rsid w:val="000760FE"/>
    <w:rsid w:val="00076389"/>
    <w:rsid w:val="000765C2"/>
    <w:rsid w:val="000765E0"/>
    <w:rsid w:val="00076853"/>
    <w:rsid w:val="00076B29"/>
    <w:rsid w:val="00076D0E"/>
    <w:rsid w:val="00077186"/>
    <w:rsid w:val="00077B79"/>
    <w:rsid w:val="0008066E"/>
    <w:rsid w:val="0008085A"/>
    <w:rsid w:val="00080933"/>
    <w:rsid w:val="00080AD4"/>
    <w:rsid w:val="00080F22"/>
    <w:rsid w:val="00081017"/>
    <w:rsid w:val="000813B8"/>
    <w:rsid w:val="0008229D"/>
    <w:rsid w:val="00082356"/>
    <w:rsid w:val="000823D3"/>
    <w:rsid w:val="000828B0"/>
    <w:rsid w:val="00082CC4"/>
    <w:rsid w:val="00082D65"/>
    <w:rsid w:val="00082DF7"/>
    <w:rsid w:val="00083DE4"/>
    <w:rsid w:val="00083EC1"/>
    <w:rsid w:val="00083FB5"/>
    <w:rsid w:val="00084098"/>
    <w:rsid w:val="00084911"/>
    <w:rsid w:val="00085787"/>
    <w:rsid w:val="00085A2F"/>
    <w:rsid w:val="00085AFB"/>
    <w:rsid w:val="00085DF5"/>
    <w:rsid w:val="0008607F"/>
    <w:rsid w:val="000865B0"/>
    <w:rsid w:val="00086AFD"/>
    <w:rsid w:val="00086FCC"/>
    <w:rsid w:val="00087122"/>
    <w:rsid w:val="0008724F"/>
    <w:rsid w:val="000876FD"/>
    <w:rsid w:val="00087D7C"/>
    <w:rsid w:val="0009007E"/>
    <w:rsid w:val="000907A8"/>
    <w:rsid w:val="00090997"/>
    <w:rsid w:val="00090A41"/>
    <w:rsid w:val="00090C87"/>
    <w:rsid w:val="00090E12"/>
    <w:rsid w:val="00090F46"/>
    <w:rsid w:val="00090FA8"/>
    <w:rsid w:val="00091261"/>
    <w:rsid w:val="00091549"/>
    <w:rsid w:val="00091677"/>
    <w:rsid w:val="000916BD"/>
    <w:rsid w:val="00091959"/>
    <w:rsid w:val="000919A5"/>
    <w:rsid w:val="00091DB0"/>
    <w:rsid w:val="000920FB"/>
    <w:rsid w:val="0009210D"/>
    <w:rsid w:val="00093150"/>
    <w:rsid w:val="00093740"/>
    <w:rsid w:val="00093931"/>
    <w:rsid w:val="00093D73"/>
    <w:rsid w:val="00094467"/>
    <w:rsid w:val="00094A8E"/>
    <w:rsid w:val="00094B45"/>
    <w:rsid w:val="00094D87"/>
    <w:rsid w:val="00094F5D"/>
    <w:rsid w:val="000954E3"/>
    <w:rsid w:val="0009553A"/>
    <w:rsid w:val="000956B2"/>
    <w:rsid w:val="00095939"/>
    <w:rsid w:val="00095C9B"/>
    <w:rsid w:val="00095F39"/>
    <w:rsid w:val="000960F9"/>
    <w:rsid w:val="00096477"/>
    <w:rsid w:val="00096624"/>
    <w:rsid w:val="000967E2"/>
    <w:rsid w:val="000967F0"/>
    <w:rsid w:val="00097AAF"/>
    <w:rsid w:val="00097F1C"/>
    <w:rsid w:val="000A0E10"/>
    <w:rsid w:val="000A1341"/>
    <w:rsid w:val="000A1371"/>
    <w:rsid w:val="000A13AC"/>
    <w:rsid w:val="000A1B13"/>
    <w:rsid w:val="000A1FE0"/>
    <w:rsid w:val="000A1FE8"/>
    <w:rsid w:val="000A2DC8"/>
    <w:rsid w:val="000A3510"/>
    <w:rsid w:val="000A355C"/>
    <w:rsid w:val="000A3671"/>
    <w:rsid w:val="000A3A32"/>
    <w:rsid w:val="000A3C79"/>
    <w:rsid w:val="000A4073"/>
    <w:rsid w:val="000A4165"/>
    <w:rsid w:val="000A498C"/>
    <w:rsid w:val="000A4DA5"/>
    <w:rsid w:val="000A52E4"/>
    <w:rsid w:val="000A5C00"/>
    <w:rsid w:val="000A5CAF"/>
    <w:rsid w:val="000A68C0"/>
    <w:rsid w:val="000A6BC0"/>
    <w:rsid w:val="000A6EA4"/>
    <w:rsid w:val="000A7199"/>
    <w:rsid w:val="000A733A"/>
    <w:rsid w:val="000A757E"/>
    <w:rsid w:val="000A77E0"/>
    <w:rsid w:val="000A7800"/>
    <w:rsid w:val="000A79EC"/>
    <w:rsid w:val="000A7BA4"/>
    <w:rsid w:val="000A7DA4"/>
    <w:rsid w:val="000A7E13"/>
    <w:rsid w:val="000B0008"/>
    <w:rsid w:val="000B0923"/>
    <w:rsid w:val="000B0CF6"/>
    <w:rsid w:val="000B1460"/>
    <w:rsid w:val="000B15A3"/>
    <w:rsid w:val="000B16BF"/>
    <w:rsid w:val="000B1732"/>
    <w:rsid w:val="000B1E2C"/>
    <w:rsid w:val="000B1FFB"/>
    <w:rsid w:val="000B201E"/>
    <w:rsid w:val="000B2146"/>
    <w:rsid w:val="000B21B2"/>
    <w:rsid w:val="000B2611"/>
    <w:rsid w:val="000B2B80"/>
    <w:rsid w:val="000B3134"/>
    <w:rsid w:val="000B3253"/>
    <w:rsid w:val="000B3ACD"/>
    <w:rsid w:val="000B437B"/>
    <w:rsid w:val="000B47C7"/>
    <w:rsid w:val="000B48FD"/>
    <w:rsid w:val="000B4A63"/>
    <w:rsid w:val="000B4F0F"/>
    <w:rsid w:val="000B521C"/>
    <w:rsid w:val="000B5889"/>
    <w:rsid w:val="000B5A8E"/>
    <w:rsid w:val="000B5F82"/>
    <w:rsid w:val="000B6037"/>
    <w:rsid w:val="000B6749"/>
    <w:rsid w:val="000B68B9"/>
    <w:rsid w:val="000B6DBA"/>
    <w:rsid w:val="000B71AF"/>
    <w:rsid w:val="000B75AA"/>
    <w:rsid w:val="000B7B9F"/>
    <w:rsid w:val="000B7F00"/>
    <w:rsid w:val="000C003B"/>
    <w:rsid w:val="000C041E"/>
    <w:rsid w:val="000C0F75"/>
    <w:rsid w:val="000C38B6"/>
    <w:rsid w:val="000C3994"/>
    <w:rsid w:val="000C3AB6"/>
    <w:rsid w:val="000C3D25"/>
    <w:rsid w:val="000C4142"/>
    <w:rsid w:val="000C453E"/>
    <w:rsid w:val="000C4967"/>
    <w:rsid w:val="000C49A3"/>
    <w:rsid w:val="000C4A75"/>
    <w:rsid w:val="000C4ABF"/>
    <w:rsid w:val="000C4ADD"/>
    <w:rsid w:val="000C4AFE"/>
    <w:rsid w:val="000C4DB8"/>
    <w:rsid w:val="000C5249"/>
    <w:rsid w:val="000C62A5"/>
    <w:rsid w:val="000C6AB3"/>
    <w:rsid w:val="000C6E6A"/>
    <w:rsid w:val="000C71E6"/>
    <w:rsid w:val="000C773C"/>
    <w:rsid w:val="000C7D9C"/>
    <w:rsid w:val="000D0585"/>
    <w:rsid w:val="000D0E4D"/>
    <w:rsid w:val="000D13A5"/>
    <w:rsid w:val="000D1663"/>
    <w:rsid w:val="000D1A5D"/>
    <w:rsid w:val="000D1FF1"/>
    <w:rsid w:val="000D23D9"/>
    <w:rsid w:val="000D24B8"/>
    <w:rsid w:val="000D253D"/>
    <w:rsid w:val="000D27F4"/>
    <w:rsid w:val="000D28ED"/>
    <w:rsid w:val="000D2D5A"/>
    <w:rsid w:val="000D2DBB"/>
    <w:rsid w:val="000D37DF"/>
    <w:rsid w:val="000D3E92"/>
    <w:rsid w:val="000D492E"/>
    <w:rsid w:val="000D4C79"/>
    <w:rsid w:val="000D4E2E"/>
    <w:rsid w:val="000D52C3"/>
    <w:rsid w:val="000D5536"/>
    <w:rsid w:val="000D5665"/>
    <w:rsid w:val="000D5710"/>
    <w:rsid w:val="000D5C64"/>
    <w:rsid w:val="000D62F3"/>
    <w:rsid w:val="000D63A6"/>
    <w:rsid w:val="000D67AD"/>
    <w:rsid w:val="000D69D8"/>
    <w:rsid w:val="000D6A69"/>
    <w:rsid w:val="000D6F41"/>
    <w:rsid w:val="000D73E3"/>
    <w:rsid w:val="000D7A91"/>
    <w:rsid w:val="000D7BD9"/>
    <w:rsid w:val="000D7F84"/>
    <w:rsid w:val="000E035C"/>
    <w:rsid w:val="000E0D0A"/>
    <w:rsid w:val="000E1755"/>
    <w:rsid w:val="000E1C86"/>
    <w:rsid w:val="000E2295"/>
    <w:rsid w:val="000E2F63"/>
    <w:rsid w:val="000E32AB"/>
    <w:rsid w:val="000E3646"/>
    <w:rsid w:val="000E3651"/>
    <w:rsid w:val="000E3D08"/>
    <w:rsid w:val="000E3E77"/>
    <w:rsid w:val="000E3F43"/>
    <w:rsid w:val="000E4555"/>
    <w:rsid w:val="000E47C4"/>
    <w:rsid w:val="000E4940"/>
    <w:rsid w:val="000E4AA8"/>
    <w:rsid w:val="000E4D9F"/>
    <w:rsid w:val="000E5312"/>
    <w:rsid w:val="000E564A"/>
    <w:rsid w:val="000E58CF"/>
    <w:rsid w:val="000E613C"/>
    <w:rsid w:val="000E660E"/>
    <w:rsid w:val="000E695C"/>
    <w:rsid w:val="000E6A5D"/>
    <w:rsid w:val="000E6C94"/>
    <w:rsid w:val="000E7474"/>
    <w:rsid w:val="000E7715"/>
    <w:rsid w:val="000E7B7F"/>
    <w:rsid w:val="000E7BBA"/>
    <w:rsid w:val="000E7F8C"/>
    <w:rsid w:val="000E7FF5"/>
    <w:rsid w:val="000F013A"/>
    <w:rsid w:val="000F0198"/>
    <w:rsid w:val="000F10BF"/>
    <w:rsid w:val="000F168B"/>
    <w:rsid w:val="000F19DC"/>
    <w:rsid w:val="000F1A35"/>
    <w:rsid w:val="000F1CE9"/>
    <w:rsid w:val="000F2385"/>
    <w:rsid w:val="000F23DD"/>
    <w:rsid w:val="000F2A47"/>
    <w:rsid w:val="000F328B"/>
    <w:rsid w:val="000F3526"/>
    <w:rsid w:val="000F3832"/>
    <w:rsid w:val="000F3CDC"/>
    <w:rsid w:val="000F42C6"/>
    <w:rsid w:val="000F50D6"/>
    <w:rsid w:val="000F5207"/>
    <w:rsid w:val="000F5784"/>
    <w:rsid w:val="000F613F"/>
    <w:rsid w:val="000F627F"/>
    <w:rsid w:val="000F6A8C"/>
    <w:rsid w:val="000F6D71"/>
    <w:rsid w:val="000F7498"/>
    <w:rsid w:val="00100985"/>
    <w:rsid w:val="00100BFA"/>
    <w:rsid w:val="00100EC9"/>
    <w:rsid w:val="0010136C"/>
    <w:rsid w:val="0010139D"/>
    <w:rsid w:val="00101911"/>
    <w:rsid w:val="00101AC0"/>
    <w:rsid w:val="00101B8A"/>
    <w:rsid w:val="00102693"/>
    <w:rsid w:val="00102A7A"/>
    <w:rsid w:val="001032CC"/>
    <w:rsid w:val="00103485"/>
    <w:rsid w:val="0010355A"/>
    <w:rsid w:val="00103675"/>
    <w:rsid w:val="0010391D"/>
    <w:rsid w:val="00103E5B"/>
    <w:rsid w:val="00103F3E"/>
    <w:rsid w:val="001041B3"/>
    <w:rsid w:val="00106525"/>
    <w:rsid w:val="0010667C"/>
    <w:rsid w:val="00106892"/>
    <w:rsid w:val="0010761D"/>
    <w:rsid w:val="001077AD"/>
    <w:rsid w:val="001077AF"/>
    <w:rsid w:val="00107C16"/>
    <w:rsid w:val="00107C1C"/>
    <w:rsid w:val="00107DAB"/>
    <w:rsid w:val="0011023D"/>
    <w:rsid w:val="001104D7"/>
    <w:rsid w:val="0011085D"/>
    <w:rsid w:val="00111113"/>
    <w:rsid w:val="0011136C"/>
    <w:rsid w:val="0011140E"/>
    <w:rsid w:val="001115EE"/>
    <w:rsid w:val="001116AF"/>
    <w:rsid w:val="0011180B"/>
    <w:rsid w:val="00111B54"/>
    <w:rsid w:val="00111B92"/>
    <w:rsid w:val="00111CE2"/>
    <w:rsid w:val="00112032"/>
    <w:rsid w:val="001122C4"/>
    <w:rsid w:val="001125D4"/>
    <w:rsid w:val="0011270F"/>
    <w:rsid w:val="001127F1"/>
    <w:rsid w:val="00112C7D"/>
    <w:rsid w:val="00113238"/>
    <w:rsid w:val="001133E3"/>
    <w:rsid w:val="00113847"/>
    <w:rsid w:val="00113BA3"/>
    <w:rsid w:val="00113D31"/>
    <w:rsid w:val="00113EB6"/>
    <w:rsid w:val="001142D6"/>
    <w:rsid w:val="00114BA4"/>
    <w:rsid w:val="00115601"/>
    <w:rsid w:val="001159F6"/>
    <w:rsid w:val="00115D29"/>
    <w:rsid w:val="00115F67"/>
    <w:rsid w:val="001162D9"/>
    <w:rsid w:val="001163BF"/>
    <w:rsid w:val="00116429"/>
    <w:rsid w:val="00116BB7"/>
    <w:rsid w:val="00116BED"/>
    <w:rsid w:val="0011716D"/>
    <w:rsid w:val="0011757D"/>
    <w:rsid w:val="00117647"/>
    <w:rsid w:val="00120DD3"/>
    <w:rsid w:val="00121083"/>
    <w:rsid w:val="001211D9"/>
    <w:rsid w:val="001217BE"/>
    <w:rsid w:val="001218E4"/>
    <w:rsid w:val="00121AF8"/>
    <w:rsid w:val="00121F97"/>
    <w:rsid w:val="00122002"/>
    <w:rsid w:val="001222B0"/>
    <w:rsid w:val="00122447"/>
    <w:rsid w:val="00123022"/>
    <w:rsid w:val="00123D0F"/>
    <w:rsid w:val="00124287"/>
    <w:rsid w:val="00124847"/>
    <w:rsid w:val="00124D22"/>
    <w:rsid w:val="00124D81"/>
    <w:rsid w:val="00124EB2"/>
    <w:rsid w:val="00124FEC"/>
    <w:rsid w:val="00125AAF"/>
    <w:rsid w:val="00125E5C"/>
    <w:rsid w:val="00126627"/>
    <w:rsid w:val="00126929"/>
    <w:rsid w:val="00126E01"/>
    <w:rsid w:val="00127194"/>
    <w:rsid w:val="00127591"/>
    <w:rsid w:val="0012771C"/>
    <w:rsid w:val="00127A55"/>
    <w:rsid w:val="00127D4A"/>
    <w:rsid w:val="00127FDD"/>
    <w:rsid w:val="001305E6"/>
    <w:rsid w:val="001307C7"/>
    <w:rsid w:val="00130A30"/>
    <w:rsid w:val="0013107A"/>
    <w:rsid w:val="001313E9"/>
    <w:rsid w:val="00131C4C"/>
    <w:rsid w:val="00131CE1"/>
    <w:rsid w:val="00131D1A"/>
    <w:rsid w:val="00132224"/>
    <w:rsid w:val="001325B2"/>
    <w:rsid w:val="0013261B"/>
    <w:rsid w:val="00132884"/>
    <w:rsid w:val="00132A80"/>
    <w:rsid w:val="00133650"/>
    <w:rsid w:val="0013377B"/>
    <w:rsid w:val="00133803"/>
    <w:rsid w:val="00133FC0"/>
    <w:rsid w:val="001343A0"/>
    <w:rsid w:val="00134CE3"/>
    <w:rsid w:val="00134F25"/>
    <w:rsid w:val="00135081"/>
    <w:rsid w:val="00135602"/>
    <w:rsid w:val="00135CC3"/>
    <w:rsid w:val="00136036"/>
    <w:rsid w:val="0013618A"/>
    <w:rsid w:val="00137430"/>
    <w:rsid w:val="0013752B"/>
    <w:rsid w:val="001377D0"/>
    <w:rsid w:val="00137900"/>
    <w:rsid w:val="0013798F"/>
    <w:rsid w:val="00137D29"/>
    <w:rsid w:val="00137FFA"/>
    <w:rsid w:val="001407A3"/>
    <w:rsid w:val="00140A0D"/>
    <w:rsid w:val="00140A81"/>
    <w:rsid w:val="00141827"/>
    <w:rsid w:val="001428C9"/>
    <w:rsid w:val="00142970"/>
    <w:rsid w:val="00142B8E"/>
    <w:rsid w:val="00142C07"/>
    <w:rsid w:val="00142FA6"/>
    <w:rsid w:val="001437A8"/>
    <w:rsid w:val="00143A29"/>
    <w:rsid w:val="001444D2"/>
    <w:rsid w:val="00144770"/>
    <w:rsid w:val="0014493C"/>
    <w:rsid w:val="00144950"/>
    <w:rsid w:val="00144B09"/>
    <w:rsid w:val="00144BEF"/>
    <w:rsid w:val="0014521C"/>
    <w:rsid w:val="0014558C"/>
    <w:rsid w:val="00145B83"/>
    <w:rsid w:val="00145BB6"/>
    <w:rsid w:val="00145BC6"/>
    <w:rsid w:val="00145D53"/>
    <w:rsid w:val="00145F40"/>
    <w:rsid w:val="00146274"/>
    <w:rsid w:val="00146649"/>
    <w:rsid w:val="0014672E"/>
    <w:rsid w:val="001478AF"/>
    <w:rsid w:val="00147A1E"/>
    <w:rsid w:val="001504A4"/>
    <w:rsid w:val="00150D42"/>
    <w:rsid w:val="00150DDB"/>
    <w:rsid w:val="00150ECA"/>
    <w:rsid w:val="001512C2"/>
    <w:rsid w:val="001513DC"/>
    <w:rsid w:val="0015166B"/>
    <w:rsid w:val="00151BD5"/>
    <w:rsid w:val="00152491"/>
    <w:rsid w:val="00152820"/>
    <w:rsid w:val="00152AD6"/>
    <w:rsid w:val="00152DA9"/>
    <w:rsid w:val="00152E59"/>
    <w:rsid w:val="00153036"/>
    <w:rsid w:val="001535A9"/>
    <w:rsid w:val="00153A58"/>
    <w:rsid w:val="00153C26"/>
    <w:rsid w:val="00154286"/>
    <w:rsid w:val="001547E2"/>
    <w:rsid w:val="001548A4"/>
    <w:rsid w:val="00154981"/>
    <w:rsid w:val="0015521E"/>
    <w:rsid w:val="001554DB"/>
    <w:rsid w:val="00155697"/>
    <w:rsid w:val="001556A9"/>
    <w:rsid w:val="0015640A"/>
    <w:rsid w:val="00156433"/>
    <w:rsid w:val="00156843"/>
    <w:rsid w:val="0015783D"/>
    <w:rsid w:val="00157B4B"/>
    <w:rsid w:val="00160121"/>
    <w:rsid w:val="00160A5B"/>
    <w:rsid w:val="00160BB1"/>
    <w:rsid w:val="00160F32"/>
    <w:rsid w:val="001611AE"/>
    <w:rsid w:val="001616A4"/>
    <w:rsid w:val="0016197A"/>
    <w:rsid w:val="00161C77"/>
    <w:rsid w:val="00161CE7"/>
    <w:rsid w:val="001621F0"/>
    <w:rsid w:val="001623A7"/>
    <w:rsid w:val="001626CB"/>
    <w:rsid w:val="00162C2A"/>
    <w:rsid w:val="001630A8"/>
    <w:rsid w:val="0016396D"/>
    <w:rsid w:val="00164B05"/>
    <w:rsid w:val="00164D9F"/>
    <w:rsid w:val="0016504B"/>
    <w:rsid w:val="001652EF"/>
    <w:rsid w:val="00166177"/>
    <w:rsid w:val="00166575"/>
    <w:rsid w:val="001669EB"/>
    <w:rsid w:val="00166EED"/>
    <w:rsid w:val="00167261"/>
    <w:rsid w:val="00170657"/>
    <w:rsid w:val="001708DD"/>
    <w:rsid w:val="0017120F"/>
    <w:rsid w:val="00171317"/>
    <w:rsid w:val="0017139D"/>
    <w:rsid w:val="00171714"/>
    <w:rsid w:val="00171A73"/>
    <w:rsid w:val="00171B9B"/>
    <w:rsid w:val="001728DF"/>
    <w:rsid w:val="00172F20"/>
    <w:rsid w:val="001730FB"/>
    <w:rsid w:val="00173103"/>
    <w:rsid w:val="00173834"/>
    <w:rsid w:val="001738FE"/>
    <w:rsid w:val="001739F7"/>
    <w:rsid w:val="00173F65"/>
    <w:rsid w:val="001741D9"/>
    <w:rsid w:val="00174521"/>
    <w:rsid w:val="00174816"/>
    <w:rsid w:val="00175398"/>
    <w:rsid w:val="001753D3"/>
    <w:rsid w:val="00175FBE"/>
    <w:rsid w:val="001760E8"/>
    <w:rsid w:val="0017621E"/>
    <w:rsid w:val="00176EED"/>
    <w:rsid w:val="001773E9"/>
    <w:rsid w:val="0017770E"/>
    <w:rsid w:val="00177737"/>
    <w:rsid w:val="00177777"/>
    <w:rsid w:val="00177828"/>
    <w:rsid w:val="001778EA"/>
    <w:rsid w:val="001801B7"/>
    <w:rsid w:val="00180224"/>
    <w:rsid w:val="00180380"/>
    <w:rsid w:val="001804BE"/>
    <w:rsid w:val="001807CF"/>
    <w:rsid w:val="00180B50"/>
    <w:rsid w:val="00180D90"/>
    <w:rsid w:val="00180E05"/>
    <w:rsid w:val="00180F50"/>
    <w:rsid w:val="0018110C"/>
    <w:rsid w:val="0018116B"/>
    <w:rsid w:val="00181B26"/>
    <w:rsid w:val="0018231B"/>
    <w:rsid w:val="00182646"/>
    <w:rsid w:val="00182B8D"/>
    <w:rsid w:val="00182E3C"/>
    <w:rsid w:val="0018376E"/>
    <w:rsid w:val="001839AF"/>
    <w:rsid w:val="00185668"/>
    <w:rsid w:val="001859B5"/>
    <w:rsid w:val="00186564"/>
    <w:rsid w:val="001872F7"/>
    <w:rsid w:val="00187E14"/>
    <w:rsid w:val="00187E4C"/>
    <w:rsid w:val="00187EE5"/>
    <w:rsid w:val="0019020A"/>
    <w:rsid w:val="00190AB3"/>
    <w:rsid w:val="00190BFB"/>
    <w:rsid w:val="00190F95"/>
    <w:rsid w:val="001911BA"/>
    <w:rsid w:val="0019145A"/>
    <w:rsid w:val="001916B5"/>
    <w:rsid w:val="0019228A"/>
    <w:rsid w:val="00192CF8"/>
    <w:rsid w:val="00192D39"/>
    <w:rsid w:val="00193235"/>
    <w:rsid w:val="001936D6"/>
    <w:rsid w:val="00193CEC"/>
    <w:rsid w:val="00194573"/>
    <w:rsid w:val="00194E5C"/>
    <w:rsid w:val="00194F95"/>
    <w:rsid w:val="001951DA"/>
    <w:rsid w:val="00195326"/>
    <w:rsid w:val="00195813"/>
    <w:rsid w:val="001958B1"/>
    <w:rsid w:val="00195A1A"/>
    <w:rsid w:val="00195C09"/>
    <w:rsid w:val="00196349"/>
    <w:rsid w:val="00196841"/>
    <w:rsid w:val="0019741E"/>
    <w:rsid w:val="00197494"/>
    <w:rsid w:val="00197BF6"/>
    <w:rsid w:val="001A0678"/>
    <w:rsid w:val="001A09D8"/>
    <w:rsid w:val="001A0D63"/>
    <w:rsid w:val="001A1E93"/>
    <w:rsid w:val="001A20D5"/>
    <w:rsid w:val="001A23A3"/>
    <w:rsid w:val="001A2434"/>
    <w:rsid w:val="001A2479"/>
    <w:rsid w:val="001A2822"/>
    <w:rsid w:val="001A2EBA"/>
    <w:rsid w:val="001A2F04"/>
    <w:rsid w:val="001A3181"/>
    <w:rsid w:val="001A326C"/>
    <w:rsid w:val="001A391A"/>
    <w:rsid w:val="001A3DD6"/>
    <w:rsid w:val="001A4109"/>
    <w:rsid w:val="001A4324"/>
    <w:rsid w:val="001A53F7"/>
    <w:rsid w:val="001A5660"/>
    <w:rsid w:val="001A576B"/>
    <w:rsid w:val="001A5957"/>
    <w:rsid w:val="001A7043"/>
    <w:rsid w:val="001A7521"/>
    <w:rsid w:val="001A763F"/>
    <w:rsid w:val="001A7701"/>
    <w:rsid w:val="001B0188"/>
    <w:rsid w:val="001B0799"/>
    <w:rsid w:val="001B0914"/>
    <w:rsid w:val="001B1107"/>
    <w:rsid w:val="001B11DB"/>
    <w:rsid w:val="001B126B"/>
    <w:rsid w:val="001B13FA"/>
    <w:rsid w:val="001B1578"/>
    <w:rsid w:val="001B18A5"/>
    <w:rsid w:val="001B1E3F"/>
    <w:rsid w:val="001B2263"/>
    <w:rsid w:val="001B2316"/>
    <w:rsid w:val="001B24FB"/>
    <w:rsid w:val="001B261F"/>
    <w:rsid w:val="001B2BC3"/>
    <w:rsid w:val="001B3576"/>
    <w:rsid w:val="001B3AFE"/>
    <w:rsid w:val="001B3BF7"/>
    <w:rsid w:val="001B3EE6"/>
    <w:rsid w:val="001B4071"/>
    <w:rsid w:val="001B45E7"/>
    <w:rsid w:val="001B4623"/>
    <w:rsid w:val="001B4C6B"/>
    <w:rsid w:val="001B54F1"/>
    <w:rsid w:val="001B56B6"/>
    <w:rsid w:val="001B6102"/>
    <w:rsid w:val="001B6A7E"/>
    <w:rsid w:val="001B6D22"/>
    <w:rsid w:val="001B7489"/>
    <w:rsid w:val="001B748F"/>
    <w:rsid w:val="001B7714"/>
    <w:rsid w:val="001B7D5E"/>
    <w:rsid w:val="001B7FF5"/>
    <w:rsid w:val="001C01F3"/>
    <w:rsid w:val="001C0387"/>
    <w:rsid w:val="001C0916"/>
    <w:rsid w:val="001C093E"/>
    <w:rsid w:val="001C0BF4"/>
    <w:rsid w:val="001C0F94"/>
    <w:rsid w:val="001C157F"/>
    <w:rsid w:val="001C1887"/>
    <w:rsid w:val="001C18AC"/>
    <w:rsid w:val="001C20A7"/>
    <w:rsid w:val="001C23B5"/>
    <w:rsid w:val="001C24DE"/>
    <w:rsid w:val="001C25C5"/>
    <w:rsid w:val="001C26C2"/>
    <w:rsid w:val="001C2EF0"/>
    <w:rsid w:val="001C3A0A"/>
    <w:rsid w:val="001C3D7A"/>
    <w:rsid w:val="001C403E"/>
    <w:rsid w:val="001C40A1"/>
    <w:rsid w:val="001C4F56"/>
    <w:rsid w:val="001C50EA"/>
    <w:rsid w:val="001C53C6"/>
    <w:rsid w:val="001C5E36"/>
    <w:rsid w:val="001C5FF8"/>
    <w:rsid w:val="001C6985"/>
    <w:rsid w:val="001C6C75"/>
    <w:rsid w:val="001C7361"/>
    <w:rsid w:val="001C74D0"/>
    <w:rsid w:val="001C779F"/>
    <w:rsid w:val="001D0B64"/>
    <w:rsid w:val="001D0D04"/>
    <w:rsid w:val="001D0E9B"/>
    <w:rsid w:val="001D0F72"/>
    <w:rsid w:val="001D1023"/>
    <w:rsid w:val="001D1861"/>
    <w:rsid w:val="001D2006"/>
    <w:rsid w:val="001D2345"/>
    <w:rsid w:val="001D26BF"/>
    <w:rsid w:val="001D2D0F"/>
    <w:rsid w:val="001D3058"/>
    <w:rsid w:val="001D3064"/>
    <w:rsid w:val="001D313B"/>
    <w:rsid w:val="001D3395"/>
    <w:rsid w:val="001D351B"/>
    <w:rsid w:val="001D38F4"/>
    <w:rsid w:val="001D3A4E"/>
    <w:rsid w:val="001D3B80"/>
    <w:rsid w:val="001D403D"/>
    <w:rsid w:val="001D4168"/>
    <w:rsid w:val="001D42F5"/>
    <w:rsid w:val="001D4586"/>
    <w:rsid w:val="001D45E1"/>
    <w:rsid w:val="001D46D1"/>
    <w:rsid w:val="001D4ADB"/>
    <w:rsid w:val="001D53E3"/>
    <w:rsid w:val="001D59E2"/>
    <w:rsid w:val="001D5ACF"/>
    <w:rsid w:val="001D5CE3"/>
    <w:rsid w:val="001D60A3"/>
    <w:rsid w:val="001D62F2"/>
    <w:rsid w:val="001D65F9"/>
    <w:rsid w:val="001D6EF0"/>
    <w:rsid w:val="001D73A5"/>
    <w:rsid w:val="001D765A"/>
    <w:rsid w:val="001D7750"/>
    <w:rsid w:val="001D79C4"/>
    <w:rsid w:val="001D7B09"/>
    <w:rsid w:val="001D7B85"/>
    <w:rsid w:val="001D7C49"/>
    <w:rsid w:val="001D7F20"/>
    <w:rsid w:val="001D7F2D"/>
    <w:rsid w:val="001E0633"/>
    <w:rsid w:val="001E0A2D"/>
    <w:rsid w:val="001E0E0C"/>
    <w:rsid w:val="001E1683"/>
    <w:rsid w:val="001E19EF"/>
    <w:rsid w:val="001E1B82"/>
    <w:rsid w:val="001E1BE4"/>
    <w:rsid w:val="001E1C5E"/>
    <w:rsid w:val="001E1D8C"/>
    <w:rsid w:val="001E201E"/>
    <w:rsid w:val="001E2399"/>
    <w:rsid w:val="001E2728"/>
    <w:rsid w:val="001E28AC"/>
    <w:rsid w:val="001E28F0"/>
    <w:rsid w:val="001E32FE"/>
    <w:rsid w:val="001E3A02"/>
    <w:rsid w:val="001E3B0D"/>
    <w:rsid w:val="001E3B6A"/>
    <w:rsid w:val="001E4399"/>
    <w:rsid w:val="001E4851"/>
    <w:rsid w:val="001E49F2"/>
    <w:rsid w:val="001E516F"/>
    <w:rsid w:val="001E5590"/>
    <w:rsid w:val="001E57B8"/>
    <w:rsid w:val="001E5C16"/>
    <w:rsid w:val="001E6652"/>
    <w:rsid w:val="001E6B11"/>
    <w:rsid w:val="001E6D64"/>
    <w:rsid w:val="001E70A6"/>
    <w:rsid w:val="001E7341"/>
    <w:rsid w:val="001E74EB"/>
    <w:rsid w:val="001E7559"/>
    <w:rsid w:val="001E7569"/>
    <w:rsid w:val="001E7703"/>
    <w:rsid w:val="001E77E8"/>
    <w:rsid w:val="001E7A20"/>
    <w:rsid w:val="001E7EAD"/>
    <w:rsid w:val="001F0158"/>
    <w:rsid w:val="001F01BB"/>
    <w:rsid w:val="001F03E7"/>
    <w:rsid w:val="001F0E00"/>
    <w:rsid w:val="001F11AC"/>
    <w:rsid w:val="001F1943"/>
    <w:rsid w:val="001F1BA1"/>
    <w:rsid w:val="001F1F60"/>
    <w:rsid w:val="001F20D0"/>
    <w:rsid w:val="001F23FB"/>
    <w:rsid w:val="001F2792"/>
    <w:rsid w:val="001F3465"/>
    <w:rsid w:val="001F39D2"/>
    <w:rsid w:val="001F3EAE"/>
    <w:rsid w:val="001F47DC"/>
    <w:rsid w:val="001F4F7D"/>
    <w:rsid w:val="001F5515"/>
    <w:rsid w:val="001F562C"/>
    <w:rsid w:val="001F56DA"/>
    <w:rsid w:val="001F5985"/>
    <w:rsid w:val="001F5995"/>
    <w:rsid w:val="001F5B9A"/>
    <w:rsid w:val="001F615C"/>
    <w:rsid w:val="001F61EE"/>
    <w:rsid w:val="001F61FC"/>
    <w:rsid w:val="001F6D90"/>
    <w:rsid w:val="001F6F29"/>
    <w:rsid w:val="001F7239"/>
    <w:rsid w:val="001F74B3"/>
    <w:rsid w:val="001F797D"/>
    <w:rsid w:val="00200054"/>
    <w:rsid w:val="002001A9"/>
    <w:rsid w:val="0020023E"/>
    <w:rsid w:val="002003F5"/>
    <w:rsid w:val="002005F6"/>
    <w:rsid w:val="0020066C"/>
    <w:rsid w:val="00200A36"/>
    <w:rsid w:val="00200E85"/>
    <w:rsid w:val="00201791"/>
    <w:rsid w:val="00201BD9"/>
    <w:rsid w:val="0020215A"/>
    <w:rsid w:val="002026BE"/>
    <w:rsid w:val="00202841"/>
    <w:rsid w:val="00202852"/>
    <w:rsid w:val="00202860"/>
    <w:rsid w:val="0020314A"/>
    <w:rsid w:val="002031D5"/>
    <w:rsid w:val="00203269"/>
    <w:rsid w:val="0020397B"/>
    <w:rsid w:val="00203D51"/>
    <w:rsid w:val="00203DD4"/>
    <w:rsid w:val="002043EB"/>
    <w:rsid w:val="002045F9"/>
    <w:rsid w:val="00204B5B"/>
    <w:rsid w:val="00204E56"/>
    <w:rsid w:val="00205014"/>
    <w:rsid w:val="002050D3"/>
    <w:rsid w:val="002054DB"/>
    <w:rsid w:val="0020550E"/>
    <w:rsid w:val="002056C0"/>
    <w:rsid w:val="002059D7"/>
    <w:rsid w:val="00205FFD"/>
    <w:rsid w:val="002063A4"/>
    <w:rsid w:val="00206484"/>
    <w:rsid w:val="0020655A"/>
    <w:rsid w:val="00206625"/>
    <w:rsid w:val="00206A11"/>
    <w:rsid w:val="00206BD5"/>
    <w:rsid w:val="00206CE1"/>
    <w:rsid w:val="002070DD"/>
    <w:rsid w:val="00207501"/>
    <w:rsid w:val="00207551"/>
    <w:rsid w:val="00210040"/>
    <w:rsid w:val="00210055"/>
    <w:rsid w:val="00210F0E"/>
    <w:rsid w:val="002114FD"/>
    <w:rsid w:val="0021185D"/>
    <w:rsid w:val="00211F41"/>
    <w:rsid w:val="00212706"/>
    <w:rsid w:val="00212E20"/>
    <w:rsid w:val="002130FE"/>
    <w:rsid w:val="002133C7"/>
    <w:rsid w:val="00213505"/>
    <w:rsid w:val="00213703"/>
    <w:rsid w:val="0021377D"/>
    <w:rsid w:val="00213A3A"/>
    <w:rsid w:val="00213B98"/>
    <w:rsid w:val="00213F83"/>
    <w:rsid w:val="0021480C"/>
    <w:rsid w:val="0021492D"/>
    <w:rsid w:val="00214CBD"/>
    <w:rsid w:val="00214EA4"/>
    <w:rsid w:val="0021545B"/>
    <w:rsid w:val="00215C11"/>
    <w:rsid w:val="00215F35"/>
    <w:rsid w:val="002161C3"/>
    <w:rsid w:val="00216737"/>
    <w:rsid w:val="00216D19"/>
    <w:rsid w:val="00216D30"/>
    <w:rsid w:val="00217023"/>
    <w:rsid w:val="00217126"/>
    <w:rsid w:val="0021722D"/>
    <w:rsid w:val="0021794F"/>
    <w:rsid w:val="00217A92"/>
    <w:rsid w:val="002208E0"/>
    <w:rsid w:val="00220B2B"/>
    <w:rsid w:val="00221400"/>
    <w:rsid w:val="00221712"/>
    <w:rsid w:val="00221EC5"/>
    <w:rsid w:val="00221F64"/>
    <w:rsid w:val="00222244"/>
    <w:rsid w:val="00222D03"/>
    <w:rsid w:val="00222DF8"/>
    <w:rsid w:val="002231BE"/>
    <w:rsid w:val="00223469"/>
    <w:rsid w:val="002238C4"/>
    <w:rsid w:val="00223AA1"/>
    <w:rsid w:val="00223D3E"/>
    <w:rsid w:val="00223FD1"/>
    <w:rsid w:val="00224415"/>
    <w:rsid w:val="00224EFF"/>
    <w:rsid w:val="00225204"/>
    <w:rsid w:val="002257E0"/>
    <w:rsid w:val="00225ADD"/>
    <w:rsid w:val="00225E85"/>
    <w:rsid w:val="00226634"/>
    <w:rsid w:val="002266F1"/>
    <w:rsid w:val="00226B7E"/>
    <w:rsid w:val="00226CFA"/>
    <w:rsid w:val="00226DD4"/>
    <w:rsid w:val="00226F03"/>
    <w:rsid w:val="00226F71"/>
    <w:rsid w:val="00227925"/>
    <w:rsid w:val="00227F63"/>
    <w:rsid w:val="00230370"/>
    <w:rsid w:val="00230DCD"/>
    <w:rsid w:val="0023131D"/>
    <w:rsid w:val="00231807"/>
    <w:rsid w:val="0023181E"/>
    <w:rsid w:val="00231CB1"/>
    <w:rsid w:val="00231EDD"/>
    <w:rsid w:val="0023216A"/>
    <w:rsid w:val="00232EE4"/>
    <w:rsid w:val="0023302A"/>
    <w:rsid w:val="00234323"/>
    <w:rsid w:val="00234340"/>
    <w:rsid w:val="00234390"/>
    <w:rsid w:val="002343DD"/>
    <w:rsid w:val="0023451C"/>
    <w:rsid w:val="0023477D"/>
    <w:rsid w:val="00235311"/>
    <w:rsid w:val="002355D5"/>
    <w:rsid w:val="00236275"/>
    <w:rsid w:val="002365B3"/>
    <w:rsid w:val="0023660F"/>
    <w:rsid w:val="00236C78"/>
    <w:rsid w:val="00236D00"/>
    <w:rsid w:val="00236DB7"/>
    <w:rsid w:val="00236FD0"/>
    <w:rsid w:val="00237020"/>
    <w:rsid w:val="00237FBF"/>
    <w:rsid w:val="00241E52"/>
    <w:rsid w:val="002427A0"/>
    <w:rsid w:val="002427C3"/>
    <w:rsid w:val="0024294C"/>
    <w:rsid w:val="002429EB"/>
    <w:rsid w:val="00242BE0"/>
    <w:rsid w:val="002433E3"/>
    <w:rsid w:val="002439D5"/>
    <w:rsid w:val="00243AD9"/>
    <w:rsid w:val="00243D69"/>
    <w:rsid w:val="00244395"/>
    <w:rsid w:val="00244870"/>
    <w:rsid w:val="002450FD"/>
    <w:rsid w:val="002452D1"/>
    <w:rsid w:val="002453A2"/>
    <w:rsid w:val="00245708"/>
    <w:rsid w:val="002457ED"/>
    <w:rsid w:val="00245A19"/>
    <w:rsid w:val="00245FA8"/>
    <w:rsid w:val="00245FDB"/>
    <w:rsid w:val="00246430"/>
    <w:rsid w:val="00246773"/>
    <w:rsid w:val="00246B1A"/>
    <w:rsid w:val="00247DD2"/>
    <w:rsid w:val="00247F41"/>
    <w:rsid w:val="002501BE"/>
    <w:rsid w:val="00250779"/>
    <w:rsid w:val="002515DB"/>
    <w:rsid w:val="00251E99"/>
    <w:rsid w:val="0025213E"/>
    <w:rsid w:val="00252496"/>
    <w:rsid w:val="00252DFA"/>
    <w:rsid w:val="0025392D"/>
    <w:rsid w:val="00253BAA"/>
    <w:rsid w:val="00254114"/>
    <w:rsid w:val="002541AE"/>
    <w:rsid w:val="00254242"/>
    <w:rsid w:val="002551B2"/>
    <w:rsid w:val="002552A3"/>
    <w:rsid w:val="00255339"/>
    <w:rsid w:val="002555E5"/>
    <w:rsid w:val="002556C3"/>
    <w:rsid w:val="00255C0E"/>
    <w:rsid w:val="0025629D"/>
    <w:rsid w:val="002564A4"/>
    <w:rsid w:val="00256805"/>
    <w:rsid w:val="00256B28"/>
    <w:rsid w:val="00256FC0"/>
    <w:rsid w:val="0025707A"/>
    <w:rsid w:val="002571E1"/>
    <w:rsid w:val="00257218"/>
    <w:rsid w:val="00257675"/>
    <w:rsid w:val="00257AF7"/>
    <w:rsid w:val="00257ED0"/>
    <w:rsid w:val="00260E28"/>
    <w:rsid w:val="00260E80"/>
    <w:rsid w:val="00261296"/>
    <w:rsid w:val="00261391"/>
    <w:rsid w:val="002616F5"/>
    <w:rsid w:val="00261775"/>
    <w:rsid w:val="0026196C"/>
    <w:rsid w:val="00261978"/>
    <w:rsid w:val="0026199E"/>
    <w:rsid w:val="002619A2"/>
    <w:rsid w:val="00261D02"/>
    <w:rsid w:val="002626E6"/>
    <w:rsid w:val="002627D6"/>
    <w:rsid w:val="00262ADC"/>
    <w:rsid w:val="00262B5C"/>
    <w:rsid w:val="002634EF"/>
    <w:rsid w:val="00263CB4"/>
    <w:rsid w:val="00264363"/>
    <w:rsid w:val="002643AB"/>
    <w:rsid w:val="0026490A"/>
    <w:rsid w:val="00264E5C"/>
    <w:rsid w:val="00265C18"/>
    <w:rsid w:val="00265F1F"/>
    <w:rsid w:val="00265F57"/>
    <w:rsid w:val="002665A0"/>
    <w:rsid w:val="0026686A"/>
    <w:rsid w:val="0026719F"/>
    <w:rsid w:val="00270514"/>
    <w:rsid w:val="00270609"/>
    <w:rsid w:val="002714B8"/>
    <w:rsid w:val="00271594"/>
    <w:rsid w:val="002715E2"/>
    <w:rsid w:val="00271BC9"/>
    <w:rsid w:val="00271F1A"/>
    <w:rsid w:val="002721E4"/>
    <w:rsid w:val="00272E22"/>
    <w:rsid w:val="002731AB"/>
    <w:rsid w:val="00273317"/>
    <w:rsid w:val="002737FF"/>
    <w:rsid w:val="00273829"/>
    <w:rsid w:val="00273C96"/>
    <w:rsid w:val="00273DDA"/>
    <w:rsid w:val="00274AD3"/>
    <w:rsid w:val="00275251"/>
    <w:rsid w:val="002757CC"/>
    <w:rsid w:val="00275968"/>
    <w:rsid w:val="002759BF"/>
    <w:rsid w:val="00275C45"/>
    <w:rsid w:val="00275E4C"/>
    <w:rsid w:val="002762D9"/>
    <w:rsid w:val="00276BE6"/>
    <w:rsid w:val="00276DAB"/>
    <w:rsid w:val="002771FD"/>
    <w:rsid w:val="00277D25"/>
    <w:rsid w:val="00277DB7"/>
    <w:rsid w:val="00277DFE"/>
    <w:rsid w:val="00280487"/>
    <w:rsid w:val="002805DA"/>
    <w:rsid w:val="002806A1"/>
    <w:rsid w:val="002806B3"/>
    <w:rsid w:val="00280872"/>
    <w:rsid w:val="00281542"/>
    <w:rsid w:val="00281557"/>
    <w:rsid w:val="00281A09"/>
    <w:rsid w:val="00281A1F"/>
    <w:rsid w:val="00281B96"/>
    <w:rsid w:val="00281C73"/>
    <w:rsid w:val="00281FC6"/>
    <w:rsid w:val="00282433"/>
    <w:rsid w:val="00282477"/>
    <w:rsid w:val="00282CB6"/>
    <w:rsid w:val="00283BE2"/>
    <w:rsid w:val="0028421B"/>
    <w:rsid w:val="002844A1"/>
    <w:rsid w:val="00284CB8"/>
    <w:rsid w:val="002852BA"/>
    <w:rsid w:val="002855E9"/>
    <w:rsid w:val="002856D4"/>
    <w:rsid w:val="0028592C"/>
    <w:rsid w:val="00285993"/>
    <w:rsid w:val="00285F5F"/>
    <w:rsid w:val="00286E5A"/>
    <w:rsid w:val="0028742F"/>
    <w:rsid w:val="002877AF"/>
    <w:rsid w:val="00287B4E"/>
    <w:rsid w:val="0029059A"/>
    <w:rsid w:val="00290AD1"/>
    <w:rsid w:val="00290B01"/>
    <w:rsid w:val="00291188"/>
    <w:rsid w:val="00291232"/>
    <w:rsid w:val="0029198E"/>
    <w:rsid w:val="00291E96"/>
    <w:rsid w:val="002920A4"/>
    <w:rsid w:val="00292187"/>
    <w:rsid w:val="00292434"/>
    <w:rsid w:val="002924AC"/>
    <w:rsid w:val="002925BB"/>
    <w:rsid w:val="00292B90"/>
    <w:rsid w:val="00292F65"/>
    <w:rsid w:val="0029323C"/>
    <w:rsid w:val="0029392C"/>
    <w:rsid w:val="00294166"/>
    <w:rsid w:val="00294405"/>
    <w:rsid w:val="00294B4E"/>
    <w:rsid w:val="00296307"/>
    <w:rsid w:val="00296507"/>
    <w:rsid w:val="00296D5A"/>
    <w:rsid w:val="002970B8"/>
    <w:rsid w:val="002971F6"/>
    <w:rsid w:val="0029736E"/>
    <w:rsid w:val="00297B40"/>
    <w:rsid w:val="00297CB0"/>
    <w:rsid w:val="002A07BA"/>
    <w:rsid w:val="002A0B53"/>
    <w:rsid w:val="002A0BD1"/>
    <w:rsid w:val="002A0F8D"/>
    <w:rsid w:val="002A117C"/>
    <w:rsid w:val="002A17BD"/>
    <w:rsid w:val="002A188E"/>
    <w:rsid w:val="002A1969"/>
    <w:rsid w:val="002A2124"/>
    <w:rsid w:val="002A23AE"/>
    <w:rsid w:val="002A25E5"/>
    <w:rsid w:val="002A26A0"/>
    <w:rsid w:val="002A28E1"/>
    <w:rsid w:val="002A2BF7"/>
    <w:rsid w:val="002A2F0F"/>
    <w:rsid w:val="002A3179"/>
    <w:rsid w:val="002A31A6"/>
    <w:rsid w:val="002A43DB"/>
    <w:rsid w:val="002A45F7"/>
    <w:rsid w:val="002A4ECE"/>
    <w:rsid w:val="002A4F16"/>
    <w:rsid w:val="002A4F46"/>
    <w:rsid w:val="002A5838"/>
    <w:rsid w:val="002A5D5F"/>
    <w:rsid w:val="002A5DEB"/>
    <w:rsid w:val="002A6471"/>
    <w:rsid w:val="002A6530"/>
    <w:rsid w:val="002A65F9"/>
    <w:rsid w:val="002A6AFA"/>
    <w:rsid w:val="002A6B28"/>
    <w:rsid w:val="002A6C8C"/>
    <w:rsid w:val="002A74AD"/>
    <w:rsid w:val="002A7521"/>
    <w:rsid w:val="002A7524"/>
    <w:rsid w:val="002A7E0E"/>
    <w:rsid w:val="002B033C"/>
    <w:rsid w:val="002B0828"/>
    <w:rsid w:val="002B0872"/>
    <w:rsid w:val="002B0AD2"/>
    <w:rsid w:val="002B0C94"/>
    <w:rsid w:val="002B0E30"/>
    <w:rsid w:val="002B103C"/>
    <w:rsid w:val="002B1731"/>
    <w:rsid w:val="002B1C2D"/>
    <w:rsid w:val="002B1D5A"/>
    <w:rsid w:val="002B2449"/>
    <w:rsid w:val="002B248F"/>
    <w:rsid w:val="002B3587"/>
    <w:rsid w:val="002B37C7"/>
    <w:rsid w:val="002B3BCF"/>
    <w:rsid w:val="002B408B"/>
    <w:rsid w:val="002B446F"/>
    <w:rsid w:val="002B572D"/>
    <w:rsid w:val="002B58AA"/>
    <w:rsid w:val="002B6326"/>
    <w:rsid w:val="002B6947"/>
    <w:rsid w:val="002B6A8D"/>
    <w:rsid w:val="002B6A93"/>
    <w:rsid w:val="002B6BF8"/>
    <w:rsid w:val="002B6CF9"/>
    <w:rsid w:val="002B6D3B"/>
    <w:rsid w:val="002B6D7C"/>
    <w:rsid w:val="002B75FF"/>
    <w:rsid w:val="002B7870"/>
    <w:rsid w:val="002B7914"/>
    <w:rsid w:val="002B7AEB"/>
    <w:rsid w:val="002B7AFA"/>
    <w:rsid w:val="002C00C6"/>
    <w:rsid w:val="002C01F6"/>
    <w:rsid w:val="002C053E"/>
    <w:rsid w:val="002C0971"/>
    <w:rsid w:val="002C0B14"/>
    <w:rsid w:val="002C0EC9"/>
    <w:rsid w:val="002C1077"/>
    <w:rsid w:val="002C10AF"/>
    <w:rsid w:val="002C1991"/>
    <w:rsid w:val="002C1FB4"/>
    <w:rsid w:val="002C2477"/>
    <w:rsid w:val="002C2669"/>
    <w:rsid w:val="002C2834"/>
    <w:rsid w:val="002C3DAF"/>
    <w:rsid w:val="002C3DD9"/>
    <w:rsid w:val="002C4251"/>
    <w:rsid w:val="002C43A6"/>
    <w:rsid w:val="002C44A8"/>
    <w:rsid w:val="002C4919"/>
    <w:rsid w:val="002C4922"/>
    <w:rsid w:val="002C4E32"/>
    <w:rsid w:val="002C4EC0"/>
    <w:rsid w:val="002C4F77"/>
    <w:rsid w:val="002C56EA"/>
    <w:rsid w:val="002C5C39"/>
    <w:rsid w:val="002C5F6E"/>
    <w:rsid w:val="002C65C7"/>
    <w:rsid w:val="002C690B"/>
    <w:rsid w:val="002C69DB"/>
    <w:rsid w:val="002C6A38"/>
    <w:rsid w:val="002C6BE3"/>
    <w:rsid w:val="002C6FA2"/>
    <w:rsid w:val="002C761B"/>
    <w:rsid w:val="002C77C1"/>
    <w:rsid w:val="002C7841"/>
    <w:rsid w:val="002C794B"/>
    <w:rsid w:val="002C7C42"/>
    <w:rsid w:val="002D0270"/>
    <w:rsid w:val="002D0521"/>
    <w:rsid w:val="002D05DE"/>
    <w:rsid w:val="002D06B7"/>
    <w:rsid w:val="002D08FB"/>
    <w:rsid w:val="002D09C9"/>
    <w:rsid w:val="002D09FB"/>
    <w:rsid w:val="002D142A"/>
    <w:rsid w:val="002D1A93"/>
    <w:rsid w:val="002D1FA3"/>
    <w:rsid w:val="002D23E0"/>
    <w:rsid w:val="002D2D2B"/>
    <w:rsid w:val="002D2EED"/>
    <w:rsid w:val="002D3C42"/>
    <w:rsid w:val="002D4634"/>
    <w:rsid w:val="002D4B38"/>
    <w:rsid w:val="002D4F78"/>
    <w:rsid w:val="002D50AF"/>
    <w:rsid w:val="002D5177"/>
    <w:rsid w:val="002D52ED"/>
    <w:rsid w:val="002D5491"/>
    <w:rsid w:val="002D55EE"/>
    <w:rsid w:val="002D5AFF"/>
    <w:rsid w:val="002D5DD0"/>
    <w:rsid w:val="002D6470"/>
    <w:rsid w:val="002D6484"/>
    <w:rsid w:val="002D6B75"/>
    <w:rsid w:val="002D6BEB"/>
    <w:rsid w:val="002D6FEC"/>
    <w:rsid w:val="002D71A3"/>
    <w:rsid w:val="002E02B2"/>
    <w:rsid w:val="002E034C"/>
    <w:rsid w:val="002E0443"/>
    <w:rsid w:val="002E0A05"/>
    <w:rsid w:val="002E1091"/>
    <w:rsid w:val="002E1344"/>
    <w:rsid w:val="002E15BB"/>
    <w:rsid w:val="002E16C5"/>
    <w:rsid w:val="002E1D59"/>
    <w:rsid w:val="002E1E65"/>
    <w:rsid w:val="002E20B5"/>
    <w:rsid w:val="002E227E"/>
    <w:rsid w:val="002E26FD"/>
    <w:rsid w:val="002E2D55"/>
    <w:rsid w:val="002E3192"/>
    <w:rsid w:val="002E31EA"/>
    <w:rsid w:val="002E3731"/>
    <w:rsid w:val="002E3922"/>
    <w:rsid w:val="002E39B0"/>
    <w:rsid w:val="002E3B81"/>
    <w:rsid w:val="002E424C"/>
    <w:rsid w:val="002E4540"/>
    <w:rsid w:val="002E47DC"/>
    <w:rsid w:val="002E4AC2"/>
    <w:rsid w:val="002E4CDB"/>
    <w:rsid w:val="002E54F5"/>
    <w:rsid w:val="002E5B11"/>
    <w:rsid w:val="002E636A"/>
    <w:rsid w:val="002E6969"/>
    <w:rsid w:val="002E7558"/>
    <w:rsid w:val="002E76B8"/>
    <w:rsid w:val="002E7AF0"/>
    <w:rsid w:val="002E7B00"/>
    <w:rsid w:val="002E7D16"/>
    <w:rsid w:val="002F067E"/>
    <w:rsid w:val="002F0A19"/>
    <w:rsid w:val="002F0E59"/>
    <w:rsid w:val="002F133F"/>
    <w:rsid w:val="002F138B"/>
    <w:rsid w:val="002F1702"/>
    <w:rsid w:val="002F175F"/>
    <w:rsid w:val="002F19FE"/>
    <w:rsid w:val="002F2794"/>
    <w:rsid w:val="002F2BE8"/>
    <w:rsid w:val="002F30D0"/>
    <w:rsid w:val="002F39A2"/>
    <w:rsid w:val="002F3E17"/>
    <w:rsid w:val="002F4356"/>
    <w:rsid w:val="002F43DB"/>
    <w:rsid w:val="002F4732"/>
    <w:rsid w:val="002F4CCF"/>
    <w:rsid w:val="002F4D05"/>
    <w:rsid w:val="002F5789"/>
    <w:rsid w:val="002F63AB"/>
    <w:rsid w:val="002F679E"/>
    <w:rsid w:val="002F6B54"/>
    <w:rsid w:val="002F719B"/>
    <w:rsid w:val="002F74C1"/>
    <w:rsid w:val="002F7CCB"/>
    <w:rsid w:val="003009DA"/>
    <w:rsid w:val="00300A9E"/>
    <w:rsid w:val="00300B4E"/>
    <w:rsid w:val="003013AD"/>
    <w:rsid w:val="0030198C"/>
    <w:rsid w:val="00301F58"/>
    <w:rsid w:val="003021D9"/>
    <w:rsid w:val="003023DC"/>
    <w:rsid w:val="00302F8E"/>
    <w:rsid w:val="00303121"/>
    <w:rsid w:val="003035A7"/>
    <w:rsid w:val="0030399A"/>
    <w:rsid w:val="00303B58"/>
    <w:rsid w:val="00303BD1"/>
    <w:rsid w:val="00303BD6"/>
    <w:rsid w:val="00303EB7"/>
    <w:rsid w:val="003040C4"/>
    <w:rsid w:val="003040FF"/>
    <w:rsid w:val="00304305"/>
    <w:rsid w:val="003045C5"/>
    <w:rsid w:val="00304A45"/>
    <w:rsid w:val="00304CCA"/>
    <w:rsid w:val="00304EB0"/>
    <w:rsid w:val="00305C25"/>
    <w:rsid w:val="00306B67"/>
    <w:rsid w:val="00306F28"/>
    <w:rsid w:val="00307867"/>
    <w:rsid w:val="00307AA5"/>
    <w:rsid w:val="00307DE5"/>
    <w:rsid w:val="00310926"/>
    <w:rsid w:val="003110AC"/>
    <w:rsid w:val="0031127B"/>
    <w:rsid w:val="003112B9"/>
    <w:rsid w:val="0031158E"/>
    <w:rsid w:val="0031164F"/>
    <w:rsid w:val="00311CD3"/>
    <w:rsid w:val="00311EDB"/>
    <w:rsid w:val="0031237E"/>
    <w:rsid w:val="0031294C"/>
    <w:rsid w:val="00312DF3"/>
    <w:rsid w:val="00312F37"/>
    <w:rsid w:val="00313196"/>
    <w:rsid w:val="00314114"/>
    <w:rsid w:val="00314799"/>
    <w:rsid w:val="003153D5"/>
    <w:rsid w:val="00315F7E"/>
    <w:rsid w:val="00316521"/>
    <w:rsid w:val="00316946"/>
    <w:rsid w:val="00316D4A"/>
    <w:rsid w:val="0031706C"/>
    <w:rsid w:val="00317070"/>
    <w:rsid w:val="0031752F"/>
    <w:rsid w:val="0032026E"/>
    <w:rsid w:val="00320C3D"/>
    <w:rsid w:val="0032110C"/>
    <w:rsid w:val="00321541"/>
    <w:rsid w:val="00321CFD"/>
    <w:rsid w:val="00322560"/>
    <w:rsid w:val="00322A39"/>
    <w:rsid w:val="00322A85"/>
    <w:rsid w:val="00322BDA"/>
    <w:rsid w:val="00322F2C"/>
    <w:rsid w:val="00323EC1"/>
    <w:rsid w:val="00323F8B"/>
    <w:rsid w:val="00323FBD"/>
    <w:rsid w:val="00324B25"/>
    <w:rsid w:val="00324BEA"/>
    <w:rsid w:val="00324EDE"/>
    <w:rsid w:val="00324F58"/>
    <w:rsid w:val="003253C4"/>
    <w:rsid w:val="00325491"/>
    <w:rsid w:val="003256DC"/>
    <w:rsid w:val="003257FB"/>
    <w:rsid w:val="0032595E"/>
    <w:rsid w:val="0032629F"/>
    <w:rsid w:val="00326368"/>
    <w:rsid w:val="0032660E"/>
    <w:rsid w:val="00326825"/>
    <w:rsid w:val="00326DEF"/>
    <w:rsid w:val="0032787F"/>
    <w:rsid w:val="003278EA"/>
    <w:rsid w:val="00327932"/>
    <w:rsid w:val="003302A4"/>
    <w:rsid w:val="00330406"/>
    <w:rsid w:val="00330662"/>
    <w:rsid w:val="003309B4"/>
    <w:rsid w:val="003315C3"/>
    <w:rsid w:val="00331836"/>
    <w:rsid w:val="0033208F"/>
    <w:rsid w:val="0033234E"/>
    <w:rsid w:val="00332426"/>
    <w:rsid w:val="00332696"/>
    <w:rsid w:val="003328B5"/>
    <w:rsid w:val="00332A65"/>
    <w:rsid w:val="00332B56"/>
    <w:rsid w:val="0033324D"/>
    <w:rsid w:val="003336A8"/>
    <w:rsid w:val="0033428E"/>
    <w:rsid w:val="00334E5D"/>
    <w:rsid w:val="00335054"/>
    <w:rsid w:val="003350AE"/>
    <w:rsid w:val="00335615"/>
    <w:rsid w:val="00335ACB"/>
    <w:rsid w:val="00335C7D"/>
    <w:rsid w:val="003361B2"/>
    <w:rsid w:val="003369B8"/>
    <w:rsid w:val="00336AEA"/>
    <w:rsid w:val="00336B82"/>
    <w:rsid w:val="003373FA"/>
    <w:rsid w:val="00337FDF"/>
    <w:rsid w:val="003401DA"/>
    <w:rsid w:val="003403BE"/>
    <w:rsid w:val="00340927"/>
    <w:rsid w:val="003409BF"/>
    <w:rsid w:val="00340BCE"/>
    <w:rsid w:val="00340C0C"/>
    <w:rsid w:val="00340CF7"/>
    <w:rsid w:val="00340E84"/>
    <w:rsid w:val="003410CC"/>
    <w:rsid w:val="00341920"/>
    <w:rsid w:val="00341C46"/>
    <w:rsid w:val="0034227F"/>
    <w:rsid w:val="00342949"/>
    <w:rsid w:val="00342BDD"/>
    <w:rsid w:val="0034312D"/>
    <w:rsid w:val="00343BE9"/>
    <w:rsid w:val="003440B4"/>
    <w:rsid w:val="00344178"/>
    <w:rsid w:val="0034561D"/>
    <w:rsid w:val="00345AE0"/>
    <w:rsid w:val="0034637C"/>
    <w:rsid w:val="003465DC"/>
    <w:rsid w:val="003466BB"/>
    <w:rsid w:val="00346741"/>
    <w:rsid w:val="0034675B"/>
    <w:rsid w:val="00346D8E"/>
    <w:rsid w:val="0034740E"/>
    <w:rsid w:val="00347586"/>
    <w:rsid w:val="00347D38"/>
    <w:rsid w:val="00347F99"/>
    <w:rsid w:val="00350302"/>
    <w:rsid w:val="003506F4"/>
    <w:rsid w:val="003508D8"/>
    <w:rsid w:val="00351622"/>
    <w:rsid w:val="00351AAD"/>
    <w:rsid w:val="00351EA1"/>
    <w:rsid w:val="003520FF"/>
    <w:rsid w:val="0035212D"/>
    <w:rsid w:val="0035243C"/>
    <w:rsid w:val="00352F08"/>
    <w:rsid w:val="00353752"/>
    <w:rsid w:val="003538BF"/>
    <w:rsid w:val="00353AF5"/>
    <w:rsid w:val="00353E87"/>
    <w:rsid w:val="00354376"/>
    <w:rsid w:val="00354690"/>
    <w:rsid w:val="003547F1"/>
    <w:rsid w:val="003548B9"/>
    <w:rsid w:val="00354A0F"/>
    <w:rsid w:val="00354A57"/>
    <w:rsid w:val="00355567"/>
    <w:rsid w:val="0035594A"/>
    <w:rsid w:val="00355A51"/>
    <w:rsid w:val="00355A55"/>
    <w:rsid w:val="003564CC"/>
    <w:rsid w:val="003570B7"/>
    <w:rsid w:val="00357727"/>
    <w:rsid w:val="00357A43"/>
    <w:rsid w:val="00357C9C"/>
    <w:rsid w:val="00361473"/>
    <w:rsid w:val="00361AC9"/>
    <w:rsid w:val="00361C79"/>
    <w:rsid w:val="00361DD1"/>
    <w:rsid w:val="003621A5"/>
    <w:rsid w:val="00362B4A"/>
    <w:rsid w:val="00362FAD"/>
    <w:rsid w:val="0036312B"/>
    <w:rsid w:val="00363428"/>
    <w:rsid w:val="003635D4"/>
    <w:rsid w:val="003636B7"/>
    <w:rsid w:val="00363868"/>
    <w:rsid w:val="00363B26"/>
    <w:rsid w:val="00363D33"/>
    <w:rsid w:val="00364A17"/>
    <w:rsid w:val="00364A65"/>
    <w:rsid w:val="00364E9E"/>
    <w:rsid w:val="00364FF8"/>
    <w:rsid w:val="0036555A"/>
    <w:rsid w:val="003658DC"/>
    <w:rsid w:val="00365B79"/>
    <w:rsid w:val="00365EF4"/>
    <w:rsid w:val="003665F5"/>
    <w:rsid w:val="0036661B"/>
    <w:rsid w:val="00366966"/>
    <w:rsid w:val="003669BD"/>
    <w:rsid w:val="00366AC7"/>
    <w:rsid w:val="00366CB3"/>
    <w:rsid w:val="0036713D"/>
    <w:rsid w:val="003672CF"/>
    <w:rsid w:val="00367D55"/>
    <w:rsid w:val="00367F1F"/>
    <w:rsid w:val="003703FA"/>
    <w:rsid w:val="0037056D"/>
    <w:rsid w:val="00370C2C"/>
    <w:rsid w:val="00370F79"/>
    <w:rsid w:val="003712CD"/>
    <w:rsid w:val="0037169C"/>
    <w:rsid w:val="0037174D"/>
    <w:rsid w:val="00371B1C"/>
    <w:rsid w:val="00371F37"/>
    <w:rsid w:val="0037245E"/>
    <w:rsid w:val="0037250F"/>
    <w:rsid w:val="00372558"/>
    <w:rsid w:val="00372771"/>
    <w:rsid w:val="00372E13"/>
    <w:rsid w:val="0037302F"/>
    <w:rsid w:val="00373248"/>
    <w:rsid w:val="0037331E"/>
    <w:rsid w:val="003738CA"/>
    <w:rsid w:val="00373AAE"/>
    <w:rsid w:val="00373B28"/>
    <w:rsid w:val="00373D4C"/>
    <w:rsid w:val="00373E4D"/>
    <w:rsid w:val="00373E71"/>
    <w:rsid w:val="00375989"/>
    <w:rsid w:val="00375B16"/>
    <w:rsid w:val="003772C7"/>
    <w:rsid w:val="0037735A"/>
    <w:rsid w:val="0037751D"/>
    <w:rsid w:val="0037786F"/>
    <w:rsid w:val="0037788A"/>
    <w:rsid w:val="00377DBC"/>
    <w:rsid w:val="0038031F"/>
    <w:rsid w:val="00380365"/>
    <w:rsid w:val="00380895"/>
    <w:rsid w:val="00381080"/>
    <w:rsid w:val="00382001"/>
    <w:rsid w:val="00382002"/>
    <w:rsid w:val="0038222C"/>
    <w:rsid w:val="00382293"/>
    <w:rsid w:val="0038238A"/>
    <w:rsid w:val="00382C58"/>
    <w:rsid w:val="00383071"/>
    <w:rsid w:val="0038318B"/>
    <w:rsid w:val="003836B9"/>
    <w:rsid w:val="00383BDA"/>
    <w:rsid w:val="00383E44"/>
    <w:rsid w:val="003840CC"/>
    <w:rsid w:val="003842D6"/>
    <w:rsid w:val="003843D7"/>
    <w:rsid w:val="00384C94"/>
    <w:rsid w:val="00384CA1"/>
    <w:rsid w:val="00385270"/>
    <w:rsid w:val="003853E5"/>
    <w:rsid w:val="00385B87"/>
    <w:rsid w:val="00385C70"/>
    <w:rsid w:val="00385FDF"/>
    <w:rsid w:val="00386419"/>
    <w:rsid w:val="003866E7"/>
    <w:rsid w:val="00386894"/>
    <w:rsid w:val="0038721B"/>
    <w:rsid w:val="003877DA"/>
    <w:rsid w:val="00387B8E"/>
    <w:rsid w:val="00387DAB"/>
    <w:rsid w:val="00390438"/>
    <w:rsid w:val="0039043B"/>
    <w:rsid w:val="0039045E"/>
    <w:rsid w:val="0039065C"/>
    <w:rsid w:val="003909B1"/>
    <w:rsid w:val="00390AE2"/>
    <w:rsid w:val="00390FF6"/>
    <w:rsid w:val="00391674"/>
    <w:rsid w:val="00391EEB"/>
    <w:rsid w:val="003921F6"/>
    <w:rsid w:val="003923F3"/>
    <w:rsid w:val="0039258A"/>
    <w:rsid w:val="00392621"/>
    <w:rsid w:val="00392FAD"/>
    <w:rsid w:val="0039355F"/>
    <w:rsid w:val="003937A2"/>
    <w:rsid w:val="003937FA"/>
    <w:rsid w:val="00393930"/>
    <w:rsid w:val="00393A9B"/>
    <w:rsid w:val="00393DF2"/>
    <w:rsid w:val="003944DB"/>
    <w:rsid w:val="003948E3"/>
    <w:rsid w:val="00394CC9"/>
    <w:rsid w:val="0039520A"/>
    <w:rsid w:val="003953F9"/>
    <w:rsid w:val="0039551D"/>
    <w:rsid w:val="003955F6"/>
    <w:rsid w:val="003957A4"/>
    <w:rsid w:val="00395BB5"/>
    <w:rsid w:val="00395D96"/>
    <w:rsid w:val="00396284"/>
    <w:rsid w:val="003964B0"/>
    <w:rsid w:val="00396718"/>
    <w:rsid w:val="00397BC1"/>
    <w:rsid w:val="00397FE6"/>
    <w:rsid w:val="003A097B"/>
    <w:rsid w:val="003A0AF3"/>
    <w:rsid w:val="003A0BD3"/>
    <w:rsid w:val="003A0F32"/>
    <w:rsid w:val="003A1F82"/>
    <w:rsid w:val="003A2462"/>
    <w:rsid w:val="003A2539"/>
    <w:rsid w:val="003A25D1"/>
    <w:rsid w:val="003A263D"/>
    <w:rsid w:val="003A27ED"/>
    <w:rsid w:val="003A2A53"/>
    <w:rsid w:val="003A2B2E"/>
    <w:rsid w:val="003A2D12"/>
    <w:rsid w:val="003A394C"/>
    <w:rsid w:val="003A39EA"/>
    <w:rsid w:val="003A3DF2"/>
    <w:rsid w:val="003A3FBD"/>
    <w:rsid w:val="003A4290"/>
    <w:rsid w:val="003A4405"/>
    <w:rsid w:val="003A4A78"/>
    <w:rsid w:val="003A4A7D"/>
    <w:rsid w:val="003A4F5F"/>
    <w:rsid w:val="003A53E3"/>
    <w:rsid w:val="003A5555"/>
    <w:rsid w:val="003A5CDF"/>
    <w:rsid w:val="003A5DBB"/>
    <w:rsid w:val="003A5DD2"/>
    <w:rsid w:val="003A64C4"/>
    <w:rsid w:val="003A6E91"/>
    <w:rsid w:val="003A6FBC"/>
    <w:rsid w:val="003A700B"/>
    <w:rsid w:val="003A70A3"/>
    <w:rsid w:val="003A7907"/>
    <w:rsid w:val="003A796A"/>
    <w:rsid w:val="003A7A6E"/>
    <w:rsid w:val="003A7A8F"/>
    <w:rsid w:val="003B013B"/>
    <w:rsid w:val="003B1653"/>
    <w:rsid w:val="003B1852"/>
    <w:rsid w:val="003B1F9F"/>
    <w:rsid w:val="003B2980"/>
    <w:rsid w:val="003B2B52"/>
    <w:rsid w:val="003B2CC2"/>
    <w:rsid w:val="003B359F"/>
    <w:rsid w:val="003B3990"/>
    <w:rsid w:val="003B3B19"/>
    <w:rsid w:val="003B3C4C"/>
    <w:rsid w:val="003B3CAE"/>
    <w:rsid w:val="003B3EBE"/>
    <w:rsid w:val="003B4323"/>
    <w:rsid w:val="003B4658"/>
    <w:rsid w:val="003B477D"/>
    <w:rsid w:val="003B4834"/>
    <w:rsid w:val="003B4C0D"/>
    <w:rsid w:val="003B5076"/>
    <w:rsid w:val="003B52E9"/>
    <w:rsid w:val="003B600B"/>
    <w:rsid w:val="003B6186"/>
    <w:rsid w:val="003B69FB"/>
    <w:rsid w:val="003B7511"/>
    <w:rsid w:val="003B7614"/>
    <w:rsid w:val="003B7AE6"/>
    <w:rsid w:val="003C0324"/>
    <w:rsid w:val="003C0544"/>
    <w:rsid w:val="003C0BDF"/>
    <w:rsid w:val="003C0F09"/>
    <w:rsid w:val="003C0F7B"/>
    <w:rsid w:val="003C11A7"/>
    <w:rsid w:val="003C150D"/>
    <w:rsid w:val="003C1516"/>
    <w:rsid w:val="003C161A"/>
    <w:rsid w:val="003C17BE"/>
    <w:rsid w:val="003C182D"/>
    <w:rsid w:val="003C1F4F"/>
    <w:rsid w:val="003C232F"/>
    <w:rsid w:val="003C2DB3"/>
    <w:rsid w:val="003C3E9D"/>
    <w:rsid w:val="003C41B5"/>
    <w:rsid w:val="003C45D8"/>
    <w:rsid w:val="003C4B43"/>
    <w:rsid w:val="003C4B46"/>
    <w:rsid w:val="003C4DE4"/>
    <w:rsid w:val="003C4EEF"/>
    <w:rsid w:val="003C5D28"/>
    <w:rsid w:val="003C5F89"/>
    <w:rsid w:val="003C6056"/>
    <w:rsid w:val="003C60B1"/>
    <w:rsid w:val="003C6539"/>
    <w:rsid w:val="003C6732"/>
    <w:rsid w:val="003C68FF"/>
    <w:rsid w:val="003C6C86"/>
    <w:rsid w:val="003C6CBE"/>
    <w:rsid w:val="003C6E37"/>
    <w:rsid w:val="003C6F4D"/>
    <w:rsid w:val="003C6FD2"/>
    <w:rsid w:val="003C7C13"/>
    <w:rsid w:val="003C7D16"/>
    <w:rsid w:val="003D03A3"/>
    <w:rsid w:val="003D0778"/>
    <w:rsid w:val="003D0B77"/>
    <w:rsid w:val="003D162C"/>
    <w:rsid w:val="003D18DB"/>
    <w:rsid w:val="003D1DEE"/>
    <w:rsid w:val="003D23B9"/>
    <w:rsid w:val="003D24EC"/>
    <w:rsid w:val="003D268D"/>
    <w:rsid w:val="003D28EC"/>
    <w:rsid w:val="003D2B15"/>
    <w:rsid w:val="003D2EFC"/>
    <w:rsid w:val="003D325A"/>
    <w:rsid w:val="003D381E"/>
    <w:rsid w:val="003D3CCB"/>
    <w:rsid w:val="003D425B"/>
    <w:rsid w:val="003D450B"/>
    <w:rsid w:val="003D48F6"/>
    <w:rsid w:val="003D528E"/>
    <w:rsid w:val="003D573E"/>
    <w:rsid w:val="003D5DD6"/>
    <w:rsid w:val="003D6E21"/>
    <w:rsid w:val="003D70A9"/>
    <w:rsid w:val="003D71FE"/>
    <w:rsid w:val="003D733A"/>
    <w:rsid w:val="003D764D"/>
    <w:rsid w:val="003D7699"/>
    <w:rsid w:val="003D78A4"/>
    <w:rsid w:val="003E04D3"/>
    <w:rsid w:val="003E094D"/>
    <w:rsid w:val="003E0EE8"/>
    <w:rsid w:val="003E15FC"/>
    <w:rsid w:val="003E2318"/>
    <w:rsid w:val="003E2447"/>
    <w:rsid w:val="003E246C"/>
    <w:rsid w:val="003E2EE0"/>
    <w:rsid w:val="003E3146"/>
    <w:rsid w:val="003E32F6"/>
    <w:rsid w:val="003E336D"/>
    <w:rsid w:val="003E42BD"/>
    <w:rsid w:val="003E45FD"/>
    <w:rsid w:val="003E4C07"/>
    <w:rsid w:val="003E4C5D"/>
    <w:rsid w:val="003E4D30"/>
    <w:rsid w:val="003E4D68"/>
    <w:rsid w:val="003E4D93"/>
    <w:rsid w:val="003E573C"/>
    <w:rsid w:val="003E6FB7"/>
    <w:rsid w:val="003E6FE0"/>
    <w:rsid w:val="003E75BB"/>
    <w:rsid w:val="003E7800"/>
    <w:rsid w:val="003E7B11"/>
    <w:rsid w:val="003F0871"/>
    <w:rsid w:val="003F102E"/>
    <w:rsid w:val="003F107C"/>
    <w:rsid w:val="003F1E70"/>
    <w:rsid w:val="003F2698"/>
    <w:rsid w:val="003F2A7E"/>
    <w:rsid w:val="003F3048"/>
    <w:rsid w:val="003F307C"/>
    <w:rsid w:val="003F32B4"/>
    <w:rsid w:val="003F3522"/>
    <w:rsid w:val="003F3AC4"/>
    <w:rsid w:val="003F3DB7"/>
    <w:rsid w:val="003F3E11"/>
    <w:rsid w:val="003F4347"/>
    <w:rsid w:val="003F43C4"/>
    <w:rsid w:val="003F4840"/>
    <w:rsid w:val="003F494A"/>
    <w:rsid w:val="003F531B"/>
    <w:rsid w:val="003F5A70"/>
    <w:rsid w:val="003F681D"/>
    <w:rsid w:val="003F6A61"/>
    <w:rsid w:val="003F7865"/>
    <w:rsid w:val="003F79D8"/>
    <w:rsid w:val="003F7B36"/>
    <w:rsid w:val="003F7E65"/>
    <w:rsid w:val="00400088"/>
    <w:rsid w:val="00400A79"/>
    <w:rsid w:val="00401435"/>
    <w:rsid w:val="00401F41"/>
    <w:rsid w:val="0040226C"/>
    <w:rsid w:val="0040226F"/>
    <w:rsid w:val="00403263"/>
    <w:rsid w:val="004032B8"/>
    <w:rsid w:val="0040333B"/>
    <w:rsid w:val="00403D69"/>
    <w:rsid w:val="00404013"/>
    <w:rsid w:val="004040CC"/>
    <w:rsid w:val="00404115"/>
    <w:rsid w:val="00404AD9"/>
    <w:rsid w:val="00405095"/>
    <w:rsid w:val="00405096"/>
    <w:rsid w:val="004052D5"/>
    <w:rsid w:val="0040564B"/>
    <w:rsid w:val="00405BF6"/>
    <w:rsid w:val="00405CC0"/>
    <w:rsid w:val="0040636E"/>
    <w:rsid w:val="004069C5"/>
    <w:rsid w:val="00406D24"/>
    <w:rsid w:val="00407620"/>
    <w:rsid w:val="004076F6"/>
    <w:rsid w:val="0040789E"/>
    <w:rsid w:val="0040796B"/>
    <w:rsid w:val="00407A1A"/>
    <w:rsid w:val="00407A67"/>
    <w:rsid w:val="00407C37"/>
    <w:rsid w:val="00407CF3"/>
    <w:rsid w:val="00407EFD"/>
    <w:rsid w:val="00410294"/>
    <w:rsid w:val="00410783"/>
    <w:rsid w:val="004107B1"/>
    <w:rsid w:val="00411A8B"/>
    <w:rsid w:val="00411AA9"/>
    <w:rsid w:val="00411AFF"/>
    <w:rsid w:val="0041211C"/>
    <w:rsid w:val="004121F0"/>
    <w:rsid w:val="0041223D"/>
    <w:rsid w:val="004124A2"/>
    <w:rsid w:val="004129CC"/>
    <w:rsid w:val="00412A80"/>
    <w:rsid w:val="00412F91"/>
    <w:rsid w:val="004130DD"/>
    <w:rsid w:val="00413525"/>
    <w:rsid w:val="00413AA0"/>
    <w:rsid w:val="00413BA0"/>
    <w:rsid w:val="004142B5"/>
    <w:rsid w:val="004148C3"/>
    <w:rsid w:val="00414D8A"/>
    <w:rsid w:val="004157B3"/>
    <w:rsid w:val="004157BD"/>
    <w:rsid w:val="00415A78"/>
    <w:rsid w:val="00415DF7"/>
    <w:rsid w:val="0041637C"/>
    <w:rsid w:val="00416582"/>
    <w:rsid w:val="00416862"/>
    <w:rsid w:val="0041687E"/>
    <w:rsid w:val="00416DFD"/>
    <w:rsid w:val="00416F70"/>
    <w:rsid w:val="004177E5"/>
    <w:rsid w:val="00417A33"/>
    <w:rsid w:val="004203E2"/>
    <w:rsid w:val="0042138E"/>
    <w:rsid w:val="004218C2"/>
    <w:rsid w:val="00421A19"/>
    <w:rsid w:val="00421F20"/>
    <w:rsid w:val="0042217E"/>
    <w:rsid w:val="004222F8"/>
    <w:rsid w:val="004223AC"/>
    <w:rsid w:val="00423035"/>
    <w:rsid w:val="00423575"/>
    <w:rsid w:val="00423C32"/>
    <w:rsid w:val="004245E7"/>
    <w:rsid w:val="00424B93"/>
    <w:rsid w:val="00424D74"/>
    <w:rsid w:val="00425DC1"/>
    <w:rsid w:val="0042623D"/>
    <w:rsid w:val="0042686F"/>
    <w:rsid w:val="00427192"/>
    <w:rsid w:val="00427470"/>
    <w:rsid w:val="00427751"/>
    <w:rsid w:val="00427881"/>
    <w:rsid w:val="00427ED5"/>
    <w:rsid w:val="0043010C"/>
    <w:rsid w:val="004306E6"/>
    <w:rsid w:val="00430B1C"/>
    <w:rsid w:val="00430C0A"/>
    <w:rsid w:val="00430F7B"/>
    <w:rsid w:val="004318DC"/>
    <w:rsid w:val="00431946"/>
    <w:rsid w:val="00431F78"/>
    <w:rsid w:val="0043256A"/>
    <w:rsid w:val="0043277B"/>
    <w:rsid w:val="00432B60"/>
    <w:rsid w:val="00433030"/>
    <w:rsid w:val="00433B62"/>
    <w:rsid w:val="00433DA9"/>
    <w:rsid w:val="00433DAB"/>
    <w:rsid w:val="004341AA"/>
    <w:rsid w:val="00434395"/>
    <w:rsid w:val="00434849"/>
    <w:rsid w:val="00434B5B"/>
    <w:rsid w:val="00434E18"/>
    <w:rsid w:val="004356F6"/>
    <w:rsid w:val="00436254"/>
    <w:rsid w:val="004365B5"/>
    <w:rsid w:val="00436981"/>
    <w:rsid w:val="00436A4C"/>
    <w:rsid w:val="00436F86"/>
    <w:rsid w:val="00436FB0"/>
    <w:rsid w:val="00437154"/>
    <w:rsid w:val="0043741E"/>
    <w:rsid w:val="00437485"/>
    <w:rsid w:val="00437EA2"/>
    <w:rsid w:val="004401BE"/>
    <w:rsid w:val="00440286"/>
    <w:rsid w:val="00440345"/>
    <w:rsid w:val="004407E2"/>
    <w:rsid w:val="0044086B"/>
    <w:rsid w:val="00440EC9"/>
    <w:rsid w:val="00440FE0"/>
    <w:rsid w:val="0044151C"/>
    <w:rsid w:val="00441D1A"/>
    <w:rsid w:val="00442342"/>
    <w:rsid w:val="004425DF"/>
    <w:rsid w:val="00443217"/>
    <w:rsid w:val="00443AE7"/>
    <w:rsid w:val="0044431C"/>
    <w:rsid w:val="004449EF"/>
    <w:rsid w:val="00444CDD"/>
    <w:rsid w:val="00444E02"/>
    <w:rsid w:val="00444EBF"/>
    <w:rsid w:val="00445534"/>
    <w:rsid w:val="0044580E"/>
    <w:rsid w:val="0044612A"/>
    <w:rsid w:val="004461A8"/>
    <w:rsid w:val="004466D5"/>
    <w:rsid w:val="00446F5E"/>
    <w:rsid w:val="004470C6"/>
    <w:rsid w:val="004478EC"/>
    <w:rsid w:val="00447939"/>
    <w:rsid w:val="0045035D"/>
    <w:rsid w:val="004505C0"/>
    <w:rsid w:val="00450AF1"/>
    <w:rsid w:val="00450C4A"/>
    <w:rsid w:val="0045117F"/>
    <w:rsid w:val="0045132C"/>
    <w:rsid w:val="00451D39"/>
    <w:rsid w:val="00452225"/>
    <w:rsid w:val="0045224C"/>
    <w:rsid w:val="00452354"/>
    <w:rsid w:val="004523D0"/>
    <w:rsid w:val="00452641"/>
    <w:rsid w:val="004526D9"/>
    <w:rsid w:val="00452824"/>
    <w:rsid w:val="004528F5"/>
    <w:rsid w:val="00452F95"/>
    <w:rsid w:val="004534D1"/>
    <w:rsid w:val="00453648"/>
    <w:rsid w:val="00453745"/>
    <w:rsid w:val="0045417B"/>
    <w:rsid w:val="00454199"/>
    <w:rsid w:val="00454618"/>
    <w:rsid w:val="00455087"/>
    <w:rsid w:val="004551AB"/>
    <w:rsid w:val="004556E6"/>
    <w:rsid w:val="00456455"/>
    <w:rsid w:val="00456469"/>
    <w:rsid w:val="004567E9"/>
    <w:rsid w:val="00456C13"/>
    <w:rsid w:val="004571EB"/>
    <w:rsid w:val="00457430"/>
    <w:rsid w:val="004577B3"/>
    <w:rsid w:val="004578C5"/>
    <w:rsid w:val="00457A69"/>
    <w:rsid w:val="00457BD7"/>
    <w:rsid w:val="004606C1"/>
    <w:rsid w:val="004609D8"/>
    <w:rsid w:val="00460A53"/>
    <w:rsid w:val="00460CDE"/>
    <w:rsid w:val="00460E25"/>
    <w:rsid w:val="004616AF"/>
    <w:rsid w:val="00461E94"/>
    <w:rsid w:val="004623A2"/>
    <w:rsid w:val="0046271E"/>
    <w:rsid w:val="0046308B"/>
    <w:rsid w:val="0046312D"/>
    <w:rsid w:val="0046377F"/>
    <w:rsid w:val="00463A2A"/>
    <w:rsid w:val="00463C4B"/>
    <w:rsid w:val="00463D6B"/>
    <w:rsid w:val="00463F3A"/>
    <w:rsid w:val="004640B4"/>
    <w:rsid w:val="0046429E"/>
    <w:rsid w:val="00464CE7"/>
    <w:rsid w:val="00465AFC"/>
    <w:rsid w:val="00465B9E"/>
    <w:rsid w:val="00465C91"/>
    <w:rsid w:val="00465F08"/>
    <w:rsid w:val="00466174"/>
    <w:rsid w:val="004663FE"/>
    <w:rsid w:val="004671D3"/>
    <w:rsid w:val="00467249"/>
    <w:rsid w:val="00467746"/>
    <w:rsid w:val="00467ECF"/>
    <w:rsid w:val="00470398"/>
    <w:rsid w:val="00470A1C"/>
    <w:rsid w:val="00470C39"/>
    <w:rsid w:val="00470D71"/>
    <w:rsid w:val="00470EB7"/>
    <w:rsid w:val="00470EE1"/>
    <w:rsid w:val="00470FEF"/>
    <w:rsid w:val="00471207"/>
    <w:rsid w:val="00471306"/>
    <w:rsid w:val="00471494"/>
    <w:rsid w:val="004716B4"/>
    <w:rsid w:val="00472A46"/>
    <w:rsid w:val="00472A64"/>
    <w:rsid w:val="00472D3C"/>
    <w:rsid w:val="00472DBD"/>
    <w:rsid w:val="0047305B"/>
    <w:rsid w:val="00473757"/>
    <w:rsid w:val="00473F75"/>
    <w:rsid w:val="00475091"/>
    <w:rsid w:val="004750F3"/>
    <w:rsid w:val="00475B37"/>
    <w:rsid w:val="00475FCC"/>
    <w:rsid w:val="004765EF"/>
    <w:rsid w:val="0047674D"/>
    <w:rsid w:val="00476953"/>
    <w:rsid w:val="00476D7F"/>
    <w:rsid w:val="004770D3"/>
    <w:rsid w:val="0047768F"/>
    <w:rsid w:val="00477784"/>
    <w:rsid w:val="00477FC9"/>
    <w:rsid w:val="004802B5"/>
    <w:rsid w:val="00480AC6"/>
    <w:rsid w:val="00480BB7"/>
    <w:rsid w:val="00480C33"/>
    <w:rsid w:val="00480C41"/>
    <w:rsid w:val="00480DFB"/>
    <w:rsid w:val="00480EE8"/>
    <w:rsid w:val="00481348"/>
    <w:rsid w:val="00481AD5"/>
    <w:rsid w:val="0048254E"/>
    <w:rsid w:val="00482870"/>
    <w:rsid w:val="00483762"/>
    <w:rsid w:val="004840FE"/>
    <w:rsid w:val="0048449D"/>
    <w:rsid w:val="004845B1"/>
    <w:rsid w:val="004846BC"/>
    <w:rsid w:val="00484943"/>
    <w:rsid w:val="00484DB0"/>
    <w:rsid w:val="00485152"/>
    <w:rsid w:val="00485155"/>
    <w:rsid w:val="0048537A"/>
    <w:rsid w:val="004859CF"/>
    <w:rsid w:val="00485A5B"/>
    <w:rsid w:val="00485B32"/>
    <w:rsid w:val="0048676A"/>
    <w:rsid w:val="00486CD7"/>
    <w:rsid w:val="00487375"/>
    <w:rsid w:val="0048753F"/>
    <w:rsid w:val="00487727"/>
    <w:rsid w:val="00490010"/>
    <w:rsid w:val="00490304"/>
    <w:rsid w:val="00490335"/>
    <w:rsid w:val="00490A38"/>
    <w:rsid w:val="0049219A"/>
    <w:rsid w:val="0049231B"/>
    <w:rsid w:val="004925EA"/>
    <w:rsid w:val="004929CF"/>
    <w:rsid w:val="00492AF5"/>
    <w:rsid w:val="00492BCF"/>
    <w:rsid w:val="00492ED7"/>
    <w:rsid w:val="00493120"/>
    <w:rsid w:val="0049371F"/>
    <w:rsid w:val="00493894"/>
    <w:rsid w:val="00493A5A"/>
    <w:rsid w:val="00493BFA"/>
    <w:rsid w:val="00493F7B"/>
    <w:rsid w:val="0049401F"/>
    <w:rsid w:val="004942AE"/>
    <w:rsid w:val="0049435B"/>
    <w:rsid w:val="00494915"/>
    <w:rsid w:val="00494CE6"/>
    <w:rsid w:val="0049507B"/>
    <w:rsid w:val="00495A94"/>
    <w:rsid w:val="00495D7F"/>
    <w:rsid w:val="0049618A"/>
    <w:rsid w:val="00496D4D"/>
    <w:rsid w:val="00497251"/>
    <w:rsid w:val="0049744D"/>
    <w:rsid w:val="0049776C"/>
    <w:rsid w:val="0049777E"/>
    <w:rsid w:val="004977C3"/>
    <w:rsid w:val="00497CDE"/>
    <w:rsid w:val="00497F59"/>
    <w:rsid w:val="004A002B"/>
    <w:rsid w:val="004A015A"/>
    <w:rsid w:val="004A039C"/>
    <w:rsid w:val="004A07C5"/>
    <w:rsid w:val="004A0A3C"/>
    <w:rsid w:val="004A0AF5"/>
    <w:rsid w:val="004A0BB4"/>
    <w:rsid w:val="004A1A39"/>
    <w:rsid w:val="004A1DEB"/>
    <w:rsid w:val="004A24DB"/>
    <w:rsid w:val="004A280D"/>
    <w:rsid w:val="004A28CC"/>
    <w:rsid w:val="004A2B3C"/>
    <w:rsid w:val="004A3111"/>
    <w:rsid w:val="004A325F"/>
    <w:rsid w:val="004A3270"/>
    <w:rsid w:val="004A36EB"/>
    <w:rsid w:val="004A3885"/>
    <w:rsid w:val="004A400D"/>
    <w:rsid w:val="004A4321"/>
    <w:rsid w:val="004A43CA"/>
    <w:rsid w:val="004A4794"/>
    <w:rsid w:val="004A491D"/>
    <w:rsid w:val="004A4EA1"/>
    <w:rsid w:val="004A5055"/>
    <w:rsid w:val="004A57A8"/>
    <w:rsid w:val="004A5B83"/>
    <w:rsid w:val="004A62A7"/>
    <w:rsid w:val="004A63AE"/>
    <w:rsid w:val="004A6568"/>
    <w:rsid w:val="004A6DA3"/>
    <w:rsid w:val="004A74BC"/>
    <w:rsid w:val="004A7974"/>
    <w:rsid w:val="004B0773"/>
    <w:rsid w:val="004B0843"/>
    <w:rsid w:val="004B08BD"/>
    <w:rsid w:val="004B0D79"/>
    <w:rsid w:val="004B0E7C"/>
    <w:rsid w:val="004B1107"/>
    <w:rsid w:val="004B1705"/>
    <w:rsid w:val="004B170E"/>
    <w:rsid w:val="004B1B98"/>
    <w:rsid w:val="004B1BA2"/>
    <w:rsid w:val="004B20C1"/>
    <w:rsid w:val="004B223F"/>
    <w:rsid w:val="004B2800"/>
    <w:rsid w:val="004B2B6A"/>
    <w:rsid w:val="004B2DE1"/>
    <w:rsid w:val="004B316C"/>
    <w:rsid w:val="004B3745"/>
    <w:rsid w:val="004B3EF4"/>
    <w:rsid w:val="004B40D2"/>
    <w:rsid w:val="004B40EB"/>
    <w:rsid w:val="004B4520"/>
    <w:rsid w:val="004B4F1C"/>
    <w:rsid w:val="004B6415"/>
    <w:rsid w:val="004B6AFB"/>
    <w:rsid w:val="004B6B86"/>
    <w:rsid w:val="004B6BFA"/>
    <w:rsid w:val="004B7335"/>
    <w:rsid w:val="004B7500"/>
    <w:rsid w:val="004B7722"/>
    <w:rsid w:val="004B7D2A"/>
    <w:rsid w:val="004B7EAC"/>
    <w:rsid w:val="004B7EB0"/>
    <w:rsid w:val="004C066A"/>
    <w:rsid w:val="004C0FCF"/>
    <w:rsid w:val="004C154E"/>
    <w:rsid w:val="004C164D"/>
    <w:rsid w:val="004C1C4C"/>
    <w:rsid w:val="004C1DB2"/>
    <w:rsid w:val="004C2379"/>
    <w:rsid w:val="004C2968"/>
    <w:rsid w:val="004C2B1F"/>
    <w:rsid w:val="004C3578"/>
    <w:rsid w:val="004C4305"/>
    <w:rsid w:val="004C4D85"/>
    <w:rsid w:val="004C524E"/>
    <w:rsid w:val="004C5AD9"/>
    <w:rsid w:val="004C5B4A"/>
    <w:rsid w:val="004C5DF0"/>
    <w:rsid w:val="004C5EAE"/>
    <w:rsid w:val="004C6AF3"/>
    <w:rsid w:val="004C6D6C"/>
    <w:rsid w:val="004C71EA"/>
    <w:rsid w:val="004C786E"/>
    <w:rsid w:val="004C7D42"/>
    <w:rsid w:val="004D00F5"/>
    <w:rsid w:val="004D01C8"/>
    <w:rsid w:val="004D0E81"/>
    <w:rsid w:val="004D16F0"/>
    <w:rsid w:val="004D17B8"/>
    <w:rsid w:val="004D18CB"/>
    <w:rsid w:val="004D194B"/>
    <w:rsid w:val="004D1D12"/>
    <w:rsid w:val="004D1FFC"/>
    <w:rsid w:val="004D27E7"/>
    <w:rsid w:val="004D2840"/>
    <w:rsid w:val="004D2CD6"/>
    <w:rsid w:val="004D2FA9"/>
    <w:rsid w:val="004D39C9"/>
    <w:rsid w:val="004D3A9C"/>
    <w:rsid w:val="004D3CE6"/>
    <w:rsid w:val="004D4000"/>
    <w:rsid w:val="004D467F"/>
    <w:rsid w:val="004D4826"/>
    <w:rsid w:val="004D4CF7"/>
    <w:rsid w:val="004D4F97"/>
    <w:rsid w:val="004D513E"/>
    <w:rsid w:val="004D56EF"/>
    <w:rsid w:val="004D5DEC"/>
    <w:rsid w:val="004D6580"/>
    <w:rsid w:val="004D6A0B"/>
    <w:rsid w:val="004D7883"/>
    <w:rsid w:val="004D7E7D"/>
    <w:rsid w:val="004E02DC"/>
    <w:rsid w:val="004E0369"/>
    <w:rsid w:val="004E04AB"/>
    <w:rsid w:val="004E04F6"/>
    <w:rsid w:val="004E1498"/>
    <w:rsid w:val="004E1626"/>
    <w:rsid w:val="004E1BF1"/>
    <w:rsid w:val="004E2D20"/>
    <w:rsid w:val="004E2E6F"/>
    <w:rsid w:val="004E3183"/>
    <w:rsid w:val="004E321C"/>
    <w:rsid w:val="004E330F"/>
    <w:rsid w:val="004E3659"/>
    <w:rsid w:val="004E3E76"/>
    <w:rsid w:val="004E3F20"/>
    <w:rsid w:val="004E435B"/>
    <w:rsid w:val="004E4B38"/>
    <w:rsid w:val="004E4B77"/>
    <w:rsid w:val="004E56BB"/>
    <w:rsid w:val="004E579D"/>
    <w:rsid w:val="004E5887"/>
    <w:rsid w:val="004E5D13"/>
    <w:rsid w:val="004E5FA7"/>
    <w:rsid w:val="004E654A"/>
    <w:rsid w:val="004E6C84"/>
    <w:rsid w:val="004E6C9D"/>
    <w:rsid w:val="004E6D00"/>
    <w:rsid w:val="004E6F33"/>
    <w:rsid w:val="004E77B5"/>
    <w:rsid w:val="004E7C3B"/>
    <w:rsid w:val="004E7DD3"/>
    <w:rsid w:val="004E7ED1"/>
    <w:rsid w:val="004F002E"/>
    <w:rsid w:val="004F0269"/>
    <w:rsid w:val="004F0477"/>
    <w:rsid w:val="004F0A15"/>
    <w:rsid w:val="004F0CDF"/>
    <w:rsid w:val="004F13AC"/>
    <w:rsid w:val="004F13EB"/>
    <w:rsid w:val="004F1653"/>
    <w:rsid w:val="004F22FD"/>
    <w:rsid w:val="004F23BA"/>
    <w:rsid w:val="004F26D5"/>
    <w:rsid w:val="004F3075"/>
    <w:rsid w:val="004F3470"/>
    <w:rsid w:val="004F3D01"/>
    <w:rsid w:val="004F404A"/>
    <w:rsid w:val="004F4421"/>
    <w:rsid w:val="004F4B1E"/>
    <w:rsid w:val="004F4D18"/>
    <w:rsid w:val="004F4FB0"/>
    <w:rsid w:val="004F5434"/>
    <w:rsid w:val="004F54D7"/>
    <w:rsid w:val="004F5969"/>
    <w:rsid w:val="004F5C44"/>
    <w:rsid w:val="004F62C6"/>
    <w:rsid w:val="004F65B4"/>
    <w:rsid w:val="004F6C5D"/>
    <w:rsid w:val="004F7392"/>
    <w:rsid w:val="004F7447"/>
    <w:rsid w:val="004F799E"/>
    <w:rsid w:val="004F7A37"/>
    <w:rsid w:val="004F7AC5"/>
    <w:rsid w:val="004F7C37"/>
    <w:rsid w:val="005007E0"/>
    <w:rsid w:val="00500D3D"/>
    <w:rsid w:val="00501472"/>
    <w:rsid w:val="0050192D"/>
    <w:rsid w:val="00501A5E"/>
    <w:rsid w:val="00501AA5"/>
    <w:rsid w:val="00501B21"/>
    <w:rsid w:val="00501C3E"/>
    <w:rsid w:val="00501D40"/>
    <w:rsid w:val="005028F1"/>
    <w:rsid w:val="00502946"/>
    <w:rsid w:val="005029AC"/>
    <w:rsid w:val="005029C2"/>
    <w:rsid w:val="00502B5B"/>
    <w:rsid w:val="00503C48"/>
    <w:rsid w:val="005041EE"/>
    <w:rsid w:val="005043C3"/>
    <w:rsid w:val="00504777"/>
    <w:rsid w:val="005048E0"/>
    <w:rsid w:val="00504A66"/>
    <w:rsid w:val="00504A83"/>
    <w:rsid w:val="00504ECC"/>
    <w:rsid w:val="00505623"/>
    <w:rsid w:val="0050566A"/>
    <w:rsid w:val="00505769"/>
    <w:rsid w:val="005057B9"/>
    <w:rsid w:val="00505B1F"/>
    <w:rsid w:val="005060C8"/>
    <w:rsid w:val="005064BF"/>
    <w:rsid w:val="00506D57"/>
    <w:rsid w:val="00506E3A"/>
    <w:rsid w:val="00507052"/>
    <w:rsid w:val="00507696"/>
    <w:rsid w:val="00507DCC"/>
    <w:rsid w:val="0051026C"/>
    <w:rsid w:val="00510B93"/>
    <w:rsid w:val="00510D9F"/>
    <w:rsid w:val="00510DCF"/>
    <w:rsid w:val="00511255"/>
    <w:rsid w:val="00511C50"/>
    <w:rsid w:val="0051270F"/>
    <w:rsid w:val="00512762"/>
    <w:rsid w:val="005129A7"/>
    <w:rsid w:val="00512B91"/>
    <w:rsid w:val="005133CB"/>
    <w:rsid w:val="005140F2"/>
    <w:rsid w:val="0051421B"/>
    <w:rsid w:val="00514295"/>
    <w:rsid w:val="0051442A"/>
    <w:rsid w:val="005145AE"/>
    <w:rsid w:val="00514650"/>
    <w:rsid w:val="005148E1"/>
    <w:rsid w:val="0051491C"/>
    <w:rsid w:val="00514A00"/>
    <w:rsid w:val="00514B73"/>
    <w:rsid w:val="005152BA"/>
    <w:rsid w:val="00515507"/>
    <w:rsid w:val="0051555D"/>
    <w:rsid w:val="0051558A"/>
    <w:rsid w:val="00515F11"/>
    <w:rsid w:val="005165A2"/>
    <w:rsid w:val="005166AA"/>
    <w:rsid w:val="00516978"/>
    <w:rsid w:val="00516E74"/>
    <w:rsid w:val="00517539"/>
    <w:rsid w:val="00517AB0"/>
    <w:rsid w:val="00520088"/>
    <w:rsid w:val="00520364"/>
    <w:rsid w:val="00520D20"/>
    <w:rsid w:val="00520DAC"/>
    <w:rsid w:val="005212DA"/>
    <w:rsid w:val="00521432"/>
    <w:rsid w:val="0052194F"/>
    <w:rsid w:val="00521C8C"/>
    <w:rsid w:val="00521C91"/>
    <w:rsid w:val="00522504"/>
    <w:rsid w:val="005226ED"/>
    <w:rsid w:val="00522BEA"/>
    <w:rsid w:val="0052307A"/>
    <w:rsid w:val="0052316B"/>
    <w:rsid w:val="0052319C"/>
    <w:rsid w:val="005234DB"/>
    <w:rsid w:val="005236F1"/>
    <w:rsid w:val="0052374B"/>
    <w:rsid w:val="00523CA1"/>
    <w:rsid w:val="00523EB1"/>
    <w:rsid w:val="00523F46"/>
    <w:rsid w:val="005241AA"/>
    <w:rsid w:val="0052502B"/>
    <w:rsid w:val="005250E4"/>
    <w:rsid w:val="005255EC"/>
    <w:rsid w:val="005257DD"/>
    <w:rsid w:val="00525EE5"/>
    <w:rsid w:val="0052663D"/>
    <w:rsid w:val="00526667"/>
    <w:rsid w:val="0052682A"/>
    <w:rsid w:val="00526874"/>
    <w:rsid w:val="005270FB"/>
    <w:rsid w:val="00527110"/>
    <w:rsid w:val="00527DA2"/>
    <w:rsid w:val="00527F10"/>
    <w:rsid w:val="00527F3A"/>
    <w:rsid w:val="00530181"/>
    <w:rsid w:val="005303C5"/>
    <w:rsid w:val="005309DC"/>
    <w:rsid w:val="00530F5B"/>
    <w:rsid w:val="00531321"/>
    <w:rsid w:val="005315BB"/>
    <w:rsid w:val="00531983"/>
    <w:rsid w:val="00531A38"/>
    <w:rsid w:val="0053215B"/>
    <w:rsid w:val="0053279A"/>
    <w:rsid w:val="0053342B"/>
    <w:rsid w:val="00533575"/>
    <w:rsid w:val="005337B8"/>
    <w:rsid w:val="005338B8"/>
    <w:rsid w:val="00533959"/>
    <w:rsid w:val="00533A9C"/>
    <w:rsid w:val="00533F9D"/>
    <w:rsid w:val="0053405B"/>
    <w:rsid w:val="00534103"/>
    <w:rsid w:val="0053474F"/>
    <w:rsid w:val="005347A8"/>
    <w:rsid w:val="005347D4"/>
    <w:rsid w:val="00534CC1"/>
    <w:rsid w:val="00534F7F"/>
    <w:rsid w:val="0053531A"/>
    <w:rsid w:val="005358D9"/>
    <w:rsid w:val="00535E59"/>
    <w:rsid w:val="00536402"/>
    <w:rsid w:val="00536897"/>
    <w:rsid w:val="0053709E"/>
    <w:rsid w:val="00537223"/>
    <w:rsid w:val="00537387"/>
    <w:rsid w:val="00537763"/>
    <w:rsid w:val="005378C1"/>
    <w:rsid w:val="00537B94"/>
    <w:rsid w:val="00537D9E"/>
    <w:rsid w:val="00537F62"/>
    <w:rsid w:val="005400A3"/>
    <w:rsid w:val="005407AA"/>
    <w:rsid w:val="005407F3"/>
    <w:rsid w:val="00540A3A"/>
    <w:rsid w:val="00540B5E"/>
    <w:rsid w:val="00540BA4"/>
    <w:rsid w:val="00540D72"/>
    <w:rsid w:val="00540DF0"/>
    <w:rsid w:val="00541049"/>
    <w:rsid w:val="005414AE"/>
    <w:rsid w:val="0054199B"/>
    <w:rsid w:val="005419AD"/>
    <w:rsid w:val="00541CD7"/>
    <w:rsid w:val="00542171"/>
    <w:rsid w:val="00542268"/>
    <w:rsid w:val="00542BDB"/>
    <w:rsid w:val="00542C3F"/>
    <w:rsid w:val="00542F2D"/>
    <w:rsid w:val="00542FC3"/>
    <w:rsid w:val="00543467"/>
    <w:rsid w:val="00543526"/>
    <w:rsid w:val="00543849"/>
    <w:rsid w:val="00543905"/>
    <w:rsid w:val="00543A04"/>
    <w:rsid w:val="00543A71"/>
    <w:rsid w:val="005441AE"/>
    <w:rsid w:val="00544673"/>
    <w:rsid w:val="005452F3"/>
    <w:rsid w:val="005454AF"/>
    <w:rsid w:val="00545724"/>
    <w:rsid w:val="00545A1C"/>
    <w:rsid w:val="00545A95"/>
    <w:rsid w:val="00545D58"/>
    <w:rsid w:val="0054602F"/>
    <w:rsid w:val="0054721D"/>
    <w:rsid w:val="005472C7"/>
    <w:rsid w:val="00547333"/>
    <w:rsid w:val="00547BBA"/>
    <w:rsid w:val="00547FDB"/>
    <w:rsid w:val="00550724"/>
    <w:rsid w:val="0055087D"/>
    <w:rsid w:val="00550E0C"/>
    <w:rsid w:val="0055119E"/>
    <w:rsid w:val="005513B5"/>
    <w:rsid w:val="00551907"/>
    <w:rsid w:val="00551CBF"/>
    <w:rsid w:val="00551FC2"/>
    <w:rsid w:val="005521CB"/>
    <w:rsid w:val="005522D7"/>
    <w:rsid w:val="00552595"/>
    <w:rsid w:val="0055259F"/>
    <w:rsid w:val="0055273F"/>
    <w:rsid w:val="00552E33"/>
    <w:rsid w:val="005533F2"/>
    <w:rsid w:val="0055353A"/>
    <w:rsid w:val="005539E2"/>
    <w:rsid w:val="00553CC6"/>
    <w:rsid w:val="00554381"/>
    <w:rsid w:val="00554B5B"/>
    <w:rsid w:val="00555187"/>
    <w:rsid w:val="00555192"/>
    <w:rsid w:val="005551CD"/>
    <w:rsid w:val="00555415"/>
    <w:rsid w:val="005554F9"/>
    <w:rsid w:val="00555C41"/>
    <w:rsid w:val="00555D46"/>
    <w:rsid w:val="00555E50"/>
    <w:rsid w:val="00555F04"/>
    <w:rsid w:val="00556AC3"/>
    <w:rsid w:val="00556D42"/>
    <w:rsid w:val="00557047"/>
    <w:rsid w:val="00557157"/>
    <w:rsid w:val="005578C5"/>
    <w:rsid w:val="00557AFA"/>
    <w:rsid w:val="005600F7"/>
    <w:rsid w:val="00560185"/>
    <w:rsid w:val="00560AEE"/>
    <w:rsid w:val="00560D0A"/>
    <w:rsid w:val="00560EA1"/>
    <w:rsid w:val="00561621"/>
    <w:rsid w:val="00561F5B"/>
    <w:rsid w:val="0056218C"/>
    <w:rsid w:val="005622E8"/>
    <w:rsid w:val="005623FC"/>
    <w:rsid w:val="00562989"/>
    <w:rsid w:val="005629E0"/>
    <w:rsid w:val="00563046"/>
    <w:rsid w:val="005630E3"/>
    <w:rsid w:val="00563758"/>
    <w:rsid w:val="00563B62"/>
    <w:rsid w:val="00563B75"/>
    <w:rsid w:val="00563B98"/>
    <w:rsid w:val="00563C72"/>
    <w:rsid w:val="00563D5D"/>
    <w:rsid w:val="00563ED1"/>
    <w:rsid w:val="0056407A"/>
    <w:rsid w:val="005644D1"/>
    <w:rsid w:val="0056489D"/>
    <w:rsid w:val="00564AE2"/>
    <w:rsid w:val="0056514F"/>
    <w:rsid w:val="00566008"/>
    <w:rsid w:val="005663B7"/>
    <w:rsid w:val="0056680B"/>
    <w:rsid w:val="0056697E"/>
    <w:rsid w:val="00566C3A"/>
    <w:rsid w:val="00566F60"/>
    <w:rsid w:val="0056766A"/>
    <w:rsid w:val="00567862"/>
    <w:rsid w:val="0057011A"/>
    <w:rsid w:val="0057023B"/>
    <w:rsid w:val="0057058A"/>
    <w:rsid w:val="0057070C"/>
    <w:rsid w:val="00570BFC"/>
    <w:rsid w:val="0057113B"/>
    <w:rsid w:val="0057125F"/>
    <w:rsid w:val="005712B3"/>
    <w:rsid w:val="005717DF"/>
    <w:rsid w:val="00571CD7"/>
    <w:rsid w:val="00571FCA"/>
    <w:rsid w:val="00572E3D"/>
    <w:rsid w:val="00572EC2"/>
    <w:rsid w:val="005734F5"/>
    <w:rsid w:val="00573556"/>
    <w:rsid w:val="00573563"/>
    <w:rsid w:val="0057382A"/>
    <w:rsid w:val="00573855"/>
    <w:rsid w:val="00574118"/>
    <w:rsid w:val="0057441B"/>
    <w:rsid w:val="0057476D"/>
    <w:rsid w:val="00574A4B"/>
    <w:rsid w:val="005754B3"/>
    <w:rsid w:val="005758C8"/>
    <w:rsid w:val="00575B86"/>
    <w:rsid w:val="0057600D"/>
    <w:rsid w:val="00576144"/>
    <w:rsid w:val="005763C6"/>
    <w:rsid w:val="005768F4"/>
    <w:rsid w:val="0057696C"/>
    <w:rsid w:val="00576A75"/>
    <w:rsid w:val="00576AF3"/>
    <w:rsid w:val="00576DA3"/>
    <w:rsid w:val="0057713C"/>
    <w:rsid w:val="00577CCA"/>
    <w:rsid w:val="00580928"/>
    <w:rsid w:val="00580D21"/>
    <w:rsid w:val="00580F37"/>
    <w:rsid w:val="005815EF"/>
    <w:rsid w:val="00581918"/>
    <w:rsid w:val="005822D3"/>
    <w:rsid w:val="005825C4"/>
    <w:rsid w:val="0058275B"/>
    <w:rsid w:val="00582B58"/>
    <w:rsid w:val="00583043"/>
    <w:rsid w:val="00583E2C"/>
    <w:rsid w:val="00583EF7"/>
    <w:rsid w:val="005842F5"/>
    <w:rsid w:val="005847B2"/>
    <w:rsid w:val="00584C85"/>
    <w:rsid w:val="00584CDE"/>
    <w:rsid w:val="005854E0"/>
    <w:rsid w:val="005855E2"/>
    <w:rsid w:val="0058591F"/>
    <w:rsid w:val="00585A06"/>
    <w:rsid w:val="00585E17"/>
    <w:rsid w:val="0058681D"/>
    <w:rsid w:val="005869FE"/>
    <w:rsid w:val="00586E1E"/>
    <w:rsid w:val="00586FAC"/>
    <w:rsid w:val="00587159"/>
    <w:rsid w:val="00587C21"/>
    <w:rsid w:val="00587E65"/>
    <w:rsid w:val="00587E82"/>
    <w:rsid w:val="005904E0"/>
    <w:rsid w:val="00590667"/>
    <w:rsid w:val="005908DD"/>
    <w:rsid w:val="005908F2"/>
    <w:rsid w:val="00590ADA"/>
    <w:rsid w:val="00590DB4"/>
    <w:rsid w:val="00590E70"/>
    <w:rsid w:val="00590F59"/>
    <w:rsid w:val="005913B0"/>
    <w:rsid w:val="005914E1"/>
    <w:rsid w:val="00591645"/>
    <w:rsid w:val="005917CC"/>
    <w:rsid w:val="0059181E"/>
    <w:rsid w:val="0059186E"/>
    <w:rsid w:val="00591E0A"/>
    <w:rsid w:val="00592070"/>
    <w:rsid w:val="005925FC"/>
    <w:rsid w:val="00592796"/>
    <w:rsid w:val="00593149"/>
    <w:rsid w:val="00593384"/>
    <w:rsid w:val="00593586"/>
    <w:rsid w:val="00593773"/>
    <w:rsid w:val="00593CB5"/>
    <w:rsid w:val="00593FC7"/>
    <w:rsid w:val="005940DA"/>
    <w:rsid w:val="005940E7"/>
    <w:rsid w:val="00594314"/>
    <w:rsid w:val="00594326"/>
    <w:rsid w:val="0059444E"/>
    <w:rsid w:val="005948B4"/>
    <w:rsid w:val="0059512C"/>
    <w:rsid w:val="00595130"/>
    <w:rsid w:val="00596241"/>
    <w:rsid w:val="0059665C"/>
    <w:rsid w:val="00596EA3"/>
    <w:rsid w:val="00596F47"/>
    <w:rsid w:val="00597179"/>
    <w:rsid w:val="00597733"/>
    <w:rsid w:val="00597755"/>
    <w:rsid w:val="00597C2B"/>
    <w:rsid w:val="00597D23"/>
    <w:rsid w:val="005A00A3"/>
    <w:rsid w:val="005A02E6"/>
    <w:rsid w:val="005A03F2"/>
    <w:rsid w:val="005A077F"/>
    <w:rsid w:val="005A07A1"/>
    <w:rsid w:val="005A0BDE"/>
    <w:rsid w:val="005A0E5D"/>
    <w:rsid w:val="005A0EDF"/>
    <w:rsid w:val="005A1586"/>
    <w:rsid w:val="005A1CE5"/>
    <w:rsid w:val="005A1CE7"/>
    <w:rsid w:val="005A1EB7"/>
    <w:rsid w:val="005A1EF8"/>
    <w:rsid w:val="005A21B7"/>
    <w:rsid w:val="005A2403"/>
    <w:rsid w:val="005A2A5D"/>
    <w:rsid w:val="005A2E14"/>
    <w:rsid w:val="005A2F48"/>
    <w:rsid w:val="005A36F2"/>
    <w:rsid w:val="005A3DBC"/>
    <w:rsid w:val="005A45C0"/>
    <w:rsid w:val="005A47D6"/>
    <w:rsid w:val="005A498D"/>
    <w:rsid w:val="005A4F60"/>
    <w:rsid w:val="005A507A"/>
    <w:rsid w:val="005A5442"/>
    <w:rsid w:val="005A5493"/>
    <w:rsid w:val="005A5497"/>
    <w:rsid w:val="005A5EAE"/>
    <w:rsid w:val="005A6055"/>
    <w:rsid w:val="005A60BC"/>
    <w:rsid w:val="005A64DF"/>
    <w:rsid w:val="005A6744"/>
    <w:rsid w:val="005A6DE8"/>
    <w:rsid w:val="005A6FE8"/>
    <w:rsid w:val="005A767D"/>
    <w:rsid w:val="005A7964"/>
    <w:rsid w:val="005A7EF9"/>
    <w:rsid w:val="005B070D"/>
    <w:rsid w:val="005B16F6"/>
    <w:rsid w:val="005B178C"/>
    <w:rsid w:val="005B1879"/>
    <w:rsid w:val="005B1DCD"/>
    <w:rsid w:val="005B1F85"/>
    <w:rsid w:val="005B2149"/>
    <w:rsid w:val="005B238F"/>
    <w:rsid w:val="005B2477"/>
    <w:rsid w:val="005B2A60"/>
    <w:rsid w:val="005B30AB"/>
    <w:rsid w:val="005B3217"/>
    <w:rsid w:val="005B3FF5"/>
    <w:rsid w:val="005B4220"/>
    <w:rsid w:val="005B4293"/>
    <w:rsid w:val="005B4331"/>
    <w:rsid w:val="005B44BD"/>
    <w:rsid w:val="005B4776"/>
    <w:rsid w:val="005B47A1"/>
    <w:rsid w:val="005B4AE3"/>
    <w:rsid w:val="005B4B35"/>
    <w:rsid w:val="005B4F06"/>
    <w:rsid w:val="005B4F33"/>
    <w:rsid w:val="005B564F"/>
    <w:rsid w:val="005B6DA1"/>
    <w:rsid w:val="005B6EFE"/>
    <w:rsid w:val="005B78EC"/>
    <w:rsid w:val="005B79D9"/>
    <w:rsid w:val="005B7A0F"/>
    <w:rsid w:val="005B7B92"/>
    <w:rsid w:val="005C02D6"/>
    <w:rsid w:val="005C0380"/>
    <w:rsid w:val="005C03F5"/>
    <w:rsid w:val="005C0573"/>
    <w:rsid w:val="005C0686"/>
    <w:rsid w:val="005C0E55"/>
    <w:rsid w:val="005C1F2B"/>
    <w:rsid w:val="005C2008"/>
    <w:rsid w:val="005C3797"/>
    <w:rsid w:val="005C3F95"/>
    <w:rsid w:val="005C41D1"/>
    <w:rsid w:val="005C422E"/>
    <w:rsid w:val="005C45E3"/>
    <w:rsid w:val="005C4A5F"/>
    <w:rsid w:val="005C4C9C"/>
    <w:rsid w:val="005C4EA5"/>
    <w:rsid w:val="005C51A3"/>
    <w:rsid w:val="005C5258"/>
    <w:rsid w:val="005C578F"/>
    <w:rsid w:val="005C5D13"/>
    <w:rsid w:val="005C602C"/>
    <w:rsid w:val="005C6D45"/>
    <w:rsid w:val="005C6D57"/>
    <w:rsid w:val="005C7996"/>
    <w:rsid w:val="005C7FC8"/>
    <w:rsid w:val="005D01A9"/>
    <w:rsid w:val="005D0B3D"/>
    <w:rsid w:val="005D1480"/>
    <w:rsid w:val="005D170C"/>
    <w:rsid w:val="005D1A6C"/>
    <w:rsid w:val="005D21BF"/>
    <w:rsid w:val="005D244A"/>
    <w:rsid w:val="005D245F"/>
    <w:rsid w:val="005D2481"/>
    <w:rsid w:val="005D2D63"/>
    <w:rsid w:val="005D34A5"/>
    <w:rsid w:val="005D35E5"/>
    <w:rsid w:val="005D384E"/>
    <w:rsid w:val="005D3910"/>
    <w:rsid w:val="005D3915"/>
    <w:rsid w:val="005D3967"/>
    <w:rsid w:val="005D3A2A"/>
    <w:rsid w:val="005D3A7D"/>
    <w:rsid w:val="005D3FDF"/>
    <w:rsid w:val="005D45C4"/>
    <w:rsid w:val="005D4743"/>
    <w:rsid w:val="005D4DC1"/>
    <w:rsid w:val="005D5241"/>
    <w:rsid w:val="005D5383"/>
    <w:rsid w:val="005D5445"/>
    <w:rsid w:val="005D55D5"/>
    <w:rsid w:val="005D6261"/>
    <w:rsid w:val="005D6CC0"/>
    <w:rsid w:val="005D7340"/>
    <w:rsid w:val="005D7B40"/>
    <w:rsid w:val="005E0277"/>
    <w:rsid w:val="005E0331"/>
    <w:rsid w:val="005E09AC"/>
    <w:rsid w:val="005E0B49"/>
    <w:rsid w:val="005E1060"/>
    <w:rsid w:val="005E1119"/>
    <w:rsid w:val="005E1469"/>
    <w:rsid w:val="005E169A"/>
    <w:rsid w:val="005E16D1"/>
    <w:rsid w:val="005E18CB"/>
    <w:rsid w:val="005E226E"/>
    <w:rsid w:val="005E2931"/>
    <w:rsid w:val="005E2D76"/>
    <w:rsid w:val="005E30E4"/>
    <w:rsid w:val="005E3197"/>
    <w:rsid w:val="005E31AA"/>
    <w:rsid w:val="005E4BD6"/>
    <w:rsid w:val="005E501A"/>
    <w:rsid w:val="005E5146"/>
    <w:rsid w:val="005E52CF"/>
    <w:rsid w:val="005E56B0"/>
    <w:rsid w:val="005E5D64"/>
    <w:rsid w:val="005E60CD"/>
    <w:rsid w:val="005E63C2"/>
    <w:rsid w:val="005E70C8"/>
    <w:rsid w:val="005E71A7"/>
    <w:rsid w:val="005E79A9"/>
    <w:rsid w:val="005E7A79"/>
    <w:rsid w:val="005F0128"/>
    <w:rsid w:val="005F05F8"/>
    <w:rsid w:val="005F0B29"/>
    <w:rsid w:val="005F0DDC"/>
    <w:rsid w:val="005F0DED"/>
    <w:rsid w:val="005F11EE"/>
    <w:rsid w:val="005F15CC"/>
    <w:rsid w:val="005F184D"/>
    <w:rsid w:val="005F2124"/>
    <w:rsid w:val="005F25DF"/>
    <w:rsid w:val="005F2E35"/>
    <w:rsid w:val="005F34BE"/>
    <w:rsid w:val="005F3D99"/>
    <w:rsid w:val="005F5256"/>
    <w:rsid w:val="005F548D"/>
    <w:rsid w:val="005F5A5D"/>
    <w:rsid w:val="005F5AF9"/>
    <w:rsid w:val="005F5DE0"/>
    <w:rsid w:val="005F6EE1"/>
    <w:rsid w:val="005F705E"/>
    <w:rsid w:val="005F7568"/>
    <w:rsid w:val="005F7880"/>
    <w:rsid w:val="005F79BD"/>
    <w:rsid w:val="005F7A52"/>
    <w:rsid w:val="005F7D38"/>
    <w:rsid w:val="0060023B"/>
    <w:rsid w:val="0060063A"/>
    <w:rsid w:val="006006F0"/>
    <w:rsid w:val="00600A1D"/>
    <w:rsid w:val="00600C94"/>
    <w:rsid w:val="006012A4"/>
    <w:rsid w:val="00601746"/>
    <w:rsid w:val="00601C9D"/>
    <w:rsid w:val="00601FC9"/>
    <w:rsid w:val="00602347"/>
    <w:rsid w:val="006028E6"/>
    <w:rsid w:val="006029ED"/>
    <w:rsid w:val="00602C95"/>
    <w:rsid w:val="00603278"/>
    <w:rsid w:val="0060397C"/>
    <w:rsid w:val="00603AF0"/>
    <w:rsid w:val="00603C05"/>
    <w:rsid w:val="006042E8"/>
    <w:rsid w:val="0060456D"/>
    <w:rsid w:val="00604595"/>
    <w:rsid w:val="006048DC"/>
    <w:rsid w:val="0060499E"/>
    <w:rsid w:val="006049C9"/>
    <w:rsid w:val="00605250"/>
    <w:rsid w:val="006053B7"/>
    <w:rsid w:val="00605870"/>
    <w:rsid w:val="00605A88"/>
    <w:rsid w:val="006061C9"/>
    <w:rsid w:val="00606271"/>
    <w:rsid w:val="00606367"/>
    <w:rsid w:val="0060652B"/>
    <w:rsid w:val="00606A2E"/>
    <w:rsid w:val="00606A5B"/>
    <w:rsid w:val="00606EBF"/>
    <w:rsid w:val="00606F5E"/>
    <w:rsid w:val="006070F5"/>
    <w:rsid w:val="006072E7"/>
    <w:rsid w:val="006073FB"/>
    <w:rsid w:val="00607824"/>
    <w:rsid w:val="0060790C"/>
    <w:rsid w:val="00607A32"/>
    <w:rsid w:val="00607AAD"/>
    <w:rsid w:val="00607AC6"/>
    <w:rsid w:val="00607C30"/>
    <w:rsid w:val="00610284"/>
    <w:rsid w:val="0061041B"/>
    <w:rsid w:val="006108F0"/>
    <w:rsid w:val="0061125C"/>
    <w:rsid w:val="00611327"/>
    <w:rsid w:val="00611781"/>
    <w:rsid w:val="00611BEB"/>
    <w:rsid w:val="0061218F"/>
    <w:rsid w:val="00612731"/>
    <w:rsid w:val="006127CA"/>
    <w:rsid w:val="00612ACB"/>
    <w:rsid w:val="00612B6B"/>
    <w:rsid w:val="00612BCA"/>
    <w:rsid w:val="00612EDC"/>
    <w:rsid w:val="00613173"/>
    <w:rsid w:val="00613431"/>
    <w:rsid w:val="006137CE"/>
    <w:rsid w:val="00613831"/>
    <w:rsid w:val="00613B68"/>
    <w:rsid w:val="00613DC8"/>
    <w:rsid w:val="00614850"/>
    <w:rsid w:val="0061492C"/>
    <w:rsid w:val="00614C6A"/>
    <w:rsid w:val="00614E91"/>
    <w:rsid w:val="00615319"/>
    <w:rsid w:val="0061549C"/>
    <w:rsid w:val="0061559A"/>
    <w:rsid w:val="006155A0"/>
    <w:rsid w:val="006157F7"/>
    <w:rsid w:val="00615DC4"/>
    <w:rsid w:val="0061607B"/>
    <w:rsid w:val="00616500"/>
    <w:rsid w:val="00616988"/>
    <w:rsid w:val="00616A79"/>
    <w:rsid w:val="00616CAB"/>
    <w:rsid w:val="00617370"/>
    <w:rsid w:val="00617489"/>
    <w:rsid w:val="00617760"/>
    <w:rsid w:val="00617F12"/>
    <w:rsid w:val="0062001C"/>
    <w:rsid w:val="006201C7"/>
    <w:rsid w:val="006206EE"/>
    <w:rsid w:val="00620D23"/>
    <w:rsid w:val="00621233"/>
    <w:rsid w:val="00621ADE"/>
    <w:rsid w:val="00621E66"/>
    <w:rsid w:val="00622119"/>
    <w:rsid w:val="0062325D"/>
    <w:rsid w:val="006237B9"/>
    <w:rsid w:val="00623B06"/>
    <w:rsid w:val="00623BA8"/>
    <w:rsid w:val="00624259"/>
    <w:rsid w:val="006243AC"/>
    <w:rsid w:val="0062484C"/>
    <w:rsid w:val="00624FEE"/>
    <w:rsid w:val="0062558B"/>
    <w:rsid w:val="00625DED"/>
    <w:rsid w:val="00626150"/>
    <w:rsid w:val="00626164"/>
    <w:rsid w:val="0062689A"/>
    <w:rsid w:val="00627073"/>
    <w:rsid w:val="006276A5"/>
    <w:rsid w:val="00627EDC"/>
    <w:rsid w:val="00630196"/>
    <w:rsid w:val="00630810"/>
    <w:rsid w:val="00630C65"/>
    <w:rsid w:val="00630DBC"/>
    <w:rsid w:val="00631A7A"/>
    <w:rsid w:val="00632032"/>
    <w:rsid w:val="006320D9"/>
    <w:rsid w:val="006322CA"/>
    <w:rsid w:val="006326F1"/>
    <w:rsid w:val="00632A8A"/>
    <w:rsid w:val="00633841"/>
    <w:rsid w:val="00633F00"/>
    <w:rsid w:val="0063487D"/>
    <w:rsid w:val="00634BB5"/>
    <w:rsid w:val="00635566"/>
    <w:rsid w:val="0063590E"/>
    <w:rsid w:val="00635A53"/>
    <w:rsid w:val="00635C9B"/>
    <w:rsid w:val="00635FAE"/>
    <w:rsid w:val="00635FE9"/>
    <w:rsid w:val="00636296"/>
    <w:rsid w:val="00636808"/>
    <w:rsid w:val="006376FB"/>
    <w:rsid w:val="00637EC5"/>
    <w:rsid w:val="006400FF"/>
    <w:rsid w:val="00641EF2"/>
    <w:rsid w:val="006425D1"/>
    <w:rsid w:val="00642A55"/>
    <w:rsid w:val="00642E7B"/>
    <w:rsid w:val="0064337E"/>
    <w:rsid w:val="006437F9"/>
    <w:rsid w:val="00643A39"/>
    <w:rsid w:val="00643B61"/>
    <w:rsid w:val="00643CCE"/>
    <w:rsid w:val="006447B6"/>
    <w:rsid w:val="0064498B"/>
    <w:rsid w:val="00644AB7"/>
    <w:rsid w:val="00644CBD"/>
    <w:rsid w:val="00645059"/>
    <w:rsid w:val="00645230"/>
    <w:rsid w:val="00645872"/>
    <w:rsid w:val="00645FF3"/>
    <w:rsid w:val="006461C7"/>
    <w:rsid w:val="00646292"/>
    <w:rsid w:val="00646646"/>
    <w:rsid w:val="006466A2"/>
    <w:rsid w:val="0064734D"/>
    <w:rsid w:val="006474EA"/>
    <w:rsid w:val="00647C84"/>
    <w:rsid w:val="006500D9"/>
    <w:rsid w:val="0065044C"/>
    <w:rsid w:val="006506C3"/>
    <w:rsid w:val="00650DF0"/>
    <w:rsid w:val="00651291"/>
    <w:rsid w:val="00651318"/>
    <w:rsid w:val="006516E3"/>
    <w:rsid w:val="0065179D"/>
    <w:rsid w:val="006519DB"/>
    <w:rsid w:val="00651DE4"/>
    <w:rsid w:val="0065217F"/>
    <w:rsid w:val="006521DB"/>
    <w:rsid w:val="0065225A"/>
    <w:rsid w:val="00652493"/>
    <w:rsid w:val="00652EA1"/>
    <w:rsid w:val="0065301F"/>
    <w:rsid w:val="0065331F"/>
    <w:rsid w:val="006534B9"/>
    <w:rsid w:val="006535D1"/>
    <w:rsid w:val="006537F3"/>
    <w:rsid w:val="0065398F"/>
    <w:rsid w:val="00653D3A"/>
    <w:rsid w:val="00653E6D"/>
    <w:rsid w:val="00653F6A"/>
    <w:rsid w:val="006545EF"/>
    <w:rsid w:val="00654D2C"/>
    <w:rsid w:val="00655183"/>
    <w:rsid w:val="006551D2"/>
    <w:rsid w:val="00655564"/>
    <w:rsid w:val="006559F7"/>
    <w:rsid w:val="00655FE2"/>
    <w:rsid w:val="00656D17"/>
    <w:rsid w:val="00656FDA"/>
    <w:rsid w:val="00657254"/>
    <w:rsid w:val="0065726A"/>
    <w:rsid w:val="0065753B"/>
    <w:rsid w:val="00657595"/>
    <w:rsid w:val="00657C0D"/>
    <w:rsid w:val="0066028E"/>
    <w:rsid w:val="00660AA0"/>
    <w:rsid w:val="00660AFF"/>
    <w:rsid w:val="00660CF8"/>
    <w:rsid w:val="00660D03"/>
    <w:rsid w:val="00661186"/>
    <w:rsid w:val="006614C7"/>
    <w:rsid w:val="006621BD"/>
    <w:rsid w:val="00662533"/>
    <w:rsid w:val="0066259E"/>
    <w:rsid w:val="00662667"/>
    <w:rsid w:val="00662F53"/>
    <w:rsid w:val="00663187"/>
    <w:rsid w:val="0066378D"/>
    <w:rsid w:val="00663902"/>
    <w:rsid w:val="006639EE"/>
    <w:rsid w:val="00663E70"/>
    <w:rsid w:val="006643BF"/>
    <w:rsid w:val="00664775"/>
    <w:rsid w:val="006648A8"/>
    <w:rsid w:val="006648DE"/>
    <w:rsid w:val="00664CB7"/>
    <w:rsid w:val="00664E16"/>
    <w:rsid w:val="00665061"/>
    <w:rsid w:val="00665D6C"/>
    <w:rsid w:val="00665EB1"/>
    <w:rsid w:val="006663CF"/>
    <w:rsid w:val="00667036"/>
    <w:rsid w:val="0066707A"/>
    <w:rsid w:val="0066759F"/>
    <w:rsid w:val="0066792D"/>
    <w:rsid w:val="00667F2F"/>
    <w:rsid w:val="006701F4"/>
    <w:rsid w:val="006702ED"/>
    <w:rsid w:val="00670421"/>
    <w:rsid w:val="00670AD9"/>
    <w:rsid w:val="006713B7"/>
    <w:rsid w:val="0067140F"/>
    <w:rsid w:val="006720FA"/>
    <w:rsid w:val="006723CD"/>
    <w:rsid w:val="00672E1C"/>
    <w:rsid w:val="00672EED"/>
    <w:rsid w:val="00673138"/>
    <w:rsid w:val="00673322"/>
    <w:rsid w:val="00673B5D"/>
    <w:rsid w:val="00673B96"/>
    <w:rsid w:val="00673C64"/>
    <w:rsid w:val="00673D96"/>
    <w:rsid w:val="00674456"/>
    <w:rsid w:val="0067512E"/>
    <w:rsid w:val="00675761"/>
    <w:rsid w:val="00675A5C"/>
    <w:rsid w:val="00675E7E"/>
    <w:rsid w:val="00676225"/>
    <w:rsid w:val="00676270"/>
    <w:rsid w:val="00676272"/>
    <w:rsid w:val="0067649E"/>
    <w:rsid w:val="006764FF"/>
    <w:rsid w:val="0067664B"/>
    <w:rsid w:val="0067672C"/>
    <w:rsid w:val="0067681B"/>
    <w:rsid w:val="00676A36"/>
    <w:rsid w:val="00677078"/>
    <w:rsid w:val="006774FE"/>
    <w:rsid w:val="00677F0B"/>
    <w:rsid w:val="00677FC7"/>
    <w:rsid w:val="006800AB"/>
    <w:rsid w:val="00680620"/>
    <w:rsid w:val="006807ED"/>
    <w:rsid w:val="006815EF"/>
    <w:rsid w:val="00681A82"/>
    <w:rsid w:val="00681F0D"/>
    <w:rsid w:val="0068209D"/>
    <w:rsid w:val="00682C6F"/>
    <w:rsid w:val="00683787"/>
    <w:rsid w:val="00684434"/>
    <w:rsid w:val="006845B4"/>
    <w:rsid w:val="0068460D"/>
    <w:rsid w:val="006848B5"/>
    <w:rsid w:val="00684B4B"/>
    <w:rsid w:val="00685417"/>
    <w:rsid w:val="00685831"/>
    <w:rsid w:val="00685DB7"/>
    <w:rsid w:val="0068660E"/>
    <w:rsid w:val="006866C4"/>
    <w:rsid w:val="00686FDA"/>
    <w:rsid w:val="006871E7"/>
    <w:rsid w:val="00690223"/>
    <w:rsid w:val="00690536"/>
    <w:rsid w:val="00690713"/>
    <w:rsid w:val="00690BE4"/>
    <w:rsid w:val="00690CF8"/>
    <w:rsid w:val="00690D1C"/>
    <w:rsid w:val="00691320"/>
    <w:rsid w:val="00691D52"/>
    <w:rsid w:val="00691EA0"/>
    <w:rsid w:val="00691ED6"/>
    <w:rsid w:val="006921A8"/>
    <w:rsid w:val="006933E5"/>
    <w:rsid w:val="00693646"/>
    <w:rsid w:val="006936B2"/>
    <w:rsid w:val="00693A29"/>
    <w:rsid w:val="00693EEF"/>
    <w:rsid w:val="00694031"/>
    <w:rsid w:val="00694519"/>
    <w:rsid w:val="00694842"/>
    <w:rsid w:val="0069552B"/>
    <w:rsid w:val="00696382"/>
    <w:rsid w:val="0069652C"/>
    <w:rsid w:val="00697976"/>
    <w:rsid w:val="006979D3"/>
    <w:rsid w:val="00697B02"/>
    <w:rsid w:val="00697BD6"/>
    <w:rsid w:val="00697CCA"/>
    <w:rsid w:val="00697FBC"/>
    <w:rsid w:val="006A0951"/>
    <w:rsid w:val="006A0A3B"/>
    <w:rsid w:val="006A1246"/>
    <w:rsid w:val="006A178F"/>
    <w:rsid w:val="006A1AB2"/>
    <w:rsid w:val="006A1D6E"/>
    <w:rsid w:val="006A1F0A"/>
    <w:rsid w:val="006A240D"/>
    <w:rsid w:val="006A286B"/>
    <w:rsid w:val="006A334F"/>
    <w:rsid w:val="006A3537"/>
    <w:rsid w:val="006A3918"/>
    <w:rsid w:val="006A3C0A"/>
    <w:rsid w:val="006A3CAD"/>
    <w:rsid w:val="006A4508"/>
    <w:rsid w:val="006A4535"/>
    <w:rsid w:val="006A4644"/>
    <w:rsid w:val="006A46A9"/>
    <w:rsid w:val="006A4D30"/>
    <w:rsid w:val="006A5EAB"/>
    <w:rsid w:val="006A6240"/>
    <w:rsid w:val="006A6B02"/>
    <w:rsid w:val="006A6F2D"/>
    <w:rsid w:val="006A7419"/>
    <w:rsid w:val="006A7668"/>
    <w:rsid w:val="006B09CD"/>
    <w:rsid w:val="006B0C33"/>
    <w:rsid w:val="006B0CAB"/>
    <w:rsid w:val="006B1842"/>
    <w:rsid w:val="006B21B4"/>
    <w:rsid w:val="006B2734"/>
    <w:rsid w:val="006B2A82"/>
    <w:rsid w:val="006B31E5"/>
    <w:rsid w:val="006B364C"/>
    <w:rsid w:val="006B3BEB"/>
    <w:rsid w:val="006B4330"/>
    <w:rsid w:val="006B4419"/>
    <w:rsid w:val="006B481A"/>
    <w:rsid w:val="006B48F5"/>
    <w:rsid w:val="006B4B23"/>
    <w:rsid w:val="006B4E5F"/>
    <w:rsid w:val="006B5143"/>
    <w:rsid w:val="006B5996"/>
    <w:rsid w:val="006B5C87"/>
    <w:rsid w:val="006B5D30"/>
    <w:rsid w:val="006B5E45"/>
    <w:rsid w:val="006B617B"/>
    <w:rsid w:val="006B6B15"/>
    <w:rsid w:val="006B6C27"/>
    <w:rsid w:val="006B6DFD"/>
    <w:rsid w:val="006B6F86"/>
    <w:rsid w:val="006B7435"/>
    <w:rsid w:val="006B7854"/>
    <w:rsid w:val="006B7ECA"/>
    <w:rsid w:val="006B7FCE"/>
    <w:rsid w:val="006C14E4"/>
    <w:rsid w:val="006C1520"/>
    <w:rsid w:val="006C1912"/>
    <w:rsid w:val="006C1ABA"/>
    <w:rsid w:val="006C1F13"/>
    <w:rsid w:val="006C237C"/>
    <w:rsid w:val="006C245B"/>
    <w:rsid w:val="006C2679"/>
    <w:rsid w:val="006C2CCC"/>
    <w:rsid w:val="006C3128"/>
    <w:rsid w:val="006C353B"/>
    <w:rsid w:val="006C36C2"/>
    <w:rsid w:val="006C3BA7"/>
    <w:rsid w:val="006C4523"/>
    <w:rsid w:val="006C4862"/>
    <w:rsid w:val="006C487E"/>
    <w:rsid w:val="006C48A8"/>
    <w:rsid w:val="006C4F07"/>
    <w:rsid w:val="006C513C"/>
    <w:rsid w:val="006C5332"/>
    <w:rsid w:val="006C5F00"/>
    <w:rsid w:val="006C62E1"/>
    <w:rsid w:val="006C6532"/>
    <w:rsid w:val="006C698A"/>
    <w:rsid w:val="006C6CAB"/>
    <w:rsid w:val="006C706F"/>
    <w:rsid w:val="006C77A1"/>
    <w:rsid w:val="006C7923"/>
    <w:rsid w:val="006C7DE6"/>
    <w:rsid w:val="006D0413"/>
    <w:rsid w:val="006D067C"/>
    <w:rsid w:val="006D0703"/>
    <w:rsid w:val="006D1010"/>
    <w:rsid w:val="006D147E"/>
    <w:rsid w:val="006D158A"/>
    <w:rsid w:val="006D1665"/>
    <w:rsid w:val="006D190C"/>
    <w:rsid w:val="006D1DCB"/>
    <w:rsid w:val="006D20DD"/>
    <w:rsid w:val="006D277D"/>
    <w:rsid w:val="006D29FB"/>
    <w:rsid w:val="006D2E14"/>
    <w:rsid w:val="006D2E41"/>
    <w:rsid w:val="006D2FBD"/>
    <w:rsid w:val="006D31EB"/>
    <w:rsid w:val="006D346C"/>
    <w:rsid w:val="006D3956"/>
    <w:rsid w:val="006D3DA5"/>
    <w:rsid w:val="006D3E79"/>
    <w:rsid w:val="006D4136"/>
    <w:rsid w:val="006D43E6"/>
    <w:rsid w:val="006D499C"/>
    <w:rsid w:val="006D5357"/>
    <w:rsid w:val="006D6489"/>
    <w:rsid w:val="006D6ABD"/>
    <w:rsid w:val="006D7111"/>
    <w:rsid w:val="006D75E2"/>
    <w:rsid w:val="006D797B"/>
    <w:rsid w:val="006D7985"/>
    <w:rsid w:val="006E096B"/>
    <w:rsid w:val="006E1005"/>
    <w:rsid w:val="006E1307"/>
    <w:rsid w:val="006E1362"/>
    <w:rsid w:val="006E13D9"/>
    <w:rsid w:val="006E18E2"/>
    <w:rsid w:val="006E1A64"/>
    <w:rsid w:val="006E1AF6"/>
    <w:rsid w:val="006E1D43"/>
    <w:rsid w:val="006E203C"/>
    <w:rsid w:val="006E25FD"/>
    <w:rsid w:val="006E2984"/>
    <w:rsid w:val="006E2A82"/>
    <w:rsid w:val="006E2C39"/>
    <w:rsid w:val="006E365D"/>
    <w:rsid w:val="006E3851"/>
    <w:rsid w:val="006E3A34"/>
    <w:rsid w:val="006E3B07"/>
    <w:rsid w:val="006E3EDF"/>
    <w:rsid w:val="006E41B4"/>
    <w:rsid w:val="006E4330"/>
    <w:rsid w:val="006E440A"/>
    <w:rsid w:val="006E4769"/>
    <w:rsid w:val="006E49AA"/>
    <w:rsid w:val="006E4A03"/>
    <w:rsid w:val="006E4AE6"/>
    <w:rsid w:val="006E4CF0"/>
    <w:rsid w:val="006E51A4"/>
    <w:rsid w:val="006E5598"/>
    <w:rsid w:val="006E560D"/>
    <w:rsid w:val="006E573E"/>
    <w:rsid w:val="006E62EC"/>
    <w:rsid w:val="006E67B6"/>
    <w:rsid w:val="006E6915"/>
    <w:rsid w:val="006E69AE"/>
    <w:rsid w:val="006E7022"/>
    <w:rsid w:val="006E7098"/>
    <w:rsid w:val="006E76E8"/>
    <w:rsid w:val="006F07B7"/>
    <w:rsid w:val="006F090B"/>
    <w:rsid w:val="006F0D14"/>
    <w:rsid w:val="006F127F"/>
    <w:rsid w:val="006F12FC"/>
    <w:rsid w:val="006F165C"/>
    <w:rsid w:val="006F1926"/>
    <w:rsid w:val="006F1A67"/>
    <w:rsid w:val="006F1D25"/>
    <w:rsid w:val="006F20B7"/>
    <w:rsid w:val="006F2241"/>
    <w:rsid w:val="006F2291"/>
    <w:rsid w:val="006F22B8"/>
    <w:rsid w:val="006F3146"/>
    <w:rsid w:val="006F34D2"/>
    <w:rsid w:val="006F36FC"/>
    <w:rsid w:val="006F3900"/>
    <w:rsid w:val="006F39A6"/>
    <w:rsid w:val="006F3BBE"/>
    <w:rsid w:val="006F3FA8"/>
    <w:rsid w:val="006F40D4"/>
    <w:rsid w:val="006F42D3"/>
    <w:rsid w:val="006F4830"/>
    <w:rsid w:val="006F56FB"/>
    <w:rsid w:val="006F5709"/>
    <w:rsid w:val="006F577A"/>
    <w:rsid w:val="006F5B88"/>
    <w:rsid w:val="006F6131"/>
    <w:rsid w:val="006F6BE7"/>
    <w:rsid w:val="006F6E13"/>
    <w:rsid w:val="006F75DC"/>
    <w:rsid w:val="006F76CF"/>
    <w:rsid w:val="006F7826"/>
    <w:rsid w:val="006F7C21"/>
    <w:rsid w:val="006F7DEC"/>
    <w:rsid w:val="007003EE"/>
    <w:rsid w:val="00700421"/>
    <w:rsid w:val="007009BC"/>
    <w:rsid w:val="00701066"/>
    <w:rsid w:val="007012BC"/>
    <w:rsid w:val="007013D7"/>
    <w:rsid w:val="0070157D"/>
    <w:rsid w:val="00701ABF"/>
    <w:rsid w:val="00701FD6"/>
    <w:rsid w:val="00702192"/>
    <w:rsid w:val="007024F5"/>
    <w:rsid w:val="00702945"/>
    <w:rsid w:val="00702A71"/>
    <w:rsid w:val="00702A83"/>
    <w:rsid w:val="00703483"/>
    <w:rsid w:val="00703AB2"/>
    <w:rsid w:val="007042B0"/>
    <w:rsid w:val="0070455E"/>
    <w:rsid w:val="007048B0"/>
    <w:rsid w:val="00704C5C"/>
    <w:rsid w:val="00705A93"/>
    <w:rsid w:val="00705ABF"/>
    <w:rsid w:val="00706272"/>
    <w:rsid w:val="00706320"/>
    <w:rsid w:val="007066AD"/>
    <w:rsid w:val="00706D00"/>
    <w:rsid w:val="007074FC"/>
    <w:rsid w:val="00707722"/>
    <w:rsid w:val="00707745"/>
    <w:rsid w:val="0071007C"/>
    <w:rsid w:val="00710276"/>
    <w:rsid w:val="007105D0"/>
    <w:rsid w:val="0071088E"/>
    <w:rsid w:val="00711600"/>
    <w:rsid w:val="007116DD"/>
    <w:rsid w:val="00711839"/>
    <w:rsid w:val="00711D72"/>
    <w:rsid w:val="00711DC2"/>
    <w:rsid w:val="00711F0A"/>
    <w:rsid w:val="0071297D"/>
    <w:rsid w:val="00712B80"/>
    <w:rsid w:val="00712F65"/>
    <w:rsid w:val="0071302E"/>
    <w:rsid w:val="00713081"/>
    <w:rsid w:val="007131C2"/>
    <w:rsid w:val="00713319"/>
    <w:rsid w:val="0071378A"/>
    <w:rsid w:val="007138A7"/>
    <w:rsid w:val="00713A6B"/>
    <w:rsid w:val="00713D64"/>
    <w:rsid w:val="00714227"/>
    <w:rsid w:val="00714BD2"/>
    <w:rsid w:val="00715236"/>
    <w:rsid w:val="00715311"/>
    <w:rsid w:val="00715556"/>
    <w:rsid w:val="00715766"/>
    <w:rsid w:val="007159DA"/>
    <w:rsid w:val="0071662B"/>
    <w:rsid w:val="007167E4"/>
    <w:rsid w:val="00716A79"/>
    <w:rsid w:val="00716A80"/>
    <w:rsid w:val="00716C12"/>
    <w:rsid w:val="00717398"/>
    <w:rsid w:val="0072014E"/>
    <w:rsid w:val="007203FB"/>
    <w:rsid w:val="00720598"/>
    <w:rsid w:val="00720A63"/>
    <w:rsid w:val="00720C65"/>
    <w:rsid w:val="00721035"/>
    <w:rsid w:val="00721262"/>
    <w:rsid w:val="00721354"/>
    <w:rsid w:val="00721D87"/>
    <w:rsid w:val="0072234E"/>
    <w:rsid w:val="00722986"/>
    <w:rsid w:val="0072358D"/>
    <w:rsid w:val="0072364F"/>
    <w:rsid w:val="0072371E"/>
    <w:rsid w:val="00723906"/>
    <w:rsid w:val="00723BE2"/>
    <w:rsid w:val="00723F96"/>
    <w:rsid w:val="00724199"/>
    <w:rsid w:val="00724A9E"/>
    <w:rsid w:val="00724D76"/>
    <w:rsid w:val="00725961"/>
    <w:rsid w:val="007279D1"/>
    <w:rsid w:val="00727E8D"/>
    <w:rsid w:val="0073030A"/>
    <w:rsid w:val="00730560"/>
    <w:rsid w:val="00730989"/>
    <w:rsid w:val="00731280"/>
    <w:rsid w:val="00731505"/>
    <w:rsid w:val="00731C4F"/>
    <w:rsid w:val="00731CBE"/>
    <w:rsid w:val="00731DFE"/>
    <w:rsid w:val="00731EB6"/>
    <w:rsid w:val="00731FB8"/>
    <w:rsid w:val="007322E9"/>
    <w:rsid w:val="007329E6"/>
    <w:rsid w:val="00732A74"/>
    <w:rsid w:val="00732C11"/>
    <w:rsid w:val="00733345"/>
    <w:rsid w:val="00733853"/>
    <w:rsid w:val="00733CAD"/>
    <w:rsid w:val="00734056"/>
    <w:rsid w:val="00734143"/>
    <w:rsid w:val="00735183"/>
    <w:rsid w:val="00735293"/>
    <w:rsid w:val="007355BA"/>
    <w:rsid w:val="0073562C"/>
    <w:rsid w:val="0073583E"/>
    <w:rsid w:val="007358E7"/>
    <w:rsid w:val="00735ADC"/>
    <w:rsid w:val="00735B1D"/>
    <w:rsid w:val="007377F6"/>
    <w:rsid w:val="007379A0"/>
    <w:rsid w:val="00737ABD"/>
    <w:rsid w:val="00737E01"/>
    <w:rsid w:val="007401C6"/>
    <w:rsid w:val="00740587"/>
    <w:rsid w:val="00740786"/>
    <w:rsid w:val="00740A22"/>
    <w:rsid w:val="00740AD8"/>
    <w:rsid w:val="007415B8"/>
    <w:rsid w:val="00741958"/>
    <w:rsid w:val="00741B7D"/>
    <w:rsid w:val="00741B91"/>
    <w:rsid w:val="00741C13"/>
    <w:rsid w:val="00741DA4"/>
    <w:rsid w:val="0074288A"/>
    <w:rsid w:val="00742FF4"/>
    <w:rsid w:val="007438AB"/>
    <w:rsid w:val="0074451C"/>
    <w:rsid w:val="007445A0"/>
    <w:rsid w:val="00744B55"/>
    <w:rsid w:val="00744BF1"/>
    <w:rsid w:val="00744C05"/>
    <w:rsid w:val="007450BB"/>
    <w:rsid w:val="007453B1"/>
    <w:rsid w:val="00745483"/>
    <w:rsid w:val="0074578E"/>
    <w:rsid w:val="007459A7"/>
    <w:rsid w:val="00745A53"/>
    <w:rsid w:val="007464CC"/>
    <w:rsid w:val="007465A4"/>
    <w:rsid w:val="007469E2"/>
    <w:rsid w:val="00746E5E"/>
    <w:rsid w:val="0074700B"/>
    <w:rsid w:val="00747396"/>
    <w:rsid w:val="00747810"/>
    <w:rsid w:val="00747AC5"/>
    <w:rsid w:val="007501DA"/>
    <w:rsid w:val="0075029C"/>
    <w:rsid w:val="007506CB"/>
    <w:rsid w:val="007507A7"/>
    <w:rsid w:val="00750A6B"/>
    <w:rsid w:val="00752231"/>
    <w:rsid w:val="00752524"/>
    <w:rsid w:val="0075285C"/>
    <w:rsid w:val="00752FAD"/>
    <w:rsid w:val="00753157"/>
    <w:rsid w:val="007532AC"/>
    <w:rsid w:val="007534B4"/>
    <w:rsid w:val="00753983"/>
    <w:rsid w:val="00753AEB"/>
    <w:rsid w:val="00754167"/>
    <w:rsid w:val="00754FD1"/>
    <w:rsid w:val="007552A2"/>
    <w:rsid w:val="00755C40"/>
    <w:rsid w:val="00756555"/>
    <w:rsid w:val="007567E7"/>
    <w:rsid w:val="00756967"/>
    <w:rsid w:val="0075699F"/>
    <w:rsid w:val="00756BB2"/>
    <w:rsid w:val="00757335"/>
    <w:rsid w:val="007574F2"/>
    <w:rsid w:val="007577A0"/>
    <w:rsid w:val="0075794E"/>
    <w:rsid w:val="00757A38"/>
    <w:rsid w:val="00757C81"/>
    <w:rsid w:val="00760761"/>
    <w:rsid w:val="007607D0"/>
    <w:rsid w:val="00760889"/>
    <w:rsid w:val="00760CFA"/>
    <w:rsid w:val="00760DFA"/>
    <w:rsid w:val="00761088"/>
    <w:rsid w:val="007617FE"/>
    <w:rsid w:val="0076188C"/>
    <w:rsid w:val="00761DE2"/>
    <w:rsid w:val="0076251F"/>
    <w:rsid w:val="007629DD"/>
    <w:rsid w:val="00762C81"/>
    <w:rsid w:val="00762E7D"/>
    <w:rsid w:val="007630C1"/>
    <w:rsid w:val="007631D8"/>
    <w:rsid w:val="00763D27"/>
    <w:rsid w:val="007640ED"/>
    <w:rsid w:val="00764305"/>
    <w:rsid w:val="00764953"/>
    <w:rsid w:val="00764D69"/>
    <w:rsid w:val="007655EF"/>
    <w:rsid w:val="00766272"/>
    <w:rsid w:val="0076649F"/>
    <w:rsid w:val="007664A9"/>
    <w:rsid w:val="007664FD"/>
    <w:rsid w:val="007666D0"/>
    <w:rsid w:val="007666F5"/>
    <w:rsid w:val="00766AF6"/>
    <w:rsid w:val="00766CC8"/>
    <w:rsid w:val="0076723D"/>
    <w:rsid w:val="00767403"/>
    <w:rsid w:val="007674A5"/>
    <w:rsid w:val="00767506"/>
    <w:rsid w:val="00767AF8"/>
    <w:rsid w:val="00767B53"/>
    <w:rsid w:val="00767F22"/>
    <w:rsid w:val="007701FC"/>
    <w:rsid w:val="007704B2"/>
    <w:rsid w:val="007706BF"/>
    <w:rsid w:val="0077074F"/>
    <w:rsid w:val="007708D9"/>
    <w:rsid w:val="00771353"/>
    <w:rsid w:val="00771357"/>
    <w:rsid w:val="00771363"/>
    <w:rsid w:val="00771F3B"/>
    <w:rsid w:val="007721A7"/>
    <w:rsid w:val="007721C3"/>
    <w:rsid w:val="0077260F"/>
    <w:rsid w:val="00772830"/>
    <w:rsid w:val="00772D0C"/>
    <w:rsid w:val="00772D55"/>
    <w:rsid w:val="00773317"/>
    <w:rsid w:val="0077331D"/>
    <w:rsid w:val="007734DE"/>
    <w:rsid w:val="0077365E"/>
    <w:rsid w:val="00773C02"/>
    <w:rsid w:val="00773C32"/>
    <w:rsid w:val="00773E3C"/>
    <w:rsid w:val="00773EF5"/>
    <w:rsid w:val="00773F38"/>
    <w:rsid w:val="00773F6C"/>
    <w:rsid w:val="0077416B"/>
    <w:rsid w:val="007741E8"/>
    <w:rsid w:val="00774232"/>
    <w:rsid w:val="007742CA"/>
    <w:rsid w:val="00774D79"/>
    <w:rsid w:val="00775152"/>
    <w:rsid w:val="00775490"/>
    <w:rsid w:val="00775647"/>
    <w:rsid w:val="0077584F"/>
    <w:rsid w:val="00775C4B"/>
    <w:rsid w:val="00775DDA"/>
    <w:rsid w:val="007763E9"/>
    <w:rsid w:val="007779E1"/>
    <w:rsid w:val="0078084B"/>
    <w:rsid w:val="00780EB0"/>
    <w:rsid w:val="00781DD1"/>
    <w:rsid w:val="00782241"/>
    <w:rsid w:val="007825D6"/>
    <w:rsid w:val="007825E2"/>
    <w:rsid w:val="00782822"/>
    <w:rsid w:val="00782A43"/>
    <w:rsid w:val="00782A63"/>
    <w:rsid w:val="00782F1E"/>
    <w:rsid w:val="007833DC"/>
    <w:rsid w:val="00783A3F"/>
    <w:rsid w:val="00783F5D"/>
    <w:rsid w:val="007841F2"/>
    <w:rsid w:val="00784657"/>
    <w:rsid w:val="00784735"/>
    <w:rsid w:val="00784768"/>
    <w:rsid w:val="007855D3"/>
    <w:rsid w:val="007857F6"/>
    <w:rsid w:val="00785BDC"/>
    <w:rsid w:val="00785D7B"/>
    <w:rsid w:val="00786192"/>
    <w:rsid w:val="0078633F"/>
    <w:rsid w:val="00786368"/>
    <w:rsid w:val="00786CA5"/>
    <w:rsid w:val="00787129"/>
    <w:rsid w:val="007879F9"/>
    <w:rsid w:val="00787D06"/>
    <w:rsid w:val="00787D2F"/>
    <w:rsid w:val="00787E1C"/>
    <w:rsid w:val="00790250"/>
    <w:rsid w:val="0079027D"/>
    <w:rsid w:val="0079073C"/>
    <w:rsid w:val="00790A60"/>
    <w:rsid w:val="00790F1E"/>
    <w:rsid w:val="007913A6"/>
    <w:rsid w:val="007915DE"/>
    <w:rsid w:val="007919E8"/>
    <w:rsid w:val="007922AF"/>
    <w:rsid w:val="00792C74"/>
    <w:rsid w:val="00792D6F"/>
    <w:rsid w:val="00792EE6"/>
    <w:rsid w:val="0079366A"/>
    <w:rsid w:val="007939F1"/>
    <w:rsid w:val="00793E22"/>
    <w:rsid w:val="0079471D"/>
    <w:rsid w:val="00794EDF"/>
    <w:rsid w:val="0079578A"/>
    <w:rsid w:val="007958CA"/>
    <w:rsid w:val="00796472"/>
    <w:rsid w:val="007965DE"/>
    <w:rsid w:val="00796A21"/>
    <w:rsid w:val="00796FBD"/>
    <w:rsid w:val="0079723B"/>
    <w:rsid w:val="00797E1E"/>
    <w:rsid w:val="007A01ED"/>
    <w:rsid w:val="007A077C"/>
    <w:rsid w:val="007A0978"/>
    <w:rsid w:val="007A0AB9"/>
    <w:rsid w:val="007A1121"/>
    <w:rsid w:val="007A115C"/>
    <w:rsid w:val="007A11D8"/>
    <w:rsid w:val="007A12E7"/>
    <w:rsid w:val="007A1439"/>
    <w:rsid w:val="007A15A7"/>
    <w:rsid w:val="007A1A94"/>
    <w:rsid w:val="007A1DAB"/>
    <w:rsid w:val="007A1EA4"/>
    <w:rsid w:val="007A2088"/>
    <w:rsid w:val="007A2471"/>
    <w:rsid w:val="007A2748"/>
    <w:rsid w:val="007A28B6"/>
    <w:rsid w:val="007A2A36"/>
    <w:rsid w:val="007A2A71"/>
    <w:rsid w:val="007A3139"/>
    <w:rsid w:val="007A4458"/>
    <w:rsid w:val="007A44D0"/>
    <w:rsid w:val="007A4620"/>
    <w:rsid w:val="007A4D5D"/>
    <w:rsid w:val="007A4DCA"/>
    <w:rsid w:val="007A522C"/>
    <w:rsid w:val="007A587D"/>
    <w:rsid w:val="007A5A8F"/>
    <w:rsid w:val="007A5BDA"/>
    <w:rsid w:val="007A6008"/>
    <w:rsid w:val="007A6527"/>
    <w:rsid w:val="007A6F66"/>
    <w:rsid w:val="007A7CBD"/>
    <w:rsid w:val="007B0240"/>
    <w:rsid w:val="007B0541"/>
    <w:rsid w:val="007B099D"/>
    <w:rsid w:val="007B0AAF"/>
    <w:rsid w:val="007B0DCA"/>
    <w:rsid w:val="007B0FFA"/>
    <w:rsid w:val="007B1800"/>
    <w:rsid w:val="007B20CA"/>
    <w:rsid w:val="007B212D"/>
    <w:rsid w:val="007B2784"/>
    <w:rsid w:val="007B3A23"/>
    <w:rsid w:val="007B3C46"/>
    <w:rsid w:val="007B3D3F"/>
    <w:rsid w:val="007B3FAC"/>
    <w:rsid w:val="007B4090"/>
    <w:rsid w:val="007B4143"/>
    <w:rsid w:val="007B4479"/>
    <w:rsid w:val="007B4509"/>
    <w:rsid w:val="007B4F9D"/>
    <w:rsid w:val="007B576F"/>
    <w:rsid w:val="007B591D"/>
    <w:rsid w:val="007B5B40"/>
    <w:rsid w:val="007B5C2B"/>
    <w:rsid w:val="007B5EE7"/>
    <w:rsid w:val="007B5EEE"/>
    <w:rsid w:val="007B6F4C"/>
    <w:rsid w:val="007B72A8"/>
    <w:rsid w:val="007B73F1"/>
    <w:rsid w:val="007B7619"/>
    <w:rsid w:val="007B79E0"/>
    <w:rsid w:val="007B7D03"/>
    <w:rsid w:val="007C0A3F"/>
    <w:rsid w:val="007C13AF"/>
    <w:rsid w:val="007C1423"/>
    <w:rsid w:val="007C1783"/>
    <w:rsid w:val="007C1C2D"/>
    <w:rsid w:val="007C2570"/>
    <w:rsid w:val="007C2866"/>
    <w:rsid w:val="007C2BA1"/>
    <w:rsid w:val="007C31B1"/>
    <w:rsid w:val="007C3373"/>
    <w:rsid w:val="007C34BD"/>
    <w:rsid w:val="007C3AF2"/>
    <w:rsid w:val="007C45C4"/>
    <w:rsid w:val="007C47B4"/>
    <w:rsid w:val="007C4A0B"/>
    <w:rsid w:val="007C4D11"/>
    <w:rsid w:val="007C4DC9"/>
    <w:rsid w:val="007C4F49"/>
    <w:rsid w:val="007C4F4E"/>
    <w:rsid w:val="007C509C"/>
    <w:rsid w:val="007C5AD3"/>
    <w:rsid w:val="007C5D18"/>
    <w:rsid w:val="007C5FE4"/>
    <w:rsid w:val="007C65A6"/>
    <w:rsid w:val="007C66B6"/>
    <w:rsid w:val="007C7188"/>
    <w:rsid w:val="007C75DC"/>
    <w:rsid w:val="007C77C9"/>
    <w:rsid w:val="007C7906"/>
    <w:rsid w:val="007C7B83"/>
    <w:rsid w:val="007C7B9C"/>
    <w:rsid w:val="007D0113"/>
    <w:rsid w:val="007D0359"/>
    <w:rsid w:val="007D0661"/>
    <w:rsid w:val="007D0912"/>
    <w:rsid w:val="007D09FD"/>
    <w:rsid w:val="007D0BAA"/>
    <w:rsid w:val="007D0DA3"/>
    <w:rsid w:val="007D0E83"/>
    <w:rsid w:val="007D136E"/>
    <w:rsid w:val="007D139A"/>
    <w:rsid w:val="007D1646"/>
    <w:rsid w:val="007D20BB"/>
    <w:rsid w:val="007D214D"/>
    <w:rsid w:val="007D2632"/>
    <w:rsid w:val="007D2E7F"/>
    <w:rsid w:val="007D2EAD"/>
    <w:rsid w:val="007D30CF"/>
    <w:rsid w:val="007D3248"/>
    <w:rsid w:val="007D3289"/>
    <w:rsid w:val="007D3F0F"/>
    <w:rsid w:val="007D4195"/>
    <w:rsid w:val="007D42E0"/>
    <w:rsid w:val="007D4E17"/>
    <w:rsid w:val="007D5BE2"/>
    <w:rsid w:val="007D6191"/>
    <w:rsid w:val="007D62E5"/>
    <w:rsid w:val="007D6397"/>
    <w:rsid w:val="007D6D88"/>
    <w:rsid w:val="007D6E2D"/>
    <w:rsid w:val="007D71A0"/>
    <w:rsid w:val="007E0460"/>
    <w:rsid w:val="007E0909"/>
    <w:rsid w:val="007E0929"/>
    <w:rsid w:val="007E093B"/>
    <w:rsid w:val="007E0A3A"/>
    <w:rsid w:val="007E10D3"/>
    <w:rsid w:val="007E1A50"/>
    <w:rsid w:val="007E1CD8"/>
    <w:rsid w:val="007E2820"/>
    <w:rsid w:val="007E2A97"/>
    <w:rsid w:val="007E2F40"/>
    <w:rsid w:val="007E308E"/>
    <w:rsid w:val="007E3433"/>
    <w:rsid w:val="007E3B5A"/>
    <w:rsid w:val="007E3CF5"/>
    <w:rsid w:val="007E3EF6"/>
    <w:rsid w:val="007E4030"/>
    <w:rsid w:val="007E425A"/>
    <w:rsid w:val="007E460C"/>
    <w:rsid w:val="007E4622"/>
    <w:rsid w:val="007E4736"/>
    <w:rsid w:val="007E491E"/>
    <w:rsid w:val="007E4D4E"/>
    <w:rsid w:val="007E4FC9"/>
    <w:rsid w:val="007E509F"/>
    <w:rsid w:val="007E551C"/>
    <w:rsid w:val="007E5D93"/>
    <w:rsid w:val="007E625C"/>
    <w:rsid w:val="007E66D9"/>
    <w:rsid w:val="007E67BD"/>
    <w:rsid w:val="007E6D18"/>
    <w:rsid w:val="007E6D69"/>
    <w:rsid w:val="007E6F3D"/>
    <w:rsid w:val="007E7576"/>
    <w:rsid w:val="007E7CF0"/>
    <w:rsid w:val="007E7ECD"/>
    <w:rsid w:val="007F017E"/>
    <w:rsid w:val="007F05EA"/>
    <w:rsid w:val="007F0684"/>
    <w:rsid w:val="007F0DC7"/>
    <w:rsid w:val="007F0F84"/>
    <w:rsid w:val="007F10C9"/>
    <w:rsid w:val="007F14C0"/>
    <w:rsid w:val="007F151A"/>
    <w:rsid w:val="007F1A8D"/>
    <w:rsid w:val="007F1F50"/>
    <w:rsid w:val="007F2227"/>
    <w:rsid w:val="007F240A"/>
    <w:rsid w:val="007F2681"/>
    <w:rsid w:val="007F284B"/>
    <w:rsid w:val="007F2B92"/>
    <w:rsid w:val="007F307E"/>
    <w:rsid w:val="007F37AA"/>
    <w:rsid w:val="007F3A2A"/>
    <w:rsid w:val="007F3C71"/>
    <w:rsid w:val="007F3C83"/>
    <w:rsid w:val="007F3FD5"/>
    <w:rsid w:val="007F402A"/>
    <w:rsid w:val="007F4429"/>
    <w:rsid w:val="007F446D"/>
    <w:rsid w:val="007F45F9"/>
    <w:rsid w:val="007F4781"/>
    <w:rsid w:val="007F48A0"/>
    <w:rsid w:val="007F49FB"/>
    <w:rsid w:val="007F4A46"/>
    <w:rsid w:val="007F5C1E"/>
    <w:rsid w:val="007F63F0"/>
    <w:rsid w:val="007F68FA"/>
    <w:rsid w:val="007F74D7"/>
    <w:rsid w:val="007F777B"/>
    <w:rsid w:val="007F7860"/>
    <w:rsid w:val="00800113"/>
    <w:rsid w:val="00800207"/>
    <w:rsid w:val="00800628"/>
    <w:rsid w:val="00800666"/>
    <w:rsid w:val="008006DA"/>
    <w:rsid w:val="00800705"/>
    <w:rsid w:val="00800B4D"/>
    <w:rsid w:val="00800C4B"/>
    <w:rsid w:val="0080121B"/>
    <w:rsid w:val="00801B24"/>
    <w:rsid w:val="00801E58"/>
    <w:rsid w:val="00801EBD"/>
    <w:rsid w:val="00802233"/>
    <w:rsid w:val="00802271"/>
    <w:rsid w:val="00803159"/>
    <w:rsid w:val="00803379"/>
    <w:rsid w:val="00803429"/>
    <w:rsid w:val="00803810"/>
    <w:rsid w:val="00803BFE"/>
    <w:rsid w:val="00803C02"/>
    <w:rsid w:val="00803CA5"/>
    <w:rsid w:val="00803CCE"/>
    <w:rsid w:val="00803E4E"/>
    <w:rsid w:val="00803E5B"/>
    <w:rsid w:val="0080410C"/>
    <w:rsid w:val="0080461A"/>
    <w:rsid w:val="00804C80"/>
    <w:rsid w:val="00804F8C"/>
    <w:rsid w:val="00805007"/>
    <w:rsid w:val="00805015"/>
    <w:rsid w:val="008054F8"/>
    <w:rsid w:val="00805EEC"/>
    <w:rsid w:val="0080640F"/>
    <w:rsid w:val="0080666F"/>
    <w:rsid w:val="008067AE"/>
    <w:rsid w:val="00806A05"/>
    <w:rsid w:val="008072EA"/>
    <w:rsid w:val="00807895"/>
    <w:rsid w:val="00807DAD"/>
    <w:rsid w:val="00810106"/>
    <w:rsid w:val="00810400"/>
    <w:rsid w:val="00810647"/>
    <w:rsid w:val="00810913"/>
    <w:rsid w:val="00810D9F"/>
    <w:rsid w:val="00811057"/>
    <w:rsid w:val="00811EAB"/>
    <w:rsid w:val="00812449"/>
    <w:rsid w:val="0081267A"/>
    <w:rsid w:val="00812693"/>
    <w:rsid w:val="00812784"/>
    <w:rsid w:val="00812994"/>
    <w:rsid w:val="00812C5E"/>
    <w:rsid w:val="00812D28"/>
    <w:rsid w:val="00813376"/>
    <w:rsid w:val="008138B7"/>
    <w:rsid w:val="00813968"/>
    <w:rsid w:val="00814366"/>
    <w:rsid w:val="00814368"/>
    <w:rsid w:val="008144F1"/>
    <w:rsid w:val="00814707"/>
    <w:rsid w:val="008149D5"/>
    <w:rsid w:val="00814D34"/>
    <w:rsid w:val="00814EE8"/>
    <w:rsid w:val="00814F30"/>
    <w:rsid w:val="0081510E"/>
    <w:rsid w:val="00815803"/>
    <w:rsid w:val="008160B3"/>
    <w:rsid w:val="00816666"/>
    <w:rsid w:val="00816B7F"/>
    <w:rsid w:val="00816C98"/>
    <w:rsid w:val="00816F38"/>
    <w:rsid w:val="00816FCA"/>
    <w:rsid w:val="00817146"/>
    <w:rsid w:val="008177CA"/>
    <w:rsid w:val="00817A06"/>
    <w:rsid w:val="00817AE6"/>
    <w:rsid w:val="00820301"/>
    <w:rsid w:val="0082063B"/>
    <w:rsid w:val="008208C0"/>
    <w:rsid w:val="00820AFD"/>
    <w:rsid w:val="00820F31"/>
    <w:rsid w:val="0082134B"/>
    <w:rsid w:val="008213E9"/>
    <w:rsid w:val="00822729"/>
    <w:rsid w:val="00822B8E"/>
    <w:rsid w:val="00822C56"/>
    <w:rsid w:val="00822DDD"/>
    <w:rsid w:val="00822E2E"/>
    <w:rsid w:val="0082338F"/>
    <w:rsid w:val="00823453"/>
    <w:rsid w:val="00823765"/>
    <w:rsid w:val="008237FC"/>
    <w:rsid w:val="00823EF1"/>
    <w:rsid w:val="00824316"/>
    <w:rsid w:val="00824374"/>
    <w:rsid w:val="008243C4"/>
    <w:rsid w:val="00824727"/>
    <w:rsid w:val="00824D33"/>
    <w:rsid w:val="00824EFD"/>
    <w:rsid w:val="00824FA5"/>
    <w:rsid w:val="0082541C"/>
    <w:rsid w:val="00825425"/>
    <w:rsid w:val="00825489"/>
    <w:rsid w:val="00826009"/>
    <w:rsid w:val="008268D4"/>
    <w:rsid w:val="00826BE6"/>
    <w:rsid w:val="00827273"/>
    <w:rsid w:val="0082756E"/>
    <w:rsid w:val="008276D4"/>
    <w:rsid w:val="00827792"/>
    <w:rsid w:val="00830012"/>
    <w:rsid w:val="00830C5F"/>
    <w:rsid w:val="00830F75"/>
    <w:rsid w:val="0083108E"/>
    <w:rsid w:val="008310E8"/>
    <w:rsid w:val="008312D4"/>
    <w:rsid w:val="008316C2"/>
    <w:rsid w:val="00831B36"/>
    <w:rsid w:val="00831C39"/>
    <w:rsid w:val="008323DF"/>
    <w:rsid w:val="00832418"/>
    <w:rsid w:val="008325A9"/>
    <w:rsid w:val="00832757"/>
    <w:rsid w:val="00832A65"/>
    <w:rsid w:val="00832B80"/>
    <w:rsid w:val="00832C56"/>
    <w:rsid w:val="00832DF8"/>
    <w:rsid w:val="008346E2"/>
    <w:rsid w:val="008346E7"/>
    <w:rsid w:val="008346F9"/>
    <w:rsid w:val="00834E62"/>
    <w:rsid w:val="008350D9"/>
    <w:rsid w:val="008359D3"/>
    <w:rsid w:val="00835D84"/>
    <w:rsid w:val="008363DB"/>
    <w:rsid w:val="008366C8"/>
    <w:rsid w:val="0083690D"/>
    <w:rsid w:val="00836A3C"/>
    <w:rsid w:val="00837169"/>
    <w:rsid w:val="00837522"/>
    <w:rsid w:val="008378A0"/>
    <w:rsid w:val="00837EE9"/>
    <w:rsid w:val="00837FA6"/>
    <w:rsid w:val="00840208"/>
    <w:rsid w:val="00840223"/>
    <w:rsid w:val="00840436"/>
    <w:rsid w:val="00840608"/>
    <w:rsid w:val="00840625"/>
    <w:rsid w:val="00840861"/>
    <w:rsid w:val="00840D05"/>
    <w:rsid w:val="00840F66"/>
    <w:rsid w:val="008417F8"/>
    <w:rsid w:val="0084195D"/>
    <w:rsid w:val="00841B5B"/>
    <w:rsid w:val="0084319E"/>
    <w:rsid w:val="00843394"/>
    <w:rsid w:val="00843D96"/>
    <w:rsid w:val="0084418A"/>
    <w:rsid w:val="008446DE"/>
    <w:rsid w:val="00844981"/>
    <w:rsid w:val="00844C0B"/>
    <w:rsid w:val="00844E7A"/>
    <w:rsid w:val="0084517C"/>
    <w:rsid w:val="008452DB"/>
    <w:rsid w:val="00845A36"/>
    <w:rsid w:val="00845CC0"/>
    <w:rsid w:val="00845DFF"/>
    <w:rsid w:val="0084607E"/>
    <w:rsid w:val="008467D3"/>
    <w:rsid w:val="00846BB8"/>
    <w:rsid w:val="008470CC"/>
    <w:rsid w:val="008476EF"/>
    <w:rsid w:val="00847C92"/>
    <w:rsid w:val="00847CEE"/>
    <w:rsid w:val="0085026A"/>
    <w:rsid w:val="008505DD"/>
    <w:rsid w:val="008506F0"/>
    <w:rsid w:val="00850995"/>
    <w:rsid w:val="008509C4"/>
    <w:rsid w:val="00850C2F"/>
    <w:rsid w:val="00850CCB"/>
    <w:rsid w:val="00850DFB"/>
    <w:rsid w:val="008510EA"/>
    <w:rsid w:val="0085164C"/>
    <w:rsid w:val="0085166B"/>
    <w:rsid w:val="00851E4A"/>
    <w:rsid w:val="00852262"/>
    <w:rsid w:val="008523D8"/>
    <w:rsid w:val="00852797"/>
    <w:rsid w:val="00852E00"/>
    <w:rsid w:val="008531F1"/>
    <w:rsid w:val="00853311"/>
    <w:rsid w:val="0085332F"/>
    <w:rsid w:val="0085346B"/>
    <w:rsid w:val="00853CDB"/>
    <w:rsid w:val="00853DCF"/>
    <w:rsid w:val="00854DDB"/>
    <w:rsid w:val="0085570B"/>
    <w:rsid w:val="008558E0"/>
    <w:rsid w:val="00855B75"/>
    <w:rsid w:val="00855C32"/>
    <w:rsid w:val="00855C33"/>
    <w:rsid w:val="00855D33"/>
    <w:rsid w:val="00855E9A"/>
    <w:rsid w:val="0085638A"/>
    <w:rsid w:val="00856895"/>
    <w:rsid w:val="008568B9"/>
    <w:rsid w:val="00856E38"/>
    <w:rsid w:val="00856EBD"/>
    <w:rsid w:val="008570A6"/>
    <w:rsid w:val="008574A7"/>
    <w:rsid w:val="00857A6B"/>
    <w:rsid w:val="00860190"/>
    <w:rsid w:val="0086021D"/>
    <w:rsid w:val="00860AC8"/>
    <w:rsid w:val="0086126F"/>
    <w:rsid w:val="00861351"/>
    <w:rsid w:val="00861D27"/>
    <w:rsid w:val="008621DE"/>
    <w:rsid w:val="0086230A"/>
    <w:rsid w:val="00862835"/>
    <w:rsid w:val="00862A6D"/>
    <w:rsid w:val="00862D99"/>
    <w:rsid w:val="00863D34"/>
    <w:rsid w:val="0086466A"/>
    <w:rsid w:val="00864735"/>
    <w:rsid w:val="00864FF9"/>
    <w:rsid w:val="00865B2A"/>
    <w:rsid w:val="0086625D"/>
    <w:rsid w:val="008664BA"/>
    <w:rsid w:val="0086689F"/>
    <w:rsid w:val="00866947"/>
    <w:rsid w:val="00867063"/>
    <w:rsid w:val="00867806"/>
    <w:rsid w:val="008704EA"/>
    <w:rsid w:val="008713F4"/>
    <w:rsid w:val="00871476"/>
    <w:rsid w:val="0087191B"/>
    <w:rsid w:val="008719EE"/>
    <w:rsid w:val="00871AA4"/>
    <w:rsid w:val="00871C34"/>
    <w:rsid w:val="00871FBD"/>
    <w:rsid w:val="00872372"/>
    <w:rsid w:val="0087237F"/>
    <w:rsid w:val="0087268B"/>
    <w:rsid w:val="00872F07"/>
    <w:rsid w:val="00873231"/>
    <w:rsid w:val="00873556"/>
    <w:rsid w:val="00873793"/>
    <w:rsid w:val="00873949"/>
    <w:rsid w:val="00873FA1"/>
    <w:rsid w:val="00874059"/>
    <w:rsid w:val="00874C96"/>
    <w:rsid w:val="00875C8C"/>
    <w:rsid w:val="00876289"/>
    <w:rsid w:val="00876337"/>
    <w:rsid w:val="008766AA"/>
    <w:rsid w:val="008776AF"/>
    <w:rsid w:val="0088081E"/>
    <w:rsid w:val="00880D8F"/>
    <w:rsid w:val="00881660"/>
    <w:rsid w:val="00881845"/>
    <w:rsid w:val="008818CF"/>
    <w:rsid w:val="00881DD6"/>
    <w:rsid w:val="0088207E"/>
    <w:rsid w:val="00882528"/>
    <w:rsid w:val="00882A4A"/>
    <w:rsid w:val="00882A90"/>
    <w:rsid w:val="00882ADD"/>
    <w:rsid w:val="00882E75"/>
    <w:rsid w:val="00883218"/>
    <w:rsid w:val="00883244"/>
    <w:rsid w:val="00883370"/>
    <w:rsid w:val="0088352E"/>
    <w:rsid w:val="008835F4"/>
    <w:rsid w:val="008837B1"/>
    <w:rsid w:val="00883851"/>
    <w:rsid w:val="00883A6C"/>
    <w:rsid w:val="00883BA1"/>
    <w:rsid w:val="00883C06"/>
    <w:rsid w:val="00883E63"/>
    <w:rsid w:val="00883FC9"/>
    <w:rsid w:val="00884455"/>
    <w:rsid w:val="00884C56"/>
    <w:rsid w:val="008853F6"/>
    <w:rsid w:val="008856C5"/>
    <w:rsid w:val="0088607A"/>
    <w:rsid w:val="00886247"/>
    <w:rsid w:val="00886283"/>
    <w:rsid w:val="00886C02"/>
    <w:rsid w:val="00886E2E"/>
    <w:rsid w:val="008871D4"/>
    <w:rsid w:val="00887787"/>
    <w:rsid w:val="00887DB2"/>
    <w:rsid w:val="00887E50"/>
    <w:rsid w:val="0089036C"/>
    <w:rsid w:val="0089047B"/>
    <w:rsid w:val="008904EC"/>
    <w:rsid w:val="00890562"/>
    <w:rsid w:val="008916A2"/>
    <w:rsid w:val="00891C38"/>
    <w:rsid w:val="008922F5"/>
    <w:rsid w:val="008931D6"/>
    <w:rsid w:val="00893A75"/>
    <w:rsid w:val="00893E77"/>
    <w:rsid w:val="008941FF"/>
    <w:rsid w:val="008942B1"/>
    <w:rsid w:val="00894839"/>
    <w:rsid w:val="00895723"/>
    <w:rsid w:val="00895D29"/>
    <w:rsid w:val="00895DEE"/>
    <w:rsid w:val="0089625E"/>
    <w:rsid w:val="008963BA"/>
    <w:rsid w:val="008967B8"/>
    <w:rsid w:val="00896FA5"/>
    <w:rsid w:val="00897408"/>
    <w:rsid w:val="00897475"/>
    <w:rsid w:val="008975C0"/>
    <w:rsid w:val="0089784F"/>
    <w:rsid w:val="008A0424"/>
    <w:rsid w:val="008A0632"/>
    <w:rsid w:val="008A098B"/>
    <w:rsid w:val="008A0C29"/>
    <w:rsid w:val="008A0C7B"/>
    <w:rsid w:val="008A0D80"/>
    <w:rsid w:val="008A105E"/>
    <w:rsid w:val="008A1294"/>
    <w:rsid w:val="008A15AF"/>
    <w:rsid w:val="008A18A7"/>
    <w:rsid w:val="008A18EA"/>
    <w:rsid w:val="008A1DC1"/>
    <w:rsid w:val="008A1E16"/>
    <w:rsid w:val="008A2A3D"/>
    <w:rsid w:val="008A2CCE"/>
    <w:rsid w:val="008A2E5A"/>
    <w:rsid w:val="008A2ED4"/>
    <w:rsid w:val="008A3349"/>
    <w:rsid w:val="008A33B2"/>
    <w:rsid w:val="008A3620"/>
    <w:rsid w:val="008A3736"/>
    <w:rsid w:val="008A3968"/>
    <w:rsid w:val="008A3D85"/>
    <w:rsid w:val="008A3E5C"/>
    <w:rsid w:val="008A45A5"/>
    <w:rsid w:val="008A45B3"/>
    <w:rsid w:val="008A4604"/>
    <w:rsid w:val="008A465F"/>
    <w:rsid w:val="008A47A1"/>
    <w:rsid w:val="008A4837"/>
    <w:rsid w:val="008A4F20"/>
    <w:rsid w:val="008A503F"/>
    <w:rsid w:val="008A5629"/>
    <w:rsid w:val="008A5757"/>
    <w:rsid w:val="008A595B"/>
    <w:rsid w:val="008A5ABB"/>
    <w:rsid w:val="008A5E07"/>
    <w:rsid w:val="008A5E3F"/>
    <w:rsid w:val="008A62DF"/>
    <w:rsid w:val="008A64B9"/>
    <w:rsid w:val="008A6727"/>
    <w:rsid w:val="008A68EB"/>
    <w:rsid w:val="008A6C20"/>
    <w:rsid w:val="008A75C0"/>
    <w:rsid w:val="008A77F9"/>
    <w:rsid w:val="008A799F"/>
    <w:rsid w:val="008B008C"/>
    <w:rsid w:val="008B0272"/>
    <w:rsid w:val="008B02C8"/>
    <w:rsid w:val="008B094D"/>
    <w:rsid w:val="008B0954"/>
    <w:rsid w:val="008B0AAA"/>
    <w:rsid w:val="008B0F85"/>
    <w:rsid w:val="008B1AB1"/>
    <w:rsid w:val="008B1D3C"/>
    <w:rsid w:val="008B29B6"/>
    <w:rsid w:val="008B2DD9"/>
    <w:rsid w:val="008B2E92"/>
    <w:rsid w:val="008B2FA4"/>
    <w:rsid w:val="008B30B5"/>
    <w:rsid w:val="008B30B7"/>
    <w:rsid w:val="008B3233"/>
    <w:rsid w:val="008B3EE9"/>
    <w:rsid w:val="008B4136"/>
    <w:rsid w:val="008B4B6D"/>
    <w:rsid w:val="008B4DBB"/>
    <w:rsid w:val="008B517B"/>
    <w:rsid w:val="008B534D"/>
    <w:rsid w:val="008B59CD"/>
    <w:rsid w:val="008B5D15"/>
    <w:rsid w:val="008B6049"/>
    <w:rsid w:val="008B608F"/>
    <w:rsid w:val="008B6AB9"/>
    <w:rsid w:val="008B6E76"/>
    <w:rsid w:val="008B7010"/>
    <w:rsid w:val="008B7643"/>
    <w:rsid w:val="008B7DFB"/>
    <w:rsid w:val="008C0940"/>
    <w:rsid w:val="008C0AD3"/>
    <w:rsid w:val="008C1411"/>
    <w:rsid w:val="008C1413"/>
    <w:rsid w:val="008C21D7"/>
    <w:rsid w:val="008C247C"/>
    <w:rsid w:val="008C281B"/>
    <w:rsid w:val="008C302E"/>
    <w:rsid w:val="008C3377"/>
    <w:rsid w:val="008C3A6F"/>
    <w:rsid w:val="008C3AF0"/>
    <w:rsid w:val="008C3F56"/>
    <w:rsid w:val="008C4AAD"/>
    <w:rsid w:val="008C4B04"/>
    <w:rsid w:val="008C506D"/>
    <w:rsid w:val="008C573E"/>
    <w:rsid w:val="008C5917"/>
    <w:rsid w:val="008C5960"/>
    <w:rsid w:val="008C5AAD"/>
    <w:rsid w:val="008C5B19"/>
    <w:rsid w:val="008C627F"/>
    <w:rsid w:val="008C7207"/>
    <w:rsid w:val="008C78E9"/>
    <w:rsid w:val="008D02BF"/>
    <w:rsid w:val="008D03F5"/>
    <w:rsid w:val="008D0AD7"/>
    <w:rsid w:val="008D0CAD"/>
    <w:rsid w:val="008D1796"/>
    <w:rsid w:val="008D1CA6"/>
    <w:rsid w:val="008D1D1D"/>
    <w:rsid w:val="008D1D9F"/>
    <w:rsid w:val="008D2219"/>
    <w:rsid w:val="008D33C6"/>
    <w:rsid w:val="008D344A"/>
    <w:rsid w:val="008D3AAA"/>
    <w:rsid w:val="008D3D34"/>
    <w:rsid w:val="008D3FE9"/>
    <w:rsid w:val="008D4F53"/>
    <w:rsid w:val="008D5F33"/>
    <w:rsid w:val="008D6508"/>
    <w:rsid w:val="008D6838"/>
    <w:rsid w:val="008D6D67"/>
    <w:rsid w:val="008D7479"/>
    <w:rsid w:val="008D76B9"/>
    <w:rsid w:val="008D7786"/>
    <w:rsid w:val="008D7BBC"/>
    <w:rsid w:val="008D7C8F"/>
    <w:rsid w:val="008D7D3B"/>
    <w:rsid w:val="008D7D76"/>
    <w:rsid w:val="008D7E4B"/>
    <w:rsid w:val="008E040B"/>
    <w:rsid w:val="008E0A56"/>
    <w:rsid w:val="008E0E1E"/>
    <w:rsid w:val="008E131C"/>
    <w:rsid w:val="008E17A6"/>
    <w:rsid w:val="008E1A3F"/>
    <w:rsid w:val="008E20BE"/>
    <w:rsid w:val="008E23BF"/>
    <w:rsid w:val="008E24C2"/>
    <w:rsid w:val="008E2C2D"/>
    <w:rsid w:val="008E312C"/>
    <w:rsid w:val="008E31A4"/>
    <w:rsid w:val="008E31E5"/>
    <w:rsid w:val="008E34CC"/>
    <w:rsid w:val="008E3708"/>
    <w:rsid w:val="008E396E"/>
    <w:rsid w:val="008E3E78"/>
    <w:rsid w:val="008E4D91"/>
    <w:rsid w:val="008E52B3"/>
    <w:rsid w:val="008E56A7"/>
    <w:rsid w:val="008E5744"/>
    <w:rsid w:val="008E5F36"/>
    <w:rsid w:val="008E5F74"/>
    <w:rsid w:val="008E61D8"/>
    <w:rsid w:val="008E62FB"/>
    <w:rsid w:val="008E6A49"/>
    <w:rsid w:val="008E6E04"/>
    <w:rsid w:val="008E6FC9"/>
    <w:rsid w:val="008E71DE"/>
    <w:rsid w:val="008E79FF"/>
    <w:rsid w:val="008E7B84"/>
    <w:rsid w:val="008E7DC1"/>
    <w:rsid w:val="008F0383"/>
    <w:rsid w:val="008F03CB"/>
    <w:rsid w:val="008F08F1"/>
    <w:rsid w:val="008F0A21"/>
    <w:rsid w:val="008F1239"/>
    <w:rsid w:val="008F12A2"/>
    <w:rsid w:val="008F1425"/>
    <w:rsid w:val="008F16F6"/>
    <w:rsid w:val="008F1720"/>
    <w:rsid w:val="008F1804"/>
    <w:rsid w:val="008F2B74"/>
    <w:rsid w:val="008F2BA7"/>
    <w:rsid w:val="008F32EB"/>
    <w:rsid w:val="008F361B"/>
    <w:rsid w:val="008F3658"/>
    <w:rsid w:val="008F42BE"/>
    <w:rsid w:val="008F468D"/>
    <w:rsid w:val="008F4C05"/>
    <w:rsid w:val="008F5010"/>
    <w:rsid w:val="008F551A"/>
    <w:rsid w:val="008F5DB2"/>
    <w:rsid w:val="008F63D6"/>
    <w:rsid w:val="008F6612"/>
    <w:rsid w:val="008F69F1"/>
    <w:rsid w:val="008F6B98"/>
    <w:rsid w:val="008F6BF4"/>
    <w:rsid w:val="008F7014"/>
    <w:rsid w:val="008F70B0"/>
    <w:rsid w:val="008F72AA"/>
    <w:rsid w:val="008F7401"/>
    <w:rsid w:val="008F78C7"/>
    <w:rsid w:val="008F78F7"/>
    <w:rsid w:val="008F7D82"/>
    <w:rsid w:val="008F7DFF"/>
    <w:rsid w:val="0090025C"/>
    <w:rsid w:val="0090055A"/>
    <w:rsid w:val="00900F67"/>
    <w:rsid w:val="009013F9"/>
    <w:rsid w:val="009015BC"/>
    <w:rsid w:val="00901D20"/>
    <w:rsid w:val="009021E3"/>
    <w:rsid w:val="009025F5"/>
    <w:rsid w:val="00902F66"/>
    <w:rsid w:val="009036A1"/>
    <w:rsid w:val="00903C3E"/>
    <w:rsid w:val="0090402D"/>
    <w:rsid w:val="00904055"/>
    <w:rsid w:val="00904128"/>
    <w:rsid w:val="0090526B"/>
    <w:rsid w:val="009052CE"/>
    <w:rsid w:val="0090552A"/>
    <w:rsid w:val="00905C69"/>
    <w:rsid w:val="00906219"/>
    <w:rsid w:val="00906938"/>
    <w:rsid w:val="00906981"/>
    <w:rsid w:val="00906C0E"/>
    <w:rsid w:val="00907591"/>
    <w:rsid w:val="00907968"/>
    <w:rsid w:val="00910423"/>
    <w:rsid w:val="00910B75"/>
    <w:rsid w:val="00910C80"/>
    <w:rsid w:val="00910FD5"/>
    <w:rsid w:val="0091116F"/>
    <w:rsid w:val="00911986"/>
    <w:rsid w:val="00911F35"/>
    <w:rsid w:val="00911FDC"/>
    <w:rsid w:val="00911FE6"/>
    <w:rsid w:val="00912151"/>
    <w:rsid w:val="009122EF"/>
    <w:rsid w:val="00912845"/>
    <w:rsid w:val="00912A75"/>
    <w:rsid w:val="00912FB7"/>
    <w:rsid w:val="009136F6"/>
    <w:rsid w:val="00913ACF"/>
    <w:rsid w:val="00913F3A"/>
    <w:rsid w:val="009142FE"/>
    <w:rsid w:val="00914485"/>
    <w:rsid w:val="00914570"/>
    <w:rsid w:val="00914A67"/>
    <w:rsid w:val="00914BFD"/>
    <w:rsid w:val="00914D52"/>
    <w:rsid w:val="00915174"/>
    <w:rsid w:val="00915D7C"/>
    <w:rsid w:val="00916495"/>
    <w:rsid w:val="0091673C"/>
    <w:rsid w:val="00916BE0"/>
    <w:rsid w:val="00916CCD"/>
    <w:rsid w:val="009174FC"/>
    <w:rsid w:val="00917993"/>
    <w:rsid w:val="00917ABC"/>
    <w:rsid w:val="00917AD1"/>
    <w:rsid w:val="00917AD7"/>
    <w:rsid w:val="00917BF0"/>
    <w:rsid w:val="00920398"/>
    <w:rsid w:val="0092054B"/>
    <w:rsid w:val="00920596"/>
    <w:rsid w:val="00920597"/>
    <w:rsid w:val="00920753"/>
    <w:rsid w:val="00920C02"/>
    <w:rsid w:val="00920EC9"/>
    <w:rsid w:val="00920F25"/>
    <w:rsid w:val="0092114B"/>
    <w:rsid w:val="009211FA"/>
    <w:rsid w:val="009214FB"/>
    <w:rsid w:val="00921888"/>
    <w:rsid w:val="00922241"/>
    <w:rsid w:val="009226A5"/>
    <w:rsid w:val="00922926"/>
    <w:rsid w:val="00922B1B"/>
    <w:rsid w:val="00923414"/>
    <w:rsid w:val="0092353E"/>
    <w:rsid w:val="00923713"/>
    <w:rsid w:val="00923748"/>
    <w:rsid w:val="00923C4A"/>
    <w:rsid w:val="009244DF"/>
    <w:rsid w:val="009249BB"/>
    <w:rsid w:val="00924D1B"/>
    <w:rsid w:val="00924DF7"/>
    <w:rsid w:val="0092585B"/>
    <w:rsid w:val="00925E40"/>
    <w:rsid w:val="0092654E"/>
    <w:rsid w:val="00926674"/>
    <w:rsid w:val="00926C0B"/>
    <w:rsid w:val="00926E53"/>
    <w:rsid w:val="009273F4"/>
    <w:rsid w:val="0092765A"/>
    <w:rsid w:val="00927DE3"/>
    <w:rsid w:val="00927FDB"/>
    <w:rsid w:val="0093000B"/>
    <w:rsid w:val="009300B2"/>
    <w:rsid w:val="009305B5"/>
    <w:rsid w:val="00930745"/>
    <w:rsid w:val="00931086"/>
    <w:rsid w:val="0093116F"/>
    <w:rsid w:val="0093148D"/>
    <w:rsid w:val="009317DF"/>
    <w:rsid w:val="00931EA6"/>
    <w:rsid w:val="00931ED1"/>
    <w:rsid w:val="009322BE"/>
    <w:rsid w:val="0093242C"/>
    <w:rsid w:val="0093276D"/>
    <w:rsid w:val="00932A39"/>
    <w:rsid w:val="009330E3"/>
    <w:rsid w:val="00933143"/>
    <w:rsid w:val="00933170"/>
    <w:rsid w:val="0093353A"/>
    <w:rsid w:val="009346E7"/>
    <w:rsid w:val="009348EC"/>
    <w:rsid w:val="00935070"/>
    <w:rsid w:val="00935317"/>
    <w:rsid w:val="009358F7"/>
    <w:rsid w:val="00935E56"/>
    <w:rsid w:val="00935E80"/>
    <w:rsid w:val="00936448"/>
    <w:rsid w:val="009366D2"/>
    <w:rsid w:val="009366FC"/>
    <w:rsid w:val="00936A0D"/>
    <w:rsid w:val="00936F71"/>
    <w:rsid w:val="00937041"/>
    <w:rsid w:val="009373B6"/>
    <w:rsid w:val="00937563"/>
    <w:rsid w:val="009378AE"/>
    <w:rsid w:val="00937CD6"/>
    <w:rsid w:val="00937D13"/>
    <w:rsid w:val="009406B6"/>
    <w:rsid w:val="00940928"/>
    <w:rsid w:val="009409B2"/>
    <w:rsid w:val="00940A81"/>
    <w:rsid w:val="00940E02"/>
    <w:rsid w:val="00940F6F"/>
    <w:rsid w:val="009411FC"/>
    <w:rsid w:val="00941433"/>
    <w:rsid w:val="009416C9"/>
    <w:rsid w:val="00941E3F"/>
    <w:rsid w:val="00941FCE"/>
    <w:rsid w:val="009420F2"/>
    <w:rsid w:val="00942283"/>
    <w:rsid w:val="00942B62"/>
    <w:rsid w:val="00942B6C"/>
    <w:rsid w:val="009432C3"/>
    <w:rsid w:val="0094337C"/>
    <w:rsid w:val="009438BA"/>
    <w:rsid w:val="00943A87"/>
    <w:rsid w:val="00943F7D"/>
    <w:rsid w:val="00943FFD"/>
    <w:rsid w:val="00944357"/>
    <w:rsid w:val="00944D4B"/>
    <w:rsid w:val="00945451"/>
    <w:rsid w:val="0094549F"/>
    <w:rsid w:val="00945814"/>
    <w:rsid w:val="009459D6"/>
    <w:rsid w:val="00945A06"/>
    <w:rsid w:val="00945B49"/>
    <w:rsid w:val="00945C32"/>
    <w:rsid w:val="009460D8"/>
    <w:rsid w:val="00946126"/>
    <w:rsid w:val="0094624D"/>
    <w:rsid w:val="00946457"/>
    <w:rsid w:val="00946981"/>
    <w:rsid w:val="009469A7"/>
    <w:rsid w:val="00946E04"/>
    <w:rsid w:val="00946E6A"/>
    <w:rsid w:val="009470EA"/>
    <w:rsid w:val="00947535"/>
    <w:rsid w:val="00947588"/>
    <w:rsid w:val="00947657"/>
    <w:rsid w:val="009476F2"/>
    <w:rsid w:val="009479C2"/>
    <w:rsid w:val="00950992"/>
    <w:rsid w:val="00950AB2"/>
    <w:rsid w:val="009512D6"/>
    <w:rsid w:val="009515C9"/>
    <w:rsid w:val="00951DAB"/>
    <w:rsid w:val="00951E1B"/>
    <w:rsid w:val="00951F6A"/>
    <w:rsid w:val="00951FDA"/>
    <w:rsid w:val="009525B8"/>
    <w:rsid w:val="00952C45"/>
    <w:rsid w:val="00953152"/>
    <w:rsid w:val="00953536"/>
    <w:rsid w:val="009539D9"/>
    <w:rsid w:val="00953A66"/>
    <w:rsid w:val="00953E19"/>
    <w:rsid w:val="00954461"/>
    <w:rsid w:val="00954655"/>
    <w:rsid w:val="0095478B"/>
    <w:rsid w:val="009548ED"/>
    <w:rsid w:val="009549EB"/>
    <w:rsid w:val="00954AA2"/>
    <w:rsid w:val="00954BC1"/>
    <w:rsid w:val="00954DC8"/>
    <w:rsid w:val="00954E37"/>
    <w:rsid w:val="00954F22"/>
    <w:rsid w:val="0095502D"/>
    <w:rsid w:val="00955379"/>
    <w:rsid w:val="0095577B"/>
    <w:rsid w:val="00955A0D"/>
    <w:rsid w:val="00955B61"/>
    <w:rsid w:val="00955ECF"/>
    <w:rsid w:val="0095617C"/>
    <w:rsid w:val="009561A1"/>
    <w:rsid w:val="009562C6"/>
    <w:rsid w:val="009562CF"/>
    <w:rsid w:val="00956464"/>
    <w:rsid w:val="0095654F"/>
    <w:rsid w:val="0095666F"/>
    <w:rsid w:val="00956EC1"/>
    <w:rsid w:val="009575E4"/>
    <w:rsid w:val="00957B74"/>
    <w:rsid w:val="00957D09"/>
    <w:rsid w:val="0096035F"/>
    <w:rsid w:val="009606E0"/>
    <w:rsid w:val="009610CD"/>
    <w:rsid w:val="009618FB"/>
    <w:rsid w:val="00961AB4"/>
    <w:rsid w:val="00961BF9"/>
    <w:rsid w:val="0096243F"/>
    <w:rsid w:val="009624C0"/>
    <w:rsid w:val="0096258C"/>
    <w:rsid w:val="00962979"/>
    <w:rsid w:val="00962C2E"/>
    <w:rsid w:val="0096317E"/>
    <w:rsid w:val="009634F7"/>
    <w:rsid w:val="00963655"/>
    <w:rsid w:val="00963776"/>
    <w:rsid w:val="00964CF8"/>
    <w:rsid w:val="009652FC"/>
    <w:rsid w:val="009653E3"/>
    <w:rsid w:val="00965A0A"/>
    <w:rsid w:val="00966B75"/>
    <w:rsid w:val="00967654"/>
    <w:rsid w:val="009703BF"/>
    <w:rsid w:val="00970685"/>
    <w:rsid w:val="00970891"/>
    <w:rsid w:val="00970C0E"/>
    <w:rsid w:val="00970C37"/>
    <w:rsid w:val="00970C3C"/>
    <w:rsid w:val="009710BE"/>
    <w:rsid w:val="00971728"/>
    <w:rsid w:val="009718E6"/>
    <w:rsid w:val="00971C8A"/>
    <w:rsid w:val="00972127"/>
    <w:rsid w:val="00972A43"/>
    <w:rsid w:val="009733B1"/>
    <w:rsid w:val="009739DF"/>
    <w:rsid w:val="00973ABD"/>
    <w:rsid w:val="00973CA6"/>
    <w:rsid w:val="00973F4D"/>
    <w:rsid w:val="00974144"/>
    <w:rsid w:val="00974362"/>
    <w:rsid w:val="00974D03"/>
    <w:rsid w:val="0097505A"/>
    <w:rsid w:val="009751CB"/>
    <w:rsid w:val="00975671"/>
    <w:rsid w:val="00975B53"/>
    <w:rsid w:val="00976479"/>
    <w:rsid w:val="00977D92"/>
    <w:rsid w:val="00977E0F"/>
    <w:rsid w:val="00980335"/>
    <w:rsid w:val="00980370"/>
    <w:rsid w:val="00980445"/>
    <w:rsid w:val="00980596"/>
    <w:rsid w:val="0098077C"/>
    <w:rsid w:val="00982642"/>
    <w:rsid w:val="00982648"/>
    <w:rsid w:val="0098314C"/>
    <w:rsid w:val="0098324A"/>
    <w:rsid w:val="0098336B"/>
    <w:rsid w:val="009833CC"/>
    <w:rsid w:val="009837AB"/>
    <w:rsid w:val="00983B54"/>
    <w:rsid w:val="009849BA"/>
    <w:rsid w:val="00984BC2"/>
    <w:rsid w:val="009853C7"/>
    <w:rsid w:val="00985560"/>
    <w:rsid w:val="0098579B"/>
    <w:rsid w:val="00985811"/>
    <w:rsid w:val="0098598B"/>
    <w:rsid w:val="00985B0D"/>
    <w:rsid w:val="00985B15"/>
    <w:rsid w:val="00985CE2"/>
    <w:rsid w:val="00985E68"/>
    <w:rsid w:val="0098658D"/>
    <w:rsid w:val="009865D6"/>
    <w:rsid w:val="00986602"/>
    <w:rsid w:val="00986EAA"/>
    <w:rsid w:val="0098731D"/>
    <w:rsid w:val="0098785A"/>
    <w:rsid w:val="00987D4D"/>
    <w:rsid w:val="009902AA"/>
    <w:rsid w:val="00990723"/>
    <w:rsid w:val="00990D8E"/>
    <w:rsid w:val="00991046"/>
    <w:rsid w:val="0099153A"/>
    <w:rsid w:val="00991AF6"/>
    <w:rsid w:val="00991E65"/>
    <w:rsid w:val="00991F37"/>
    <w:rsid w:val="00992145"/>
    <w:rsid w:val="0099225E"/>
    <w:rsid w:val="00992960"/>
    <w:rsid w:val="00993585"/>
    <w:rsid w:val="009935AC"/>
    <w:rsid w:val="00993CB9"/>
    <w:rsid w:val="00994AA6"/>
    <w:rsid w:val="00994CD4"/>
    <w:rsid w:val="009953FF"/>
    <w:rsid w:val="00995AA9"/>
    <w:rsid w:val="00995AD6"/>
    <w:rsid w:val="00995DCE"/>
    <w:rsid w:val="0099649B"/>
    <w:rsid w:val="0099661A"/>
    <w:rsid w:val="00997419"/>
    <w:rsid w:val="00997518"/>
    <w:rsid w:val="00997568"/>
    <w:rsid w:val="009977D2"/>
    <w:rsid w:val="00997CAD"/>
    <w:rsid w:val="009A04A9"/>
    <w:rsid w:val="009A070B"/>
    <w:rsid w:val="009A08DD"/>
    <w:rsid w:val="009A0B0F"/>
    <w:rsid w:val="009A0E65"/>
    <w:rsid w:val="009A18E6"/>
    <w:rsid w:val="009A1D3B"/>
    <w:rsid w:val="009A2C9F"/>
    <w:rsid w:val="009A3027"/>
    <w:rsid w:val="009A333A"/>
    <w:rsid w:val="009A3817"/>
    <w:rsid w:val="009A3910"/>
    <w:rsid w:val="009A3F4C"/>
    <w:rsid w:val="009A4138"/>
    <w:rsid w:val="009A43C1"/>
    <w:rsid w:val="009A4645"/>
    <w:rsid w:val="009A4B0A"/>
    <w:rsid w:val="009A4EC0"/>
    <w:rsid w:val="009A5D67"/>
    <w:rsid w:val="009A5D6A"/>
    <w:rsid w:val="009A5DEB"/>
    <w:rsid w:val="009A5E40"/>
    <w:rsid w:val="009A6028"/>
    <w:rsid w:val="009A650F"/>
    <w:rsid w:val="009A6716"/>
    <w:rsid w:val="009A6A77"/>
    <w:rsid w:val="009A6BFD"/>
    <w:rsid w:val="009A7068"/>
    <w:rsid w:val="009A707E"/>
    <w:rsid w:val="009A7366"/>
    <w:rsid w:val="009A7EAC"/>
    <w:rsid w:val="009A7F02"/>
    <w:rsid w:val="009B0067"/>
    <w:rsid w:val="009B03C2"/>
    <w:rsid w:val="009B0856"/>
    <w:rsid w:val="009B08FE"/>
    <w:rsid w:val="009B1930"/>
    <w:rsid w:val="009B21BC"/>
    <w:rsid w:val="009B2630"/>
    <w:rsid w:val="009B29E2"/>
    <w:rsid w:val="009B2A78"/>
    <w:rsid w:val="009B2A9B"/>
    <w:rsid w:val="009B2FA3"/>
    <w:rsid w:val="009B36A2"/>
    <w:rsid w:val="009B377E"/>
    <w:rsid w:val="009B3CE4"/>
    <w:rsid w:val="009B452B"/>
    <w:rsid w:val="009B4571"/>
    <w:rsid w:val="009B48D8"/>
    <w:rsid w:val="009B4C94"/>
    <w:rsid w:val="009B4F57"/>
    <w:rsid w:val="009B5C40"/>
    <w:rsid w:val="009B62A4"/>
    <w:rsid w:val="009B6636"/>
    <w:rsid w:val="009B6A87"/>
    <w:rsid w:val="009B6EDE"/>
    <w:rsid w:val="009B720F"/>
    <w:rsid w:val="009B79ED"/>
    <w:rsid w:val="009B7C95"/>
    <w:rsid w:val="009C085E"/>
    <w:rsid w:val="009C0E56"/>
    <w:rsid w:val="009C113E"/>
    <w:rsid w:val="009C178B"/>
    <w:rsid w:val="009C18E2"/>
    <w:rsid w:val="009C1992"/>
    <w:rsid w:val="009C1AF9"/>
    <w:rsid w:val="009C1B1E"/>
    <w:rsid w:val="009C1C2D"/>
    <w:rsid w:val="009C2736"/>
    <w:rsid w:val="009C280F"/>
    <w:rsid w:val="009C2B6E"/>
    <w:rsid w:val="009C2EE6"/>
    <w:rsid w:val="009C4219"/>
    <w:rsid w:val="009C42D8"/>
    <w:rsid w:val="009C50B0"/>
    <w:rsid w:val="009C5D15"/>
    <w:rsid w:val="009C5E68"/>
    <w:rsid w:val="009C5EAA"/>
    <w:rsid w:val="009C6288"/>
    <w:rsid w:val="009C656D"/>
    <w:rsid w:val="009C671B"/>
    <w:rsid w:val="009C67C7"/>
    <w:rsid w:val="009C691A"/>
    <w:rsid w:val="009C6977"/>
    <w:rsid w:val="009C6A4B"/>
    <w:rsid w:val="009C7580"/>
    <w:rsid w:val="009C76A9"/>
    <w:rsid w:val="009C76B1"/>
    <w:rsid w:val="009C7AB8"/>
    <w:rsid w:val="009C7C83"/>
    <w:rsid w:val="009C7D14"/>
    <w:rsid w:val="009D0562"/>
    <w:rsid w:val="009D0563"/>
    <w:rsid w:val="009D0C6D"/>
    <w:rsid w:val="009D0C77"/>
    <w:rsid w:val="009D1778"/>
    <w:rsid w:val="009D17B1"/>
    <w:rsid w:val="009D1E50"/>
    <w:rsid w:val="009D23D8"/>
    <w:rsid w:val="009D26A5"/>
    <w:rsid w:val="009D30CB"/>
    <w:rsid w:val="009D33D9"/>
    <w:rsid w:val="009D4AF3"/>
    <w:rsid w:val="009D4DC0"/>
    <w:rsid w:val="009D4F35"/>
    <w:rsid w:val="009D5357"/>
    <w:rsid w:val="009D5598"/>
    <w:rsid w:val="009D5B33"/>
    <w:rsid w:val="009D5C68"/>
    <w:rsid w:val="009D5FBD"/>
    <w:rsid w:val="009D6150"/>
    <w:rsid w:val="009D6151"/>
    <w:rsid w:val="009D70F7"/>
    <w:rsid w:val="009D7513"/>
    <w:rsid w:val="009D75E8"/>
    <w:rsid w:val="009D7691"/>
    <w:rsid w:val="009D78F6"/>
    <w:rsid w:val="009E0387"/>
    <w:rsid w:val="009E03C5"/>
    <w:rsid w:val="009E04CE"/>
    <w:rsid w:val="009E0619"/>
    <w:rsid w:val="009E0BC7"/>
    <w:rsid w:val="009E12FB"/>
    <w:rsid w:val="009E133E"/>
    <w:rsid w:val="009E17EF"/>
    <w:rsid w:val="009E1D81"/>
    <w:rsid w:val="009E21B7"/>
    <w:rsid w:val="009E2440"/>
    <w:rsid w:val="009E26B7"/>
    <w:rsid w:val="009E273D"/>
    <w:rsid w:val="009E28DD"/>
    <w:rsid w:val="009E296E"/>
    <w:rsid w:val="009E2D40"/>
    <w:rsid w:val="009E3666"/>
    <w:rsid w:val="009E3BD0"/>
    <w:rsid w:val="009E3F0C"/>
    <w:rsid w:val="009E42DD"/>
    <w:rsid w:val="009E49BB"/>
    <w:rsid w:val="009E508A"/>
    <w:rsid w:val="009E519F"/>
    <w:rsid w:val="009E571C"/>
    <w:rsid w:val="009E5BC4"/>
    <w:rsid w:val="009E5D2B"/>
    <w:rsid w:val="009E63DE"/>
    <w:rsid w:val="009E6521"/>
    <w:rsid w:val="009E66B1"/>
    <w:rsid w:val="009E6B02"/>
    <w:rsid w:val="009E70F6"/>
    <w:rsid w:val="009E7493"/>
    <w:rsid w:val="009E7AD1"/>
    <w:rsid w:val="009F0100"/>
    <w:rsid w:val="009F04FA"/>
    <w:rsid w:val="009F06FB"/>
    <w:rsid w:val="009F0771"/>
    <w:rsid w:val="009F07CF"/>
    <w:rsid w:val="009F0F9B"/>
    <w:rsid w:val="009F1055"/>
    <w:rsid w:val="009F1577"/>
    <w:rsid w:val="009F21AF"/>
    <w:rsid w:val="009F2A6D"/>
    <w:rsid w:val="009F2CCB"/>
    <w:rsid w:val="009F3289"/>
    <w:rsid w:val="009F3662"/>
    <w:rsid w:val="009F3741"/>
    <w:rsid w:val="009F37C0"/>
    <w:rsid w:val="009F399B"/>
    <w:rsid w:val="009F3C84"/>
    <w:rsid w:val="009F3D89"/>
    <w:rsid w:val="009F3DC7"/>
    <w:rsid w:val="009F4395"/>
    <w:rsid w:val="009F45D6"/>
    <w:rsid w:val="009F4FFD"/>
    <w:rsid w:val="009F5440"/>
    <w:rsid w:val="009F54B8"/>
    <w:rsid w:val="009F6118"/>
    <w:rsid w:val="009F6667"/>
    <w:rsid w:val="009F670F"/>
    <w:rsid w:val="009F6923"/>
    <w:rsid w:val="009F6B44"/>
    <w:rsid w:val="009F70E1"/>
    <w:rsid w:val="009F7305"/>
    <w:rsid w:val="009F78A3"/>
    <w:rsid w:val="009F795D"/>
    <w:rsid w:val="009F79BE"/>
    <w:rsid w:val="009F7BA0"/>
    <w:rsid w:val="00A008F4"/>
    <w:rsid w:val="00A0091A"/>
    <w:rsid w:val="00A009D8"/>
    <w:rsid w:val="00A012FC"/>
    <w:rsid w:val="00A017AC"/>
    <w:rsid w:val="00A019AF"/>
    <w:rsid w:val="00A01D2F"/>
    <w:rsid w:val="00A02455"/>
    <w:rsid w:val="00A02484"/>
    <w:rsid w:val="00A029F3"/>
    <w:rsid w:val="00A03181"/>
    <w:rsid w:val="00A033BE"/>
    <w:rsid w:val="00A0421C"/>
    <w:rsid w:val="00A04984"/>
    <w:rsid w:val="00A05187"/>
    <w:rsid w:val="00A05324"/>
    <w:rsid w:val="00A061DE"/>
    <w:rsid w:val="00A0689E"/>
    <w:rsid w:val="00A0691D"/>
    <w:rsid w:val="00A07EB1"/>
    <w:rsid w:val="00A10481"/>
    <w:rsid w:val="00A10A18"/>
    <w:rsid w:val="00A1145A"/>
    <w:rsid w:val="00A117BC"/>
    <w:rsid w:val="00A117DA"/>
    <w:rsid w:val="00A11962"/>
    <w:rsid w:val="00A11EE6"/>
    <w:rsid w:val="00A11FB8"/>
    <w:rsid w:val="00A1335B"/>
    <w:rsid w:val="00A13C28"/>
    <w:rsid w:val="00A13CF7"/>
    <w:rsid w:val="00A13D6F"/>
    <w:rsid w:val="00A13D83"/>
    <w:rsid w:val="00A14A2D"/>
    <w:rsid w:val="00A14D60"/>
    <w:rsid w:val="00A14EB7"/>
    <w:rsid w:val="00A15A2C"/>
    <w:rsid w:val="00A15B93"/>
    <w:rsid w:val="00A15BC2"/>
    <w:rsid w:val="00A15FA3"/>
    <w:rsid w:val="00A16A51"/>
    <w:rsid w:val="00A16ACC"/>
    <w:rsid w:val="00A16E53"/>
    <w:rsid w:val="00A17278"/>
    <w:rsid w:val="00A20787"/>
    <w:rsid w:val="00A20CAD"/>
    <w:rsid w:val="00A215F3"/>
    <w:rsid w:val="00A217F5"/>
    <w:rsid w:val="00A21D7E"/>
    <w:rsid w:val="00A2242A"/>
    <w:rsid w:val="00A22AE0"/>
    <w:rsid w:val="00A22E33"/>
    <w:rsid w:val="00A237EF"/>
    <w:rsid w:val="00A239A9"/>
    <w:rsid w:val="00A24095"/>
    <w:rsid w:val="00A247F7"/>
    <w:rsid w:val="00A24C3B"/>
    <w:rsid w:val="00A25139"/>
    <w:rsid w:val="00A2533E"/>
    <w:rsid w:val="00A25706"/>
    <w:rsid w:val="00A25F7F"/>
    <w:rsid w:val="00A2603B"/>
    <w:rsid w:val="00A267E6"/>
    <w:rsid w:val="00A26E2C"/>
    <w:rsid w:val="00A2706F"/>
    <w:rsid w:val="00A27200"/>
    <w:rsid w:val="00A273D9"/>
    <w:rsid w:val="00A278FB"/>
    <w:rsid w:val="00A27C3A"/>
    <w:rsid w:val="00A300AE"/>
    <w:rsid w:val="00A300D1"/>
    <w:rsid w:val="00A30430"/>
    <w:rsid w:val="00A3070E"/>
    <w:rsid w:val="00A30B60"/>
    <w:rsid w:val="00A313B1"/>
    <w:rsid w:val="00A3157D"/>
    <w:rsid w:val="00A31AEB"/>
    <w:rsid w:val="00A321F6"/>
    <w:rsid w:val="00A325DD"/>
    <w:rsid w:val="00A32A85"/>
    <w:rsid w:val="00A32A91"/>
    <w:rsid w:val="00A32C3D"/>
    <w:rsid w:val="00A330E6"/>
    <w:rsid w:val="00A33178"/>
    <w:rsid w:val="00A337DB"/>
    <w:rsid w:val="00A33938"/>
    <w:rsid w:val="00A34227"/>
    <w:rsid w:val="00A34255"/>
    <w:rsid w:val="00A343D6"/>
    <w:rsid w:val="00A343E1"/>
    <w:rsid w:val="00A343EA"/>
    <w:rsid w:val="00A34756"/>
    <w:rsid w:val="00A35032"/>
    <w:rsid w:val="00A35506"/>
    <w:rsid w:val="00A35B41"/>
    <w:rsid w:val="00A36607"/>
    <w:rsid w:val="00A3681F"/>
    <w:rsid w:val="00A36854"/>
    <w:rsid w:val="00A369D3"/>
    <w:rsid w:val="00A36A0C"/>
    <w:rsid w:val="00A36CF7"/>
    <w:rsid w:val="00A36F9C"/>
    <w:rsid w:val="00A36FFF"/>
    <w:rsid w:val="00A37465"/>
    <w:rsid w:val="00A37E40"/>
    <w:rsid w:val="00A404D5"/>
    <w:rsid w:val="00A4081E"/>
    <w:rsid w:val="00A408FE"/>
    <w:rsid w:val="00A4090F"/>
    <w:rsid w:val="00A40B2E"/>
    <w:rsid w:val="00A40B4F"/>
    <w:rsid w:val="00A419A1"/>
    <w:rsid w:val="00A41B4B"/>
    <w:rsid w:val="00A420D6"/>
    <w:rsid w:val="00A4219C"/>
    <w:rsid w:val="00A422B1"/>
    <w:rsid w:val="00A4253A"/>
    <w:rsid w:val="00A4321F"/>
    <w:rsid w:val="00A43738"/>
    <w:rsid w:val="00A43802"/>
    <w:rsid w:val="00A4391F"/>
    <w:rsid w:val="00A43C2E"/>
    <w:rsid w:val="00A43E68"/>
    <w:rsid w:val="00A4404F"/>
    <w:rsid w:val="00A4414D"/>
    <w:rsid w:val="00A4482E"/>
    <w:rsid w:val="00A448B4"/>
    <w:rsid w:val="00A44C2C"/>
    <w:rsid w:val="00A44D7B"/>
    <w:rsid w:val="00A45CA5"/>
    <w:rsid w:val="00A46053"/>
    <w:rsid w:val="00A461CA"/>
    <w:rsid w:val="00A465F2"/>
    <w:rsid w:val="00A472F2"/>
    <w:rsid w:val="00A47574"/>
    <w:rsid w:val="00A47B1E"/>
    <w:rsid w:val="00A47B63"/>
    <w:rsid w:val="00A47C72"/>
    <w:rsid w:val="00A47CFC"/>
    <w:rsid w:val="00A47F19"/>
    <w:rsid w:val="00A50040"/>
    <w:rsid w:val="00A508A8"/>
    <w:rsid w:val="00A50F52"/>
    <w:rsid w:val="00A510B3"/>
    <w:rsid w:val="00A510E6"/>
    <w:rsid w:val="00A51CF0"/>
    <w:rsid w:val="00A52162"/>
    <w:rsid w:val="00A5261B"/>
    <w:rsid w:val="00A52C94"/>
    <w:rsid w:val="00A532F8"/>
    <w:rsid w:val="00A532FB"/>
    <w:rsid w:val="00A533C9"/>
    <w:rsid w:val="00A538F7"/>
    <w:rsid w:val="00A53C47"/>
    <w:rsid w:val="00A53F62"/>
    <w:rsid w:val="00A5415C"/>
    <w:rsid w:val="00A544BF"/>
    <w:rsid w:val="00A5453E"/>
    <w:rsid w:val="00A547F2"/>
    <w:rsid w:val="00A54C3E"/>
    <w:rsid w:val="00A55190"/>
    <w:rsid w:val="00A55757"/>
    <w:rsid w:val="00A5585A"/>
    <w:rsid w:val="00A566DC"/>
    <w:rsid w:val="00A5741A"/>
    <w:rsid w:val="00A574B7"/>
    <w:rsid w:val="00A57B28"/>
    <w:rsid w:val="00A60057"/>
    <w:rsid w:val="00A60070"/>
    <w:rsid w:val="00A600A2"/>
    <w:rsid w:val="00A60470"/>
    <w:rsid w:val="00A60516"/>
    <w:rsid w:val="00A60646"/>
    <w:rsid w:val="00A60775"/>
    <w:rsid w:val="00A61B3E"/>
    <w:rsid w:val="00A621D0"/>
    <w:rsid w:val="00A624D6"/>
    <w:rsid w:val="00A62953"/>
    <w:rsid w:val="00A62D4F"/>
    <w:rsid w:val="00A62ED6"/>
    <w:rsid w:val="00A640EA"/>
    <w:rsid w:val="00A643F6"/>
    <w:rsid w:val="00A64446"/>
    <w:rsid w:val="00A64519"/>
    <w:rsid w:val="00A645F6"/>
    <w:rsid w:val="00A65CBE"/>
    <w:rsid w:val="00A65CF4"/>
    <w:rsid w:val="00A65E2A"/>
    <w:rsid w:val="00A65FDE"/>
    <w:rsid w:val="00A664B3"/>
    <w:rsid w:val="00A66717"/>
    <w:rsid w:val="00A66E34"/>
    <w:rsid w:val="00A6702C"/>
    <w:rsid w:val="00A7018B"/>
    <w:rsid w:val="00A70DDC"/>
    <w:rsid w:val="00A70F83"/>
    <w:rsid w:val="00A710E9"/>
    <w:rsid w:val="00A71624"/>
    <w:rsid w:val="00A718E2"/>
    <w:rsid w:val="00A71C1F"/>
    <w:rsid w:val="00A71C27"/>
    <w:rsid w:val="00A72104"/>
    <w:rsid w:val="00A722D6"/>
    <w:rsid w:val="00A7258F"/>
    <w:rsid w:val="00A725AF"/>
    <w:rsid w:val="00A72979"/>
    <w:rsid w:val="00A72ED5"/>
    <w:rsid w:val="00A7340C"/>
    <w:rsid w:val="00A737F4"/>
    <w:rsid w:val="00A738B6"/>
    <w:rsid w:val="00A73B9D"/>
    <w:rsid w:val="00A73D1D"/>
    <w:rsid w:val="00A741CD"/>
    <w:rsid w:val="00A74A44"/>
    <w:rsid w:val="00A74FEB"/>
    <w:rsid w:val="00A7554A"/>
    <w:rsid w:val="00A75E3D"/>
    <w:rsid w:val="00A7635B"/>
    <w:rsid w:val="00A7669F"/>
    <w:rsid w:val="00A76B31"/>
    <w:rsid w:val="00A771A4"/>
    <w:rsid w:val="00A77280"/>
    <w:rsid w:val="00A772FA"/>
    <w:rsid w:val="00A77325"/>
    <w:rsid w:val="00A7772B"/>
    <w:rsid w:val="00A777DC"/>
    <w:rsid w:val="00A77901"/>
    <w:rsid w:val="00A77C61"/>
    <w:rsid w:val="00A77EB6"/>
    <w:rsid w:val="00A80229"/>
    <w:rsid w:val="00A80396"/>
    <w:rsid w:val="00A80BF1"/>
    <w:rsid w:val="00A81060"/>
    <w:rsid w:val="00A8109E"/>
    <w:rsid w:val="00A81193"/>
    <w:rsid w:val="00A812AE"/>
    <w:rsid w:val="00A8142E"/>
    <w:rsid w:val="00A8166B"/>
    <w:rsid w:val="00A81CCB"/>
    <w:rsid w:val="00A81D56"/>
    <w:rsid w:val="00A81E5B"/>
    <w:rsid w:val="00A81F05"/>
    <w:rsid w:val="00A826C4"/>
    <w:rsid w:val="00A82A6D"/>
    <w:rsid w:val="00A8329F"/>
    <w:rsid w:val="00A837E5"/>
    <w:rsid w:val="00A83C63"/>
    <w:rsid w:val="00A83DC0"/>
    <w:rsid w:val="00A84079"/>
    <w:rsid w:val="00A845F3"/>
    <w:rsid w:val="00A8462F"/>
    <w:rsid w:val="00A84921"/>
    <w:rsid w:val="00A84983"/>
    <w:rsid w:val="00A84BE9"/>
    <w:rsid w:val="00A85AA1"/>
    <w:rsid w:val="00A85CCB"/>
    <w:rsid w:val="00A85D6F"/>
    <w:rsid w:val="00A85E37"/>
    <w:rsid w:val="00A863C5"/>
    <w:rsid w:val="00A8681D"/>
    <w:rsid w:val="00A8692E"/>
    <w:rsid w:val="00A86D03"/>
    <w:rsid w:val="00A86D15"/>
    <w:rsid w:val="00A872B1"/>
    <w:rsid w:val="00A8736F"/>
    <w:rsid w:val="00A8770F"/>
    <w:rsid w:val="00A878D9"/>
    <w:rsid w:val="00A87B05"/>
    <w:rsid w:val="00A901AA"/>
    <w:rsid w:val="00A903CA"/>
    <w:rsid w:val="00A9061D"/>
    <w:rsid w:val="00A90DF2"/>
    <w:rsid w:val="00A910C4"/>
    <w:rsid w:val="00A91282"/>
    <w:rsid w:val="00A91455"/>
    <w:rsid w:val="00A91AEF"/>
    <w:rsid w:val="00A91E75"/>
    <w:rsid w:val="00A91FAE"/>
    <w:rsid w:val="00A920DB"/>
    <w:rsid w:val="00A926DB"/>
    <w:rsid w:val="00A92EA6"/>
    <w:rsid w:val="00A92EAB"/>
    <w:rsid w:val="00A9305A"/>
    <w:rsid w:val="00A93180"/>
    <w:rsid w:val="00A931B0"/>
    <w:rsid w:val="00A931F3"/>
    <w:rsid w:val="00A9339D"/>
    <w:rsid w:val="00A93B27"/>
    <w:rsid w:val="00A93C70"/>
    <w:rsid w:val="00A9405F"/>
    <w:rsid w:val="00A9435F"/>
    <w:rsid w:val="00A94574"/>
    <w:rsid w:val="00A94CB4"/>
    <w:rsid w:val="00A94CEE"/>
    <w:rsid w:val="00A94E6C"/>
    <w:rsid w:val="00A94E94"/>
    <w:rsid w:val="00A95622"/>
    <w:rsid w:val="00A956F6"/>
    <w:rsid w:val="00A95987"/>
    <w:rsid w:val="00A96DB5"/>
    <w:rsid w:val="00A96F3A"/>
    <w:rsid w:val="00A977A0"/>
    <w:rsid w:val="00A97A86"/>
    <w:rsid w:val="00A97B69"/>
    <w:rsid w:val="00A97E1C"/>
    <w:rsid w:val="00A97FE5"/>
    <w:rsid w:val="00AA01D5"/>
    <w:rsid w:val="00AA025C"/>
    <w:rsid w:val="00AA0699"/>
    <w:rsid w:val="00AA0DD5"/>
    <w:rsid w:val="00AA1A82"/>
    <w:rsid w:val="00AA1B02"/>
    <w:rsid w:val="00AA1DDA"/>
    <w:rsid w:val="00AA2796"/>
    <w:rsid w:val="00AA2930"/>
    <w:rsid w:val="00AA2C63"/>
    <w:rsid w:val="00AA3895"/>
    <w:rsid w:val="00AA3B07"/>
    <w:rsid w:val="00AA3EB0"/>
    <w:rsid w:val="00AA4595"/>
    <w:rsid w:val="00AA4828"/>
    <w:rsid w:val="00AA5960"/>
    <w:rsid w:val="00AA59F1"/>
    <w:rsid w:val="00AA5C28"/>
    <w:rsid w:val="00AA5E2B"/>
    <w:rsid w:val="00AA603C"/>
    <w:rsid w:val="00AA6188"/>
    <w:rsid w:val="00AA67EE"/>
    <w:rsid w:val="00AA6B50"/>
    <w:rsid w:val="00AA6C60"/>
    <w:rsid w:val="00AA7065"/>
    <w:rsid w:val="00AA73CE"/>
    <w:rsid w:val="00AA765E"/>
    <w:rsid w:val="00AA7661"/>
    <w:rsid w:val="00AA7852"/>
    <w:rsid w:val="00AA7C4E"/>
    <w:rsid w:val="00AB04F6"/>
    <w:rsid w:val="00AB08C8"/>
    <w:rsid w:val="00AB0B49"/>
    <w:rsid w:val="00AB0CA2"/>
    <w:rsid w:val="00AB0E46"/>
    <w:rsid w:val="00AB0F0C"/>
    <w:rsid w:val="00AB17A1"/>
    <w:rsid w:val="00AB1969"/>
    <w:rsid w:val="00AB1D3F"/>
    <w:rsid w:val="00AB20F3"/>
    <w:rsid w:val="00AB272F"/>
    <w:rsid w:val="00AB2B92"/>
    <w:rsid w:val="00AB3371"/>
    <w:rsid w:val="00AB365B"/>
    <w:rsid w:val="00AB3924"/>
    <w:rsid w:val="00AB3BC6"/>
    <w:rsid w:val="00AB420A"/>
    <w:rsid w:val="00AB47BA"/>
    <w:rsid w:val="00AB4D8B"/>
    <w:rsid w:val="00AB4FA6"/>
    <w:rsid w:val="00AB541A"/>
    <w:rsid w:val="00AB59A3"/>
    <w:rsid w:val="00AB5BA4"/>
    <w:rsid w:val="00AB5C07"/>
    <w:rsid w:val="00AB5C0F"/>
    <w:rsid w:val="00AB5DF0"/>
    <w:rsid w:val="00AB5EE6"/>
    <w:rsid w:val="00AB6022"/>
    <w:rsid w:val="00AB63E4"/>
    <w:rsid w:val="00AB737D"/>
    <w:rsid w:val="00AB7439"/>
    <w:rsid w:val="00AB751B"/>
    <w:rsid w:val="00AB7C6D"/>
    <w:rsid w:val="00AB7E15"/>
    <w:rsid w:val="00AB7E4D"/>
    <w:rsid w:val="00AC0079"/>
    <w:rsid w:val="00AC03D1"/>
    <w:rsid w:val="00AC05FA"/>
    <w:rsid w:val="00AC0678"/>
    <w:rsid w:val="00AC06EE"/>
    <w:rsid w:val="00AC0708"/>
    <w:rsid w:val="00AC0789"/>
    <w:rsid w:val="00AC07BE"/>
    <w:rsid w:val="00AC08E3"/>
    <w:rsid w:val="00AC0B0F"/>
    <w:rsid w:val="00AC1091"/>
    <w:rsid w:val="00AC11E9"/>
    <w:rsid w:val="00AC1552"/>
    <w:rsid w:val="00AC16E3"/>
    <w:rsid w:val="00AC1A98"/>
    <w:rsid w:val="00AC1CB8"/>
    <w:rsid w:val="00AC1FD1"/>
    <w:rsid w:val="00AC2309"/>
    <w:rsid w:val="00AC243B"/>
    <w:rsid w:val="00AC25C9"/>
    <w:rsid w:val="00AC29A4"/>
    <w:rsid w:val="00AC2B71"/>
    <w:rsid w:val="00AC2DA8"/>
    <w:rsid w:val="00AC2EC7"/>
    <w:rsid w:val="00AC2EDF"/>
    <w:rsid w:val="00AC3627"/>
    <w:rsid w:val="00AC3FAB"/>
    <w:rsid w:val="00AC4664"/>
    <w:rsid w:val="00AC4707"/>
    <w:rsid w:val="00AC4FEB"/>
    <w:rsid w:val="00AC51A3"/>
    <w:rsid w:val="00AC5335"/>
    <w:rsid w:val="00AC55BB"/>
    <w:rsid w:val="00AC58AF"/>
    <w:rsid w:val="00AC58DF"/>
    <w:rsid w:val="00AC5BEF"/>
    <w:rsid w:val="00AC5C46"/>
    <w:rsid w:val="00AC65B5"/>
    <w:rsid w:val="00AC6818"/>
    <w:rsid w:val="00AC6BE0"/>
    <w:rsid w:val="00AC6C88"/>
    <w:rsid w:val="00AC6D08"/>
    <w:rsid w:val="00AC71C6"/>
    <w:rsid w:val="00AC75DD"/>
    <w:rsid w:val="00AC774D"/>
    <w:rsid w:val="00AC7835"/>
    <w:rsid w:val="00AC78FB"/>
    <w:rsid w:val="00AC7CD2"/>
    <w:rsid w:val="00AD0483"/>
    <w:rsid w:val="00AD0D0F"/>
    <w:rsid w:val="00AD0D5C"/>
    <w:rsid w:val="00AD2565"/>
    <w:rsid w:val="00AD26B6"/>
    <w:rsid w:val="00AD2BA1"/>
    <w:rsid w:val="00AD2CED"/>
    <w:rsid w:val="00AD2E81"/>
    <w:rsid w:val="00AD35D2"/>
    <w:rsid w:val="00AD3723"/>
    <w:rsid w:val="00AD4E68"/>
    <w:rsid w:val="00AD5C9B"/>
    <w:rsid w:val="00AD5DF9"/>
    <w:rsid w:val="00AD6243"/>
    <w:rsid w:val="00AD62E3"/>
    <w:rsid w:val="00AD64D5"/>
    <w:rsid w:val="00AD663C"/>
    <w:rsid w:val="00AD690D"/>
    <w:rsid w:val="00AD6DF3"/>
    <w:rsid w:val="00AD7128"/>
    <w:rsid w:val="00AD72BA"/>
    <w:rsid w:val="00AD73C5"/>
    <w:rsid w:val="00AD78EB"/>
    <w:rsid w:val="00AD7A1F"/>
    <w:rsid w:val="00AD7EF6"/>
    <w:rsid w:val="00AD7F67"/>
    <w:rsid w:val="00AE00A0"/>
    <w:rsid w:val="00AE0405"/>
    <w:rsid w:val="00AE0836"/>
    <w:rsid w:val="00AE0DC9"/>
    <w:rsid w:val="00AE0E91"/>
    <w:rsid w:val="00AE1120"/>
    <w:rsid w:val="00AE1B54"/>
    <w:rsid w:val="00AE1EF3"/>
    <w:rsid w:val="00AE20C6"/>
    <w:rsid w:val="00AE222F"/>
    <w:rsid w:val="00AE273E"/>
    <w:rsid w:val="00AE2753"/>
    <w:rsid w:val="00AE2A7C"/>
    <w:rsid w:val="00AE2B02"/>
    <w:rsid w:val="00AE2B67"/>
    <w:rsid w:val="00AE369C"/>
    <w:rsid w:val="00AE3907"/>
    <w:rsid w:val="00AE3AEC"/>
    <w:rsid w:val="00AE3D67"/>
    <w:rsid w:val="00AE3E3B"/>
    <w:rsid w:val="00AE40CD"/>
    <w:rsid w:val="00AE40F3"/>
    <w:rsid w:val="00AE422A"/>
    <w:rsid w:val="00AE4298"/>
    <w:rsid w:val="00AE4580"/>
    <w:rsid w:val="00AE46AB"/>
    <w:rsid w:val="00AE4C82"/>
    <w:rsid w:val="00AE4FC7"/>
    <w:rsid w:val="00AE5372"/>
    <w:rsid w:val="00AE5841"/>
    <w:rsid w:val="00AE5929"/>
    <w:rsid w:val="00AE5F0A"/>
    <w:rsid w:val="00AE67CF"/>
    <w:rsid w:val="00AE6883"/>
    <w:rsid w:val="00AE6BF6"/>
    <w:rsid w:val="00AE6D1B"/>
    <w:rsid w:val="00AE6E1C"/>
    <w:rsid w:val="00AE70F8"/>
    <w:rsid w:val="00AE7669"/>
    <w:rsid w:val="00AE785D"/>
    <w:rsid w:val="00AE788B"/>
    <w:rsid w:val="00AE7CCA"/>
    <w:rsid w:val="00AF0322"/>
    <w:rsid w:val="00AF0AF0"/>
    <w:rsid w:val="00AF0C8E"/>
    <w:rsid w:val="00AF0FA0"/>
    <w:rsid w:val="00AF0FC7"/>
    <w:rsid w:val="00AF1100"/>
    <w:rsid w:val="00AF1523"/>
    <w:rsid w:val="00AF2147"/>
    <w:rsid w:val="00AF248B"/>
    <w:rsid w:val="00AF2909"/>
    <w:rsid w:val="00AF2A31"/>
    <w:rsid w:val="00AF2DC1"/>
    <w:rsid w:val="00AF2E32"/>
    <w:rsid w:val="00AF2EF9"/>
    <w:rsid w:val="00AF338F"/>
    <w:rsid w:val="00AF3E3A"/>
    <w:rsid w:val="00AF452D"/>
    <w:rsid w:val="00AF4C3A"/>
    <w:rsid w:val="00AF54D7"/>
    <w:rsid w:val="00AF5605"/>
    <w:rsid w:val="00AF56B1"/>
    <w:rsid w:val="00AF5C8C"/>
    <w:rsid w:val="00AF62F3"/>
    <w:rsid w:val="00AF6813"/>
    <w:rsid w:val="00AF6E9F"/>
    <w:rsid w:val="00AF6ED7"/>
    <w:rsid w:val="00AF700E"/>
    <w:rsid w:val="00AF7088"/>
    <w:rsid w:val="00B0080B"/>
    <w:rsid w:val="00B0092B"/>
    <w:rsid w:val="00B00CFA"/>
    <w:rsid w:val="00B0109F"/>
    <w:rsid w:val="00B01135"/>
    <w:rsid w:val="00B01553"/>
    <w:rsid w:val="00B01B61"/>
    <w:rsid w:val="00B01E96"/>
    <w:rsid w:val="00B0284F"/>
    <w:rsid w:val="00B02BD8"/>
    <w:rsid w:val="00B02C0D"/>
    <w:rsid w:val="00B02E96"/>
    <w:rsid w:val="00B03124"/>
    <w:rsid w:val="00B03228"/>
    <w:rsid w:val="00B03505"/>
    <w:rsid w:val="00B039F7"/>
    <w:rsid w:val="00B03DA0"/>
    <w:rsid w:val="00B03DE8"/>
    <w:rsid w:val="00B03F87"/>
    <w:rsid w:val="00B045DF"/>
    <w:rsid w:val="00B047DD"/>
    <w:rsid w:val="00B0483C"/>
    <w:rsid w:val="00B0484F"/>
    <w:rsid w:val="00B04BA3"/>
    <w:rsid w:val="00B04D4E"/>
    <w:rsid w:val="00B04E32"/>
    <w:rsid w:val="00B05188"/>
    <w:rsid w:val="00B0523F"/>
    <w:rsid w:val="00B052C2"/>
    <w:rsid w:val="00B05692"/>
    <w:rsid w:val="00B05694"/>
    <w:rsid w:val="00B0595E"/>
    <w:rsid w:val="00B06050"/>
    <w:rsid w:val="00B066C9"/>
    <w:rsid w:val="00B068F9"/>
    <w:rsid w:val="00B06FA1"/>
    <w:rsid w:val="00B070CE"/>
    <w:rsid w:val="00B07595"/>
    <w:rsid w:val="00B07C5B"/>
    <w:rsid w:val="00B07CE0"/>
    <w:rsid w:val="00B07F7F"/>
    <w:rsid w:val="00B104F9"/>
    <w:rsid w:val="00B1081B"/>
    <w:rsid w:val="00B10A58"/>
    <w:rsid w:val="00B10AA3"/>
    <w:rsid w:val="00B1100F"/>
    <w:rsid w:val="00B11156"/>
    <w:rsid w:val="00B113FA"/>
    <w:rsid w:val="00B11436"/>
    <w:rsid w:val="00B11666"/>
    <w:rsid w:val="00B1190E"/>
    <w:rsid w:val="00B11C8B"/>
    <w:rsid w:val="00B11FC4"/>
    <w:rsid w:val="00B120DA"/>
    <w:rsid w:val="00B12698"/>
    <w:rsid w:val="00B128CD"/>
    <w:rsid w:val="00B12CD7"/>
    <w:rsid w:val="00B13284"/>
    <w:rsid w:val="00B135BF"/>
    <w:rsid w:val="00B13BA4"/>
    <w:rsid w:val="00B13CD2"/>
    <w:rsid w:val="00B1428B"/>
    <w:rsid w:val="00B15063"/>
    <w:rsid w:val="00B152B8"/>
    <w:rsid w:val="00B154FA"/>
    <w:rsid w:val="00B15562"/>
    <w:rsid w:val="00B1562A"/>
    <w:rsid w:val="00B157EE"/>
    <w:rsid w:val="00B15BEA"/>
    <w:rsid w:val="00B1631F"/>
    <w:rsid w:val="00B16484"/>
    <w:rsid w:val="00B1657B"/>
    <w:rsid w:val="00B16A9B"/>
    <w:rsid w:val="00B16AC6"/>
    <w:rsid w:val="00B16BA4"/>
    <w:rsid w:val="00B170EE"/>
    <w:rsid w:val="00B171AD"/>
    <w:rsid w:val="00B173B8"/>
    <w:rsid w:val="00B1756C"/>
    <w:rsid w:val="00B1763E"/>
    <w:rsid w:val="00B1790F"/>
    <w:rsid w:val="00B17D9A"/>
    <w:rsid w:val="00B17E2A"/>
    <w:rsid w:val="00B2004D"/>
    <w:rsid w:val="00B20182"/>
    <w:rsid w:val="00B20753"/>
    <w:rsid w:val="00B20F2F"/>
    <w:rsid w:val="00B21973"/>
    <w:rsid w:val="00B22EAF"/>
    <w:rsid w:val="00B23677"/>
    <w:rsid w:val="00B23C71"/>
    <w:rsid w:val="00B23CBF"/>
    <w:rsid w:val="00B243BB"/>
    <w:rsid w:val="00B2469A"/>
    <w:rsid w:val="00B24C85"/>
    <w:rsid w:val="00B2503F"/>
    <w:rsid w:val="00B25308"/>
    <w:rsid w:val="00B255A0"/>
    <w:rsid w:val="00B257DB"/>
    <w:rsid w:val="00B257EF"/>
    <w:rsid w:val="00B25DBB"/>
    <w:rsid w:val="00B25F12"/>
    <w:rsid w:val="00B25F7C"/>
    <w:rsid w:val="00B26203"/>
    <w:rsid w:val="00B26468"/>
    <w:rsid w:val="00B26909"/>
    <w:rsid w:val="00B26EA7"/>
    <w:rsid w:val="00B26EEE"/>
    <w:rsid w:val="00B26F8E"/>
    <w:rsid w:val="00B271F4"/>
    <w:rsid w:val="00B271FE"/>
    <w:rsid w:val="00B274AF"/>
    <w:rsid w:val="00B2767F"/>
    <w:rsid w:val="00B27862"/>
    <w:rsid w:val="00B27FB2"/>
    <w:rsid w:val="00B30702"/>
    <w:rsid w:val="00B30714"/>
    <w:rsid w:val="00B3078D"/>
    <w:rsid w:val="00B30916"/>
    <w:rsid w:val="00B30CBE"/>
    <w:rsid w:val="00B31519"/>
    <w:rsid w:val="00B31742"/>
    <w:rsid w:val="00B31788"/>
    <w:rsid w:val="00B318BF"/>
    <w:rsid w:val="00B31A3E"/>
    <w:rsid w:val="00B31E9C"/>
    <w:rsid w:val="00B32105"/>
    <w:rsid w:val="00B324D5"/>
    <w:rsid w:val="00B32979"/>
    <w:rsid w:val="00B32E55"/>
    <w:rsid w:val="00B333DB"/>
    <w:rsid w:val="00B334B9"/>
    <w:rsid w:val="00B33590"/>
    <w:rsid w:val="00B339C8"/>
    <w:rsid w:val="00B33A9B"/>
    <w:rsid w:val="00B3441B"/>
    <w:rsid w:val="00B34742"/>
    <w:rsid w:val="00B34CAE"/>
    <w:rsid w:val="00B35271"/>
    <w:rsid w:val="00B353E5"/>
    <w:rsid w:val="00B35DAD"/>
    <w:rsid w:val="00B35E18"/>
    <w:rsid w:val="00B35FDC"/>
    <w:rsid w:val="00B36206"/>
    <w:rsid w:val="00B363E0"/>
    <w:rsid w:val="00B3705E"/>
    <w:rsid w:val="00B377DD"/>
    <w:rsid w:val="00B37B01"/>
    <w:rsid w:val="00B37C2A"/>
    <w:rsid w:val="00B37D9D"/>
    <w:rsid w:val="00B401A4"/>
    <w:rsid w:val="00B4024F"/>
    <w:rsid w:val="00B40678"/>
    <w:rsid w:val="00B40E94"/>
    <w:rsid w:val="00B41171"/>
    <w:rsid w:val="00B4131D"/>
    <w:rsid w:val="00B41577"/>
    <w:rsid w:val="00B41630"/>
    <w:rsid w:val="00B41CF8"/>
    <w:rsid w:val="00B42160"/>
    <w:rsid w:val="00B4257E"/>
    <w:rsid w:val="00B43030"/>
    <w:rsid w:val="00B4364F"/>
    <w:rsid w:val="00B43935"/>
    <w:rsid w:val="00B43A29"/>
    <w:rsid w:val="00B43D0E"/>
    <w:rsid w:val="00B44337"/>
    <w:rsid w:val="00B443B8"/>
    <w:rsid w:val="00B443E0"/>
    <w:rsid w:val="00B447A8"/>
    <w:rsid w:val="00B448B2"/>
    <w:rsid w:val="00B44A28"/>
    <w:rsid w:val="00B44A97"/>
    <w:rsid w:val="00B45BB5"/>
    <w:rsid w:val="00B461F1"/>
    <w:rsid w:val="00B4684A"/>
    <w:rsid w:val="00B46C57"/>
    <w:rsid w:val="00B47445"/>
    <w:rsid w:val="00B47603"/>
    <w:rsid w:val="00B47BF4"/>
    <w:rsid w:val="00B47DF9"/>
    <w:rsid w:val="00B47FF3"/>
    <w:rsid w:val="00B505F8"/>
    <w:rsid w:val="00B50717"/>
    <w:rsid w:val="00B50D4F"/>
    <w:rsid w:val="00B50D6C"/>
    <w:rsid w:val="00B513B6"/>
    <w:rsid w:val="00B515E8"/>
    <w:rsid w:val="00B516DD"/>
    <w:rsid w:val="00B52EBB"/>
    <w:rsid w:val="00B5311C"/>
    <w:rsid w:val="00B53C5D"/>
    <w:rsid w:val="00B53E76"/>
    <w:rsid w:val="00B5400B"/>
    <w:rsid w:val="00B54024"/>
    <w:rsid w:val="00B54448"/>
    <w:rsid w:val="00B54AAD"/>
    <w:rsid w:val="00B54EE1"/>
    <w:rsid w:val="00B55344"/>
    <w:rsid w:val="00B55469"/>
    <w:rsid w:val="00B559CF"/>
    <w:rsid w:val="00B55B4F"/>
    <w:rsid w:val="00B55E83"/>
    <w:rsid w:val="00B55F4D"/>
    <w:rsid w:val="00B56199"/>
    <w:rsid w:val="00B563B4"/>
    <w:rsid w:val="00B563DA"/>
    <w:rsid w:val="00B56A2A"/>
    <w:rsid w:val="00B56B07"/>
    <w:rsid w:val="00B576C7"/>
    <w:rsid w:val="00B5795C"/>
    <w:rsid w:val="00B579A9"/>
    <w:rsid w:val="00B57A37"/>
    <w:rsid w:val="00B57CC4"/>
    <w:rsid w:val="00B60057"/>
    <w:rsid w:val="00B60471"/>
    <w:rsid w:val="00B60915"/>
    <w:rsid w:val="00B60D00"/>
    <w:rsid w:val="00B6123F"/>
    <w:rsid w:val="00B61746"/>
    <w:rsid w:val="00B61ADD"/>
    <w:rsid w:val="00B62545"/>
    <w:rsid w:val="00B62567"/>
    <w:rsid w:val="00B6259A"/>
    <w:rsid w:val="00B62790"/>
    <w:rsid w:val="00B62AEA"/>
    <w:rsid w:val="00B62BF4"/>
    <w:rsid w:val="00B6348F"/>
    <w:rsid w:val="00B63491"/>
    <w:rsid w:val="00B6386E"/>
    <w:rsid w:val="00B6389D"/>
    <w:rsid w:val="00B63937"/>
    <w:rsid w:val="00B6394A"/>
    <w:rsid w:val="00B63C3F"/>
    <w:rsid w:val="00B64032"/>
    <w:rsid w:val="00B64271"/>
    <w:rsid w:val="00B643A9"/>
    <w:rsid w:val="00B64D88"/>
    <w:rsid w:val="00B64E81"/>
    <w:rsid w:val="00B65429"/>
    <w:rsid w:val="00B6552B"/>
    <w:rsid w:val="00B65AB7"/>
    <w:rsid w:val="00B65C0E"/>
    <w:rsid w:val="00B65CB9"/>
    <w:rsid w:val="00B66177"/>
    <w:rsid w:val="00B66814"/>
    <w:rsid w:val="00B66962"/>
    <w:rsid w:val="00B669A6"/>
    <w:rsid w:val="00B66B04"/>
    <w:rsid w:val="00B6765C"/>
    <w:rsid w:val="00B67AB2"/>
    <w:rsid w:val="00B67D46"/>
    <w:rsid w:val="00B70216"/>
    <w:rsid w:val="00B70608"/>
    <w:rsid w:val="00B70859"/>
    <w:rsid w:val="00B71C28"/>
    <w:rsid w:val="00B71F21"/>
    <w:rsid w:val="00B7286C"/>
    <w:rsid w:val="00B734DD"/>
    <w:rsid w:val="00B73BFA"/>
    <w:rsid w:val="00B73D97"/>
    <w:rsid w:val="00B74158"/>
    <w:rsid w:val="00B74808"/>
    <w:rsid w:val="00B74F58"/>
    <w:rsid w:val="00B74FC8"/>
    <w:rsid w:val="00B761A6"/>
    <w:rsid w:val="00B76238"/>
    <w:rsid w:val="00B76BBA"/>
    <w:rsid w:val="00B76BC1"/>
    <w:rsid w:val="00B76BD3"/>
    <w:rsid w:val="00B76D9C"/>
    <w:rsid w:val="00B7724F"/>
    <w:rsid w:val="00B77735"/>
    <w:rsid w:val="00B77845"/>
    <w:rsid w:val="00B77E70"/>
    <w:rsid w:val="00B80368"/>
    <w:rsid w:val="00B8066E"/>
    <w:rsid w:val="00B80852"/>
    <w:rsid w:val="00B80ADD"/>
    <w:rsid w:val="00B80BF0"/>
    <w:rsid w:val="00B8135C"/>
    <w:rsid w:val="00B81876"/>
    <w:rsid w:val="00B81B64"/>
    <w:rsid w:val="00B81D66"/>
    <w:rsid w:val="00B81DCA"/>
    <w:rsid w:val="00B81EA0"/>
    <w:rsid w:val="00B81EF1"/>
    <w:rsid w:val="00B82641"/>
    <w:rsid w:val="00B83013"/>
    <w:rsid w:val="00B83064"/>
    <w:rsid w:val="00B8350B"/>
    <w:rsid w:val="00B83525"/>
    <w:rsid w:val="00B83BE7"/>
    <w:rsid w:val="00B83E88"/>
    <w:rsid w:val="00B84513"/>
    <w:rsid w:val="00B8489C"/>
    <w:rsid w:val="00B848A4"/>
    <w:rsid w:val="00B84AF8"/>
    <w:rsid w:val="00B84F10"/>
    <w:rsid w:val="00B85374"/>
    <w:rsid w:val="00B85612"/>
    <w:rsid w:val="00B8562A"/>
    <w:rsid w:val="00B8566C"/>
    <w:rsid w:val="00B85A43"/>
    <w:rsid w:val="00B85EEA"/>
    <w:rsid w:val="00B85F6F"/>
    <w:rsid w:val="00B86234"/>
    <w:rsid w:val="00B863B2"/>
    <w:rsid w:val="00B86FE5"/>
    <w:rsid w:val="00B87BCA"/>
    <w:rsid w:val="00B87BDD"/>
    <w:rsid w:val="00B901F5"/>
    <w:rsid w:val="00B902BD"/>
    <w:rsid w:val="00B907F5"/>
    <w:rsid w:val="00B90A1C"/>
    <w:rsid w:val="00B911B9"/>
    <w:rsid w:val="00B913EB"/>
    <w:rsid w:val="00B9140E"/>
    <w:rsid w:val="00B91786"/>
    <w:rsid w:val="00B9233A"/>
    <w:rsid w:val="00B9241A"/>
    <w:rsid w:val="00B92A60"/>
    <w:rsid w:val="00B92BF5"/>
    <w:rsid w:val="00B92FC6"/>
    <w:rsid w:val="00B931C3"/>
    <w:rsid w:val="00B931EB"/>
    <w:rsid w:val="00B9325F"/>
    <w:rsid w:val="00B9348B"/>
    <w:rsid w:val="00B93F8A"/>
    <w:rsid w:val="00B94395"/>
    <w:rsid w:val="00B943D3"/>
    <w:rsid w:val="00B94A5D"/>
    <w:rsid w:val="00B95750"/>
    <w:rsid w:val="00B95CFD"/>
    <w:rsid w:val="00B95FFE"/>
    <w:rsid w:val="00B960FF"/>
    <w:rsid w:val="00B961CB"/>
    <w:rsid w:val="00B968C5"/>
    <w:rsid w:val="00B96B34"/>
    <w:rsid w:val="00B96E68"/>
    <w:rsid w:val="00B970F1"/>
    <w:rsid w:val="00B97111"/>
    <w:rsid w:val="00B971B0"/>
    <w:rsid w:val="00B973A1"/>
    <w:rsid w:val="00B975C2"/>
    <w:rsid w:val="00BA047B"/>
    <w:rsid w:val="00BA0C19"/>
    <w:rsid w:val="00BA0CAF"/>
    <w:rsid w:val="00BA108A"/>
    <w:rsid w:val="00BA133A"/>
    <w:rsid w:val="00BA16ED"/>
    <w:rsid w:val="00BA1B97"/>
    <w:rsid w:val="00BA21EB"/>
    <w:rsid w:val="00BA2BC4"/>
    <w:rsid w:val="00BA35DF"/>
    <w:rsid w:val="00BA361D"/>
    <w:rsid w:val="00BA3B77"/>
    <w:rsid w:val="00BA4244"/>
    <w:rsid w:val="00BA4568"/>
    <w:rsid w:val="00BA4680"/>
    <w:rsid w:val="00BA479E"/>
    <w:rsid w:val="00BA4A9C"/>
    <w:rsid w:val="00BA4EC0"/>
    <w:rsid w:val="00BA524B"/>
    <w:rsid w:val="00BA53C0"/>
    <w:rsid w:val="00BA5535"/>
    <w:rsid w:val="00BA56DB"/>
    <w:rsid w:val="00BA5A31"/>
    <w:rsid w:val="00BA5A41"/>
    <w:rsid w:val="00BA5BF6"/>
    <w:rsid w:val="00BA5D81"/>
    <w:rsid w:val="00BA5DC3"/>
    <w:rsid w:val="00BA5E27"/>
    <w:rsid w:val="00BA6054"/>
    <w:rsid w:val="00BA6738"/>
    <w:rsid w:val="00BA67DF"/>
    <w:rsid w:val="00BA6A4D"/>
    <w:rsid w:val="00BA6B96"/>
    <w:rsid w:val="00BA6FB8"/>
    <w:rsid w:val="00BA72BE"/>
    <w:rsid w:val="00BA733D"/>
    <w:rsid w:val="00BA7599"/>
    <w:rsid w:val="00BA7A8B"/>
    <w:rsid w:val="00BA7EFC"/>
    <w:rsid w:val="00BA7F01"/>
    <w:rsid w:val="00BA7F8B"/>
    <w:rsid w:val="00BB0474"/>
    <w:rsid w:val="00BB05B2"/>
    <w:rsid w:val="00BB08C4"/>
    <w:rsid w:val="00BB0938"/>
    <w:rsid w:val="00BB0ECA"/>
    <w:rsid w:val="00BB1AA3"/>
    <w:rsid w:val="00BB1B36"/>
    <w:rsid w:val="00BB1B59"/>
    <w:rsid w:val="00BB2410"/>
    <w:rsid w:val="00BB24A6"/>
    <w:rsid w:val="00BB25D0"/>
    <w:rsid w:val="00BB2BA8"/>
    <w:rsid w:val="00BB2BD9"/>
    <w:rsid w:val="00BB2DE2"/>
    <w:rsid w:val="00BB2EE7"/>
    <w:rsid w:val="00BB31B2"/>
    <w:rsid w:val="00BB327F"/>
    <w:rsid w:val="00BB399A"/>
    <w:rsid w:val="00BB3A72"/>
    <w:rsid w:val="00BB3F34"/>
    <w:rsid w:val="00BB51B2"/>
    <w:rsid w:val="00BB58E0"/>
    <w:rsid w:val="00BB625D"/>
    <w:rsid w:val="00BB6320"/>
    <w:rsid w:val="00BB65A4"/>
    <w:rsid w:val="00BB665E"/>
    <w:rsid w:val="00BB6DE0"/>
    <w:rsid w:val="00BB783D"/>
    <w:rsid w:val="00BB7B78"/>
    <w:rsid w:val="00BC02E4"/>
    <w:rsid w:val="00BC0530"/>
    <w:rsid w:val="00BC06B3"/>
    <w:rsid w:val="00BC0ABF"/>
    <w:rsid w:val="00BC0B27"/>
    <w:rsid w:val="00BC0E14"/>
    <w:rsid w:val="00BC0FA9"/>
    <w:rsid w:val="00BC10FB"/>
    <w:rsid w:val="00BC1141"/>
    <w:rsid w:val="00BC18B4"/>
    <w:rsid w:val="00BC1DFB"/>
    <w:rsid w:val="00BC1E7C"/>
    <w:rsid w:val="00BC265A"/>
    <w:rsid w:val="00BC286C"/>
    <w:rsid w:val="00BC298E"/>
    <w:rsid w:val="00BC29E9"/>
    <w:rsid w:val="00BC2B60"/>
    <w:rsid w:val="00BC2F80"/>
    <w:rsid w:val="00BC386D"/>
    <w:rsid w:val="00BC39B4"/>
    <w:rsid w:val="00BC3B09"/>
    <w:rsid w:val="00BC3E60"/>
    <w:rsid w:val="00BC404C"/>
    <w:rsid w:val="00BC447F"/>
    <w:rsid w:val="00BC4B53"/>
    <w:rsid w:val="00BC4E45"/>
    <w:rsid w:val="00BC50E6"/>
    <w:rsid w:val="00BC516F"/>
    <w:rsid w:val="00BC5767"/>
    <w:rsid w:val="00BC5A69"/>
    <w:rsid w:val="00BC5CB1"/>
    <w:rsid w:val="00BC6357"/>
    <w:rsid w:val="00BC63A4"/>
    <w:rsid w:val="00BC63FE"/>
    <w:rsid w:val="00BC6499"/>
    <w:rsid w:val="00BC65CD"/>
    <w:rsid w:val="00BC6794"/>
    <w:rsid w:val="00BC6A28"/>
    <w:rsid w:val="00BC6CDD"/>
    <w:rsid w:val="00BC7075"/>
    <w:rsid w:val="00BC7141"/>
    <w:rsid w:val="00BC77C7"/>
    <w:rsid w:val="00BC7826"/>
    <w:rsid w:val="00BC7937"/>
    <w:rsid w:val="00BC7AD1"/>
    <w:rsid w:val="00BC7AF2"/>
    <w:rsid w:val="00BC7DCE"/>
    <w:rsid w:val="00BD0059"/>
    <w:rsid w:val="00BD0916"/>
    <w:rsid w:val="00BD0C36"/>
    <w:rsid w:val="00BD0CC4"/>
    <w:rsid w:val="00BD1847"/>
    <w:rsid w:val="00BD19ED"/>
    <w:rsid w:val="00BD1D23"/>
    <w:rsid w:val="00BD1DC0"/>
    <w:rsid w:val="00BD1E20"/>
    <w:rsid w:val="00BD1E31"/>
    <w:rsid w:val="00BD2600"/>
    <w:rsid w:val="00BD26EA"/>
    <w:rsid w:val="00BD2BB2"/>
    <w:rsid w:val="00BD2E30"/>
    <w:rsid w:val="00BD3535"/>
    <w:rsid w:val="00BD35E7"/>
    <w:rsid w:val="00BD3B20"/>
    <w:rsid w:val="00BD3C75"/>
    <w:rsid w:val="00BD3EFD"/>
    <w:rsid w:val="00BD4256"/>
    <w:rsid w:val="00BD44BE"/>
    <w:rsid w:val="00BD45A6"/>
    <w:rsid w:val="00BD4B9D"/>
    <w:rsid w:val="00BD4C60"/>
    <w:rsid w:val="00BD4CAE"/>
    <w:rsid w:val="00BD4D0A"/>
    <w:rsid w:val="00BD4E8A"/>
    <w:rsid w:val="00BD5286"/>
    <w:rsid w:val="00BD59EA"/>
    <w:rsid w:val="00BD5B4D"/>
    <w:rsid w:val="00BD5DCB"/>
    <w:rsid w:val="00BD6410"/>
    <w:rsid w:val="00BD6C05"/>
    <w:rsid w:val="00BD7017"/>
    <w:rsid w:val="00BD75FA"/>
    <w:rsid w:val="00BD7A65"/>
    <w:rsid w:val="00BD7B30"/>
    <w:rsid w:val="00BD7B6E"/>
    <w:rsid w:val="00BD7E11"/>
    <w:rsid w:val="00BD7EB8"/>
    <w:rsid w:val="00BD7EE0"/>
    <w:rsid w:val="00BE054C"/>
    <w:rsid w:val="00BE05E9"/>
    <w:rsid w:val="00BE0E01"/>
    <w:rsid w:val="00BE0E9B"/>
    <w:rsid w:val="00BE12B2"/>
    <w:rsid w:val="00BE1501"/>
    <w:rsid w:val="00BE19F9"/>
    <w:rsid w:val="00BE1DF7"/>
    <w:rsid w:val="00BE1F70"/>
    <w:rsid w:val="00BE1F83"/>
    <w:rsid w:val="00BE23B3"/>
    <w:rsid w:val="00BE2490"/>
    <w:rsid w:val="00BE283B"/>
    <w:rsid w:val="00BE2D12"/>
    <w:rsid w:val="00BE2F51"/>
    <w:rsid w:val="00BE2F77"/>
    <w:rsid w:val="00BE3877"/>
    <w:rsid w:val="00BE38E7"/>
    <w:rsid w:val="00BE3B2B"/>
    <w:rsid w:val="00BE3FD2"/>
    <w:rsid w:val="00BE4C0C"/>
    <w:rsid w:val="00BE53F0"/>
    <w:rsid w:val="00BE59C0"/>
    <w:rsid w:val="00BE5BCE"/>
    <w:rsid w:val="00BE5DA7"/>
    <w:rsid w:val="00BE5FC6"/>
    <w:rsid w:val="00BE6102"/>
    <w:rsid w:val="00BE646C"/>
    <w:rsid w:val="00BE65B8"/>
    <w:rsid w:val="00BE69B0"/>
    <w:rsid w:val="00BE6BDB"/>
    <w:rsid w:val="00BE6D17"/>
    <w:rsid w:val="00BE7536"/>
    <w:rsid w:val="00BE7871"/>
    <w:rsid w:val="00BE7CBF"/>
    <w:rsid w:val="00BE7EE1"/>
    <w:rsid w:val="00BE7FDF"/>
    <w:rsid w:val="00BF0497"/>
    <w:rsid w:val="00BF06C5"/>
    <w:rsid w:val="00BF0AFA"/>
    <w:rsid w:val="00BF0C95"/>
    <w:rsid w:val="00BF0CF5"/>
    <w:rsid w:val="00BF10FC"/>
    <w:rsid w:val="00BF1102"/>
    <w:rsid w:val="00BF1B02"/>
    <w:rsid w:val="00BF1BAA"/>
    <w:rsid w:val="00BF1BAB"/>
    <w:rsid w:val="00BF1F94"/>
    <w:rsid w:val="00BF20F5"/>
    <w:rsid w:val="00BF2503"/>
    <w:rsid w:val="00BF26EE"/>
    <w:rsid w:val="00BF2752"/>
    <w:rsid w:val="00BF2907"/>
    <w:rsid w:val="00BF292A"/>
    <w:rsid w:val="00BF2B84"/>
    <w:rsid w:val="00BF35FA"/>
    <w:rsid w:val="00BF381E"/>
    <w:rsid w:val="00BF3A70"/>
    <w:rsid w:val="00BF3A7C"/>
    <w:rsid w:val="00BF3B12"/>
    <w:rsid w:val="00BF414C"/>
    <w:rsid w:val="00BF41CB"/>
    <w:rsid w:val="00BF49D6"/>
    <w:rsid w:val="00BF565A"/>
    <w:rsid w:val="00BF59D8"/>
    <w:rsid w:val="00BF5ABB"/>
    <w:rsid w:val="00BF5E28"/>
    <w:rsid w:val="00BF5EEA"/>
    <w:rsid w:val="00BF6074"/>
    <w:rsid w:val="00BF6362"/>
    <w:rsid w:val="00BF6A13"/>
    <w:rsid w:val="00BF6EEB"/>
    <w:rsid w:val="00BF70E2"/>
    <w:rsid w:val="00BF729A"/>
    <w:rsid w:val="00BF7471"/>
    <w:rsid w:val="00BF74AB"/>
    <w:rsid w:val="00BF74CF"/>
    <w:rsid w:val="00BF78FD"/>
    <w:rsid w:val="00C00027"/>
    <w:rsid w:val="00C00231"/>
    <w:rsid w:val="00C006AC"/>
    <w:rsid w:val="00C0126E"/>
    <w:rsid w:val="00C01548"/>
    <w:rsid w:val="00C02278"/>
    <w:rsid w:val="00C02494"/>
    <w:rsid w:val="00C024BD"/>
    <w:rsid w:val="00C025AC"/>
    <w:rsid w:val="00C02A90"/>
    <w:rsid w:val="00C02BAC"/>
    <w:rsid w:val="00C02C00"/>
    <w:rsid w:val="00C02C5F"/>
    <w:rsid w:val="00C0322C"/>
    <w:rsid w:val="00C03455"/>
    <w:rsid w:val="00C042A8"/>
    <w:rsid w:val="00C042B4"/>
    <w:rsid w:val="00C042C0"/>
    <w:rsid w:val="00C04AC5"/>
    <w:rsid w:val="00C055CF"/>
    <w:rsid w:val="00C05D96"/>
    <w:rsid w:val="00C05E9E"/>
    <w:rsid w:val="00C061B5"/>
    <w:rsid w:val="00C0652F"/>
    <w:rsid w:val="00C0673B"/>
    <w:rsid w:val="00C069B6"/>
    <w:rsid w:val="00C06AE8"/>
    <w:rsid w:val="00C06ECB"/>
    <w:rsid w:val="00C07253"/>
    <w:rsid w:val="00C100F9"/>
    <w:rsid w:val="00C10377"/>
    <w:rsid w:val="00C10653"/>
    <w:rsid w:val="00C1093D"/>
    <w:rsid w:val="00C10987"/>
    <w:rsid w:val="00C1113A"/>
    <w:rsid w:val="00C11306"/>
    <w:rsid w:val="00C113E1"/>
    <w:rsid w:val="00C1155D"/>
    <w:rsid w:val="00C11691"/>
    <w:rsid w:val="00C11CC9"/>
    <w:rsid w:val="00C128D9"/>
    <w:rsid w:val="00C12E2A"/>
    <w:rsid w:val="00C13B9E"/>
    <w:rsid w:val="00C13BD9"/>
    <w:rsid w:val="00C1403C"/>
    <w:rsid w:val="00C14576"/>
    <w:rsid w:val="00C14AA1"/>
    <w:rsid w:val="00C15973"/>
    <w:rsid w:val="00C15AFF"/>
    <w:rsid w:val="00C15E54"/>
    <w:rsid w:val="00C15E71"/>
    <w:rsid w:val="00C15FDC"/>
    <w:rsid w:val="00C166B1"/>
    <w:rsid w:val="00C1694C"/>
    <w:rsid w:val="00C16B68"/>
    <w:rsid w:val="00C17EEB"/>
    <w:rsid w:val="00C21071"/>
    <w:rsid w:val="00C21832"/>
    <w:rsid w:val="00C21FC7"/>
    <w:rsid w:val="00C2201E"/>
    <w:rsid w:val="00C22964"/>
    <w:rsid w:val="00C22D3D"/>
    <w:rsid w:val="00C2335E"/>
    <w:rsid w:val="00C239EF"/>
    <w:rsid w:val="00C23AD9"/>
    <w:rsid w:val="00C23C25"/>
    <w:rsid w:val="00C23D97"/>
    <w:rsid w:val="00C24EF6"/>
    <w:rsid w:val="00C24F29"/>
    <w:rsid w:val="00C253F6"/>
    <w:rsid w:val="00C25488"/>
    <w:rsid w:val="00C258DF"/>
    <w:rsid w:val="00C2605B"/>
    <w:rsid w:val="00C260F0"/>
    <w:rsid w:val="00C2650D"/>
    <w:rsid w:val="00C268C6"/>
    <w:rsid w:val="00C2696C"/>
    <w:rsid w:val="00C270D2"/>
    <w:rsid w:val="00C277FF"/>
    <w:rsid w:val="00C306B2"/>
    <w:rsid w:val="00C306CA"/>
    <w:rsid w:val="00C3070B"/>
    <w:rsid w:val="00C31321"/>
    <w:rsid w:val="00C31F91"/>
    <w:rsid w:val="00C3247B"/>
    <w:rsid w:val="00C324B5"/>
    <w:rsid w:val="00C326FE"/>
    <w:rsid w:val="00C32E24"/>
    <w:rsid w:val="00C32F47"/>
    <w:rsid w:val="00C332AD"/>
    <w:rsid w:val="00C334E1"/>
    <w:rsid w:val="00C33725"/>
    <w:rsid w:val="00C33905"/>
    <w:rsid w:val="00C33FA8"/>
    <w:rsid w:val="00C34260"/>
    <w:rsid w:val="00C344F0"/>
    <w:rsid w:val="00C3498F"/>
    <w:rsid w:val="00C34A98"/>
    <w:rsid w:val="00C34CEF"/>
    <w:rsid w:val="00C34E03"/>
    <w:rsid w:val="00C34E10"/>
    <w:rsid w:val="00C34E5D"/>
    <w:rsid w:val="00C35E6B"/>
    <w:rsid w:val="00C360C2"/>
    <w:rsid w:val="00C361E4"/>
    <w:rsid w:val="00C36241"/>
    <w:rsid w:val="00C36264"/>
    <w:rsid w:val="00C3659F"/>
    <w:rsid w:val="00C36677"/>
    <w:rsid w:val="00C37258"/>
    <w:rsid w:val="00C373BF"/>
    <w:rsid w:val="00C3770B"/>
    <w:rsid w:val="00C40025"/>
    <w:rsid w:val="00C413DD"/>
    <w:rsid w:val="00C414B1"/>
    <w:rsid w:val="00C41DA1"/>
    <w:rsid w:val="00C41E31"/>
    <w:rsid w:val="00C42A4F"/>
    <w:rsid w:val="00C42E90"/>
    <w:rsid w:val="00C42F79"/>
    <w:rsid w:val="00C431D1"/>
    <w:rsid w:val="00C43345"/>
    <w:rsid w:val="00C433AA"/>
    <w:rsid w:val="00C439C8"/>
    <w:rsid w:val="00C43F7E"/>
    <w:rsid w:val="00C4421B"/>
    <w:rsid w:val="00C442FF"/>
    <w:rsid w:val="00C443A2"/>
    <w:rsid w:val="00C4472F"/>
    <w:rsid w:val="00C451E3"/>
    <w:rsid w:val="00C45375"/>
    <w:rsid w:val="00C46192"/>
    <w:rsid w:val="00C46BA5"/>
    <w:rsid w:val="00C47505"/>
    <w:rsid w:val="00C478E5"/>
    <w:rsid w:val="00C47B64"/>
    <w:rsid w:val="00C47B8A"/>
    <w:rsid w:val="00C50613"/>
    <w:rsid w:val="00C50726"/>
    <w:rsid w:val="00C5087A"/>
    <w:rsid w:val="00C510E9"/>
    <w:rsid w:val="00C516E5"/>
    <w:rsid w:val="00C51987"/>
    <w:rsid w:val="00C519ED"/>
    <w:rsid w:val="00C51A65"/>
    <w:rsid w:val="00C51D5F"/>
    <w:rsid w:val="00C51E08"/>
    <w:rsid w:val="00C5293A"/>
    <w:rsid w:val="00C52CF9"/>
    <w:rsid w:val="00C53190"/>
    <w:rsid w:val="00C53473"/>
    <w:rsid w:val="00C53714"/>
    <w:rsid w:val="00C53CF6"/>
    <w:rsid w:val="00C53EA5"/>
    <w:rsid w:val="00C5408F"/>
    <w:rsid w:val="00C54158"/>
    <w:rsid w:val="00C545F1"/>
    <w:rsid w:val="00C5463A"/>
    <w:rsid w:val="00C54ECD"/>
    <w:rsid w:val="00C54FD1"/>
    <w:rsid w:val="00C5566C"/>
    <w:rsid w:val="00C558B9"/>
    <w:rsid w:val="00C559A9"/>
    <w:rsid w:val="00C55A39"/>
    <w:rsid w:val="00C55B9D"/>
    <w:rsid w:val="00C55DED"/>
    <w:rsid w:val="00C55DF4"/>
    <w:rsid w:val="00C55F0D"/>
    <w:rsid w:val="00C5681C"/>
    <w:rsid w:val="00C5689C"/>
    <w:rsid w:val="00C56B7F"/>
    <w:rsid w:val="00C56B94"/>
    <w:rsid w:val="00C574FB"/>
    <w:rsid w:val="00C5774E"/>
    <w:rsid w:val="00C57958"/>
    <w:rsid w:val="00C57C36"/>
    <w:rsid w:val="00C57EF0"/>
    <w:rsid w:val="00C60979"/>
    <w:rsid w:val="00C60B84"/>
    <w:rsid w:val="00C60F88"/>
    <w:rsid w:val="00C6137F"/>
    <w:rsid w:val="00C615FA"/>
    <w:rsid w:val="00C618CA"/>
    <w:rsid w:val="00C62C62"/>
    <w:rsid w:val="00C62F51"/>
    <w:rsid w:val="00C6315B"/>
    <w:rsid w:val="00C63299"/>
    <w:rsid w:val="00C632BF"/>
    <w:rsid w:val="00C634A4"/>
    <w:rsid w:val="00C64117"/>
    <w:rsid w:val="00C64962"/>
    <w:rsid w:val="00C64A53"/>
    <w:rsid w:val="00C64D17"/>
    <w:rsid w:val="00C64D22"/>
    <w:rsid w:val="00C64D3F"/>
    <w:rsid w:val="00C64D85"/>
    <w:rsid w:val="00C64DE4"/>
    <w:rsid w:val="00C652C3"/>
    <w:rsid w:val="00C65CC0"/>
    <w:rsid w:val="00C65F0E"/>
    <w:rsid w:val="00C6604A"/>
    <w:rsid w:val="00C66E27"/>
    <w:rsid w:val="00C6734E"/>
    <w:rsid w:val="00C67438"/>
    <w:rsid w:val="00C679A4"/>
    <w:rsid w:val="00C67DC7"/>
    <w:rsid w:val="00C67DD0"/>
    <w:rsid w:val="00C706E1"/>
    <w:rsid w:val="00C70C86"/>
    <w:rsid w:val="00C70CCC"/>
    <w:rsid w:val="00C70D01"/>
    <w:rsid w:val="00C70EF8"/>
    <w:rsid w:val="00C720AE"/>
    <w:rsid w:val="00C72261"/>
    <w:rsid w:val="00C724A3"/>
    <w:rsid w:val="00C72DE9"/>
    <w:rsid w:val="00C72E11"/>
    <w:rsid w:val="00C72E82"/>
    <w:rsid w:val="00C73145"/>
    <w:rsid w:val="00C73C04"/>
    <w:rsid w:val="00C7405F"/>
    <w:rsid w:val="00C74493"/>
    <w:rsid w:val="00C74E2B"/>
    <w:rsid w:val="00C75098"/>
    <w:rsid w:val="00C753CD"/>
    <w:rsid w:val="00C75B87"/>
    <w:rsid w:val="00C7639E"/>
    <w:rsid w:val="00C7660A"/>
    <w:rsid w:val="00C766E8"/>
    <w:rsid w:val="00C76BEB"/>
    <w:rsid w:val="00C7731B"/>
    <w:rsid w:val="00C7732F"/>
    <w:rsid w:val="00C776F1"/>
    <w:rsid w:val="00C77D3A"/>
    <w:rsid w:val="00C8003C"/>
    <w:rsid w:val="00C80059"/>
    <w:rsid w:val="00C80132"/>
    <w:rsid w:val="00C80CEF"/>
    <w:rsid w:val="00C80E61"/>
    <w:rsid w:val="00C811E1"/>
    <w:rsid w:val="00C8149D"/>
    <w:rsid w:val="00C81514"/>
    <w:rsid w:val="00C81C39"/>
    <w:rsid w:val="00C81F67"/>
    <w:rsid w:val="00C8228F"/>
    <w:rsid w:val="00C82C3A"/>
    <w:rsid w:val="00C82E2D"/>
    <w:rsid w:val="00C8330E"/>
    <w:rsid w:val="00C8446F"/>
    <w:rsid w:val="00C8486E"/>
    <w:rsid w:val="00C848AE"/>
    <w:rsid w:val="00C84F2F"/>
    <w:rsid w:val="00C8503D"/>
    <w:rsid w:val="00C85301"/>
    <w:rsid w:val="00C85620"/>
    <w:rsid w:val="00C85808"/>
    <w:rsid w:val="00C85815"/>
    <w:rsid w:val="00C85DD6"/>
    <w:rsid w:val="00C862F4"/>
    <w:rsid w:val="00C8644A"/>
    <w:rsid w:val="00C86744"/>
    <w:rsid w:val="00C873BF"/>
    <w:rsid w:val="00C8795C"/>
    <w:rsid w:val="00C879D4"/>
    <w:rsid w:val="00C900FA"/>
    <w:rsid w:val="00C9090C"/>
    <w:rsid w:val="00C90FC8"/>
    <w:rsid w:val="00C912CF"/>
    <w:rsid w:val="00C913DE"/>
    <w:rsid w:val="00C914CB"/>
    <w:rsid w:val="00C91931"/>
    <w:rsid w:val="00C919F9"/>
    <w:rsid w:val="00C922E1"/>
    <w:rsid w:val="00C9254D"/>
    <w:rsid w:val="00C92913"/>
    <w:rsid w:val="00C92B3F"/>
    <w:rsid w:val="00C92D75"/>
    <w:rsid w:val="00C93009"/>
    <w:rsid w:val="00C93024"/>
    <w:rsid w:val="00C9345E"/>
    <w:rsid w:val="00C9382A"/>
    <w:rsid w:val="00C93E10"/>
    <w:rsid w:val="00C9446C"/>
    <w:rsid w:val="00C95B13"/>
    <w:rsid w:val="00C9630A"/>
    <w:rsid w:val="00C96784"/>
    <w:rsid w:val="00C97241"/>
    <w:rsid w:val="00C97254"/>
    <w:rsid w:val="00C972A4"/>
    <w:rsid w:val="00C97905"/>
    <w:rsid w:val="00C97D7E"/>
    <w:rsid w:val="00C97E5F"/>
    <w:rsid w:val="00CA003C"/>
    <w:rsid w:val="00CA01CF"/>
    <w:rsid w:val="00CA03CA"/>
    <w:rsid w:val="00CA04DB"/>
    <w:rsid w:val="00CA161A"/>
    <w:rsid w:val="00CA19CC"/>
    <w:rsid w:val="00CA1E99"/>
    <w:rsid w:val="00CA245D"/>
    <w:rsid w:val="00CA2796"/>
    <w:rsid w:val="00CA28DB"/>
    <w:rsid w:val="00CA31C6"/>
    <w:rsid w:val="00CA34AE"/>
    <w:rsid w:val="00CA3543"/>
    <w:rsid w:val="00CA396A"/>
    <w:rsid w:val="00CA3A45"/>
    <w:rsid w:val="00CA4884"/>
    <w:rsid w:val="00CA4B46"/>
    <w:rsid w:val="00CA4DBD"/>
    <w:rsid w:val="00CA4F18"/>
    <w:rsid w:val="00CA53D6"/>
    <w:rsid w:val="00CA543D"/>
    <w:rsid w:val="00CA5788"/>
    <w:rsid w:val="00CA5F1F"/>
    <w:rsid w:val="00CA6230"/>
    <w:rsid w:val="00CA672E"/>
    <w:rsid w:val="00CA673E"/>
    <w:rsid w:val="00CA6B5D"/>
    <w:rsid w:val="00CA6DC8"/>
    <w:rsid w:val="00CA7182"/>
    <w:rsid w:val="00CA7288"/>
    <w:rsid w:val="00CA7CEB"/>
    <w:rsid w:val="00CB02E8"/>
    <w:rsid w:val="00CB03EC"/>
    <w:rsid w:val="00CB0D0C"/>
    <w:rsid w:val="00CB0DF5"/>
    <w:rsid w:val="00CB0F5B"/>
    <w:rsid w:val="00CB0FF8"/>
    <w:rsid w:val="00CB10D4"/>
    <w:rsid w:val="00CB145B"/>
    <w:rsid w:val="00CB186D"/>
    <w:rsid w:val="00CB1C9E"/>
    <w:rsid w:val="00CB212F"/>
    <w:rsid w:val="00CB223C"/>
    <w:rsid w:val="00CB25C8"/>
    <w:rsid w:val="00CB271B"/>
    <w:rsid w:val="00CB3A34"/>
    <w:rsid w:val="00CB429A"/>
    <w:rsid w:val="00CB45F1"/>
    <w:rsid w:val="00CB46CF"/>
    <w:rsid w:val="00CB485A"/>
    <w:rsid w:val="00CB4A67"/>
    <w:rsid w:val="00CB4C79"/>
    <w:rsid w:val="00CB4CD7"/>
    <w:rsid w:val="00CB5055"/>
    <w:rsid w:val="00CB535B"/>
    <w:rsid w:val="00CB550C"/>
    <w:rsid w:val="00CB60BA"/>
    <w:rsid w:val="00CB616E"/>
    <w:rsid w:val="00CB62A5"/>
    <w:rsid w:val="00CB637C"/>
    <w:rsid w:val="00CB686C"/>
    <w:rsid w:val="00CB6D5F"/>
    <w:rsid w:val="00CB6D9C"/>
    <w:rsid w:val="00CB6E6E"/>
    <w:rsid w:val="00CB7565"/>
    <w:rsid w:val="00CB7E1D"/>
    <w:rsid w:val="00CB7FD7"/>
    <w:rsid w:val="00CC057F"/>
    <w:rsid w:val="00CC128C"/>
    <w:rsid w:val="00CC153C"/>
    <w:rsid w:val="00CC1788"/>
    <w:rsid w:val="00CC179D"/>
    <w:rsid w:val="00CC17E6"/>
    <w:rsid w:val="00CC1812"/>
    <w:rsid w:val="00CC189C"/>
    <w:rsid w:val="00CC20BF"/>
    <w:rsid w:val="00CC22F5"/>
    <w:rsid w:val="00CC28C5"/>
    <w:rsid w:val="00CC354F"/>
    <w:rsid w:val="00CC38BC"/>
    <w:rsid w:val="00CC3CEE"/>
    <w:rsid w:val="00CC3D40"/>
    <w:rsid w:val="00CC3EDA"/>
    <w:rsid w:val="00CC3F25"/>
    <w:rsid w:val="00CC43EC"/>
    <w:rsid w:val="00CC444F"/>
    <w:rsid w:val="00CC4834"/>
    <w:rsid w:val="00CC4DE4"/>
    <w:rsid w:val="00CC4F63"/>
    <w:rsid w:val="00CC58C2"/>
    <w:rsid w:val="00CC5AD0"/>
    <w:rsid w:val="00CC5D38"/>
    <w:rsid w:val="00CC5E19"/>
    <w:rsid w:val="00CC6B75"/>
    <w:rsid w:val="00CC6FF9"/>
    <w:rsid w:val="00CC75C7"/>
    <w:rsid w:val="00CC7A3B"/>
    <w:rsid w:val="00CD059C"/>
    <w:rsid w:val="00CD0A9F"/>
    <w:rsid w:val="00CD0D9F"/>
    <w:rsid w:val="00CD1488"/>
    <w:rsid w:val="00CD19F7"/>
    <w:rsid w:val="00CD21D9"/>
    <w:rsid w:val="00CD2663"/>
    <w:rsid w:val="00CD2F18"/>
    <w:rsid w:val="00CD3F1D"/>
    <w:rsid w:val="00CD4289"/>
    <w:rsid w:val="00CD4605"/>
    <w:rsid w:val="00CD4619"/>
    <w:rsid w:val="00CD4929"/>
    <w:rsid w:val="00CD4EF8"/>
    <w:rsid w:val="00CD5056"/>
    <w:rsid w:val="00CD5238"/>
    <w:rsid w:val="00CD5499"/>
    <w:rsid w:val="00CD582F"/>
    <w:rsid w:val="00CD5CAC"/>
    <w:rsid w:val="00CD5D51"/>
    <w:rsid w:val="00CD6021"/>
    <w:rsid w:val="00CD60C5"/>
    <w:rsid w:val="00CD686E"/>
    <w:rsid w:val="00CD747E"/>
    <w:rsid w:val="00CD787E"/>
    <w:rsid w:val="00CE0598"/>
    <w:rsid w:val="00CE080F"/>
    <w:rsid w:val="00CE081C"/>
    <w:rsid w:val="00CE08CD"/>
    <w:rsid w:val="00CE1A2C"/>
    <w:rsid w:val="00CE1B09"/>
    <w:rsid w:val="00CE2276"/>
    <w:rsid w:val="00CE2565"/>
    <w:rsid w:val="00CE2A2A"/>
    <w:rsid w:val="00CE2F0F"/>
    <w:rsid w:val="00CE301B"/>
    <w:rsid w:val="00CE3898"/>
    <w:rsid w:val="00CE3DE5"/>
    <w:rsid w:val="00CE3F2A"/>
    <w:rsid w:val="00CE41B2"/>
    <w:rsid w:val="00CE45D8"/>
    <w:rsid w:val="00CE56A5"/>
    <w:rsid w:val="00CE596A"/>
    <w:rsid w:val="00CE5B67"/>
    <w:rsid w:val="00CE5D4B"/>
    <w:rsid w:val="00CE5E96"/>
    <w:rsid w:val="00CE6515"/>
    <w:rsid w:val="00CE66A7"/>
    <w:rsid w:val="00CE673D"/>
    <w:rsid w:val="00CE7068"/>
    <w:rsid w:val="00CE72E2"/>
    <w:rsid w:val="00CE77C7"/>
    <w:rsid w:val="00CE7ED2"/>
    <w:rsid w:val="00CF0317"/>
    <w:rsid w:val="00CF03A5"/>
    <w:rsid w:val="00CF04AB"/>
    <w:rsid w:val="00CF081F"/>
    <w:rsid w:val="00CF0E0A"/>
    <w:rsid w:val="00CF16CC"/>
    <w:rsid w:val="00CF19B8"/>
    <w:rsid w:val="00CF1B7E"/>
    <w:rsid w:val="00CF1F93"/>
    <w:rsid w:val="00CF202B"/>
    <w:rsid w:val="00CF236F"/>
    <w:rsid w:val="00CF2389"/>
    <w:rsid w:val="00CF23CA"/>
    <w:rsid w:val="00CF248F"/>
    <w:rsid w:val="00CF267E"/>
    <w:rsid w:val="00CF2A2A"/>
    <w:rsid w:val="00CF2AD6"/>
    <w:rsid w:val="00CF2C74"/>
    <w:rsid w:val="00CF3366"/>
    <w:rsid w:val="00CF3719"/>
    <w:rsid w:val="00CF39C3"/>
    <w:rsid w:val="00CF3E91"/>
    <w:rsid w:val="00CF454B"/>
    <w:rsid w:val="00CF53E8"/>
    <w:rsid w:val="00CF58EA"/>
    <w:rsid w:val="00CF6065"/>
    <w:rsid w:val="00CF66B6"/>
    <w:rsid w:val="00CF6D69"/>
    <w:rsid w:val="00CF73C8"/>
    <w:rsid w:val="00CF74C9"/>
    <w:rsid w:val="00CF75AF"/>
    <w:rsid w:val="00CF7621"/>
    <w:rsid w:val="00D00109"/>
    <w:rsid w:val="00D0026D"/>
    <w:rsid w:val="00D00509"/>
    <w:rsid w:val="00D00BDE"/>
    <w:rsid w:val="00D016EC"/>
    <w:rsid w:val="00D019FB"/>
    <w:rsid w:val="00D02126"/>
    <w:rsid w:val="00D021B6"/>
    <w:rsid w:val="00D027A6"/>
    <w:rsid w:val="00D02B6E"/>
    <w:rsid w:val="00D02CB9"/>
    <w:rsid w:val="00D02F57"/>
    <w:rsid w:val="00D03121"/>
    <w:rsid w:val="00D034F9"/>
    <w:rsid w:val="00D0368C"/>
    <w:rsid w:val="00D037B6"/>
    <w:rsid w:val="00D03B8F"/>
    <w:rsid w:val="00D03CE2"/>
    <w:rsid w:val="00D03E1C"/>
    <w:rsid w:val="00D03EA5"/>
    <w:rsid w:val="00D0522A"/>
    <w:rsid w:val="00D0559B"/>
    <w:rsid w:val="00D058AF"/>
    <w:rsid w:val="00D062B9"/>
    <w:rsid w:val="00D0669F"/>
    <w:rsid w:val="00D066F9"/>
    <w:rsid w:val="00D06733"/>
    <w:rsid w:val="00D06999"/>
    <w:rsid w:val="00D06E19"/>
    <w:rsid w:val="00D06E70"/>
    <w:rsid w:val="00D07313"/>
    <w:rsid w:val="00D07450"/>
    <w:rsid w:val="00D07539"/>
    <w:rsid w:val="00D07C8C"/>
    <w:rsid w:val="00D101C4"/>
    <w:rsid w:val="00D109EF"/>
    <w:rsid w:val="00D10B55"/>
    <w:rsid w:val="00D10C04"/>
    <w:rsid w:val="00D11076"/>
    <w:rsid w:val="00D1154B"/>
    <w:rsid w:val="00D116D8"/>
    <w:rsid w:val="00D11944"/>
    <w:rsid w:val="00D11E77"/>
    <w:rsid w:val="00D1227E"/>
    <w:rsid w:val="00D12716"/>
    <w:rsid w:val="00D12D1E"/>
    <w:rsid w:val="00D130C2"/>
    <w:rsid w:val="00D132CC"/>
    <w:rsid w:val="00D13306"/>
    <w:rsid w:val="00D1372D"/>
    <w:rsid w:val="00D13BD7"/>
    <w:rsid w:val="00D13D4F"/>
    <w:rsid w:val="00D13DEA"/>
    <w:rsid w:val="00D14028"/>
    <w:rsid w:val="00D14ACA"/>
    <w:rsid w:val="00D14FA8"/>
    <w:rsid w:val="00D15EBF"/>
    <w:rsid w:val="00D15F5A"/>
    <w:rsid w:val="00D1643C"/>
    <w:rsid w:val="00D16A31"/>
    <w:rsid w:val="00D20004"/>
    <w:rsid w:val="00D201A9"/>
    <w:rsid w:val="00D209CD"/>
    <w:rsid w:val="00D20B8C"/>
    <w:rsid w:val="00D2133C"/>
    <w:rsid w:val="00D2142E"/>
    <w:rsid w:val="00D2160B"/>
    <w:rsid w:val="00D21739"/>
    <w:rsid w:val="00D218E0"/>
    <w:rsid w:val="00D21FE6"/>
    <w:rsid w:val="00D22340"/>
    <w:rsid w:val="00D22861"/>
    <w:rsid w:val="00D22D6B"/>
    <w:rsid w:val="00D23281"/>
    <w:rsid w:val="00D23F8D"/>
    <w:rsid w:val="00D24063"/>
    <w:rsid w:val="00D24080"/>
    <w:rsid w:val="00D24476"/>
    <w:rsid w:val="00D2469F"/>
    <w:rsid w:val="00D2482A"/>
    <w:rsid w:val="00D24BC3"/>
    <w:rsid w:val="00D24BCA"/>
    <w:rsid w:val="00D2524C"/>
    <w:rsid w:val="00D25620"/>
    <w:rsid w:val="00D26EAF"/>
    <w:rsid w:val="00D27769"/>
    <w:rsid w:val="00D279C7"/>
    <w:rsid w:val="00D3011B"/>
    <w:rsid w:val="00D308CF"/>
    <w:rsid w:val="00D30BA0"/>
    <w:rsid w:val="00D30C88"/>
    <w:rsid w:val="00D316AD"/>
    <w:rsid w:val="00D31842"/>
    <w:rsid w:val="00D31983"/>
    <w:rsid w:val="00D32308"/>
    <w:rsid w:val="00D32791"/>
    <w:rsid w:val="00D3289E"/>
    <w:rsid w:val="00D32A34"/>
    <w:rsid w:val="00D32B50"/>
    <w:rsid w:val="00D32D97"/>
    <w:rsid w:val="00D32EC1"/>
    <w:rsid w:val="00D330A6"/>
    <w:rsid w:val="00D332A1"/>
    <w:rsid w:val="00D3359F"/>
    <w:rsid w:val="00D339AB"/>
    <w:rsid w:val="00D33B86"/>
    <w:rsid w:val="00D341CB"/>
    <w:rsid w:val="00D34647"/>
    <w:rsid w:val="00D34A29"/>
    <w:rsid w:val="00D34CA3"/>
    <w:rsid w:val="00D3540E"/>
    <w:rsid w:val="00D356D2"/>
    <w:rsid w:val="00D362BE"/>
    <w:rsid w:val="00D405B1"/>
    <w:rsid w:val="00D408C0"/>
    <w:rsid w:val="00D41703"/>
    <w:rsid w:val="00D41C4B"/>
    <w:rsid w:val="00D42412"/>
    <w:rsid w:val="00D42CC9"/>
    <w:rsid w:val="00D42D55"/>
    <w:rsid w:val="00D42DE2"/>
    <w:rsid w:val="00D4302A"/>
    <w:rsid w:val="00D43151"/>
    <w:rsid w:val="00D43D92"/>
    <w:rsid w:val="00D4404F"/>
    <w:rsid w:val="00D44128"/>
    <w:rsid w:val="00D4414F"/>
    <w:rsid w:val="00D44F66"/>
    <w:rsid w:val="00D453EC"/>
    <w:rsid w:val="00D454ED"/>
    <w:rsid w:val="00D45AB7"/>
    <w:rsid w:val="00D45AC3"/>
    <w:rsid w:val="00D45D20"/>
    <w:rsid w:val="00D45FFF"/>
    <w:rsid w:val="00D46605"/>
    <w:rsid w:val="00D468D5"/>
    <w:rsid w:val="00D46C46"/>
    <w:rsid w:val="00D474A8"/>
    <w:rsid w:val="00D47BF0"/>
    <w:rsid w:val="00D5009A"/>
    <w:rsid w:val="00D50795"/>
    <w:rsid w:val="00D5094F"/>
    <w:rsid w:val="00D50ADD"/>
    <w:rsid w:val="00D50E7B"/>
    <w:rsid w:val="00D50FA6"/>
    <w:rsid w:val="00D51821"/>
    <w:rsid w:val="00D51B45"/>
    <w:rsid w:val="00D51CB4"/>
    <w:rsid w:val="00D51D96"/>
    <w:rsid w:val="00D52099"/>
    <w:rsid w:val="00D522D3"/>
    <w:rsid w:val="00D52328"/>
    <w:rsid w:val="00D52406"/>
    <w:rsid w:val="00D52817"/>
    <w:rsid w:val="00D52960"/>
    <w:rsid w:val="00D52B62"/>
    <w:rsid w:val="00D52D03"/>
    <w:rsid w:val="00D5377D"/>
    <w:rsid w:val="00D539CF"/>
    <w:rsid w:val="00D53A3A"/>
    <w:rsid w:val="00D53AEF"/>
    <w:rsid w:val="00D542C0"/>
    <w:rsid w:val="00D542F1"/>
    <w:rsid w:val="00D54339"/>
    <w:rsid w:val="00D546C5"/>
    <w:rsid w:val="00D54944"/>
    <w:rsid w:val="00D54CA2"/>
    <w:rsid w:val="00D54EB0"/>
    <w:rsid w:val="00D55032"/>
    <w:rsid w:val="00D550E0"/>
    <w:rsid w:val="00D5554E"/>
    <w:rsid w:val="00D55B0F"/>
    <w:rsid w:val="00D55BBD"/>
    <w:rsid w:val="00D55CEC"/>
    <w:rsid w:val="00D57D09"/>
    <w:rsid w:val="00D60266"/>
    <w:rsid w:val="00D603D9"/>
    <w:rsid w:val="00D6084B"/>
    <w:rsid w:val="00D60D06"/>
    <w:rsid w:val="00D612BD"/>
    <w:rsid w:val="00D61342"/>
    <w:rsid w:val="00D6186A"/>
    <w:rsid w:val="00D61DAD"/>
    <w:rsid w:val="00D621FF"/>
    <w:rsid w:val="00D632A1"/>
    <w:rsid w:val="00D63492"/>
    <w:rsid w:val="00D63D30"/>
    <w:rsid w:val="00D647D1"/>
    <w:rsid w:val="00D64AD9"/>
    <w:rsid w:val="00D6506B"/>
    <w:rsid w:val="00D653D4"/>
    <w:rsid w:val="00D65EA6"/>
    <w:rsid w:val="00D6661C"/>
    <w:rsid w:val="00D6673A"/>
    <w:rsid w:val="00D66982"/>
    <w:rsid w:val="00D66BD1"/>
    <w:rsid w:val="00D66E10"/>
    <w:rsid w:val="00D66F40"/>
    <w:rsid w:val="00D670C9"/>
    <w:rsid w:val="00D6720F"/>
    <w:rsid w:val="00D674B7"/>
    <w:rsid w:val="00D677A1"/>
    <w:rsid w:val="00D7014F"/>
    <w:rsid w:val="00D7087A"/>
    <w:rsid w:val="00D708A7"/>
    <w:rsid w:val="00D70FBA"/>
    <w:rsid w:val="00D711A0"/>
    <w:rsid w:val="00D7237E"/>
    <w:rsid w:val="00D723DB"/>
    <w:rsid w:val="00D72792"/>
    <w:rsid w:val="00D72D49"/>
    <w:rsid w:val="00D72F78"/>
    <w:rsid w:val="00D731CF"/>
    <w:rsid w:val="00D73261"/>
    <w:rsid w:val="00D73B8A"/>
    <w:rsid w:val="00D73C5E"/>
    <w:rsid w:val="00D73FD0"/>
    <w:rsid w:val="00D741C1"/>
    <w:rsid w:val="00D74293"/>
    <w:rsid w:val="00D742FE"/>
    <w:rsid w:val="00D74BF0"/>
    <w:rsid w:val="00D75202"/>
    <w:rsid w:val="00D757E8"/>
    <w:rsid w:val="00D75CF9"/>
    <w:rsid w:val="00D75D25"/>
    <w:rsid w:val="00D75E41"/>
    <w:rsid w:val="00D763EC"/>
    <w:rsid w:val="00D765AA"/>
    <w:rsid w:val="00D76840"/>
    <w:rsid w:val="00D76886"/>
    <w:rsid w:val="00D76AAB"/>
    <w:rsid w:val="00D76C07"/>
    <w:rsid w:val="00D77131"/>
    <w:rsid w:val="00D7774C"/>
    <w:rsid w:val="00D77AB8"/>
    <w:rsid w:val="00D77B86"/>
    <w:rsid w:val="00D80215"/>
    <w:rsid w:val="00D80240"/>
    <w:rsid w:val="00D811AD"/>
    <w:rsid w:val="00D812C6"/>
    <w:rsid w:val="00D81C03"/>
    <w:rsid w:val="00D81EE9"/>
    <w:rsid w:val="00D81FBF"/>
    <w:rsid w:val="00D820CC"/>
    <w:rsid w:val="00D82857"/>
    <w:rsid w:val="00D829D0"/>
    <w:rsid w:val="00D82DE3"/>
    <w:rsid w:val="00D83109"/>
    <w:rsid w:val="00D8365C"/>
    <w:rsid w:val="00D83ADF"/>
    <w:rsid w:val="00D83B13"/>
    <w:rsid w:val="00D83C6A"/>
    <w:rsid w:val="00D83E4F"/>
    <w:rsid w:val="00D84A41"/>
    <w:rsid w:val="00D84E13"/>
    <w:rsid w:val="00D85222"/>
    <w:rsid w:val="00D852F5"/>
    <w:rsid w:val="00D8540C"/>
    <w:rsid w:val="00D8588A"/>
    <w:rsid w:val="00D85D10"/>
    <w:rsid w:val="00D85E2E"/>
    <w:rsid w:val="00D86338"/>
    <w:rsid w:val="00D86C1C"/>
    <w:rsid w:val="00D871EC"/>
    <w:rsid w:val="00D9037F"/>
    <w:rsid w:val="00D90485"/>
    <w:rsid w:val="00D9056C"/>
    <w:rsid w:val="00D90A5A"/>
    <w:rsid w:val="00D90F8A"/>
    <w:rsid w:val="00D91158"/>
    <w:rsid w:val="00D91529"/>
    <w:rsid w:val="00D918BC"/>
    <w:rsid w:val="00D91AA3"/>
    <w:rsid w:val="00D91E9B"/>
    <w:rsid w:val="00D91EE1"/>
    <w:rsid w:val="00D92370"/>
    <w:rsid w:val="00D928C5"/>
    <w:rsid w:val="00D92EB3"/>
    <w:rsid w:val="00D931D8"/>
    <w:rsid w:val="00D93851"/>
    <w:rsid w:val="00D93AA2"/>
    <w:rsid w:val="00D941E3"/>
    <w:rsid w:val="00D94374"/>
    <w:rsid w:val="00D94DE5"/>
    <w:rsid w:val="00D952F5"/>
    <w:rsid w:val="00D9536D"/>
    <w:rsid w:val="00D953A9"/>
    <w:rsid w:val="00D959CB"/>
    <w:rsid w:val="00D95D3E"/>
    <w:rsid w:val="00D95E8F"/>
    <w:rsid w:val="00D95FCF"/>
    <w:rsid w:val="00D96050"/>
    <w:rsid w:val="00D964CC"/>
    <w:rsid w:val="00D966E4"/>
    <w:rsid w:val="00D96821"/>
    <w:rsid w:val="00D96FED"/>
    <w:rsid w:val="00D974EE"/>
    <w:rsid w:val="00D97C7A"/>
    <w:rsid w:val="00DA01F6"/>
    <w:rsid w:val="00DA04B2"/>
    <w:rsid w:val="00DA08D1"/>
    <w:rsid w:val="00DA0AA1"/>
    <w:rsid w:val="00DA0F67"/>
    <w:rsid w:val="00DA1072"/>
    <w:rsid w:val="00DA10CF"/>
    <w:rsid w:val="00DA1208"/>
    <w:rsid w:val="00DA12A8"/>
    <w:rsid w:val="00DA1725"/>
    <w:rsid w:val="00DA17F6"/>
    <w:rsid w:val="00DA1DB0"/>
    <w:rsid w:val="00DA2B31"/>
    <w:rsid w:val="00DA30FE"/>
    <w:rsid w:val="00DA3637"/>
    <w:rsid w:val="00DA39A9"/>
    <w:rsid w:val="00DA3F7C"/>
    <w:rsid w:val="00DA499E"/>
    <w:rsid w:val="00DA4FEA"/>
    <w:rsid w:val="00DA5685"/>
    <w:rsid w:val="00DA63AD"/>
    <w:rsid w:val="00DA63EB"/>
    <w:rsid w:val="00DA6506"/>
    <w:rsid w:val="00DA67AD"/>
    <w:rsid w:val="00DA68B3"/>
    <w:rsid w:val="00DA6FF7"/>
    <w:rsid w:val="00DA719D"/>
    <w:rsid w:val="00DA7528"/>
    <w:rsid w:val="00DA75A9"/>
    <w:rsid w:val="00DB07D3"/>
    <w:rsid w:val="00DB07DA"/>
    <w:rsid w:val="00DB095D"/>
    <w:rsid w:val="00DB09C0"/>
    <w:rsid w:val="00DB0A86"/>
    <w:rsid w:val="00DB12A5"/>
    <w:rsid w:val="00DB14B6"/>
    <w:rsid w:val="00DB1605"/>
    <w:rsid w:val="00DB1719"/>
    <w:rsid w:val="00DB19A0"/>
    <w:rsid w:val="00DB19DB"/>
    <w:rsid w:val="00DB19E5"/>
    <w:rsid w:val="00DB1A10"/>
    <w:rsid w:val="00DB1DB4"/>
    <w:rsid w:val="00DB238B"/>
    <w:rsid w:val="00DB2467"/>
    <w:rsid w:val="00DB2A3C"/>
    <w:rsid w:val="00DB2DD2"/>
    <w:rsid w:val="00DB33D2"/>
    <w:rsid w:val="00DB37DB"/>
    <w:rsid w:val="00DB3BA1"/>
    <w:rsid w:val="00DB49B5"/>
    <w:rsid w:val="00DB4B11"/>
    <w:rsid w:val="00DB4BA3"/>
    <w:rsid w:val="00DB4F26"/>
    <w:rsid w:val="00DB579C"/>
    <w:rsid w:val="00DB58BA"/>
    <w:rsid w:val="00DB5BA6"/>
    <w:rsid w:val="00DB5EEA"/>
    <w:rsid w:val="00DB65FB"/>
    <w:rsid w:val="00DB694C"/>
    <w:rsid w:val="00DB69E4"/>
    <w:rsid w:val="00DB6A73"/>
    <w:rsid w:val="00DB7088"/>
    <w:rsid w:val="00DB76BB"/>
    <w:rsid w:val="00DB7748"/>
    <w:rsid w:val="00DC0DB9"/>
    <w:rsid w:val="00DC16A1"/>
    <w:rsid w:val="00DC16DE"/>
    <w:rsid w:val="00DC1892"/>
    <w:rsid w:val="00DC1BA2"/>
    <w:rsid w:val="00DC2088"/>
    <w:rsid w:val="00DC27DC"/>
    <w:rsid w:val="00DC2CC8"/>
    <w:rsid w:val="00DC33B9"/>
    <w:rsid w:val="00DC3A4E"/>
    <w:rsid w:val="00DC3C29"/>
    <w:rsid w:val="00DC3EAB"/>
    <w:rsid w:val="00DC403C"/>
    <w:rsid w:val="00DC4054"/>
    <w:rsid w:val="00DC4336"/>
    <w:rsid w:val="00DC4866"/>
    <w:rsid w:val="00DC4AC4"/>
    <w:rsid w:val="00DC4ADC"/>
    <w:rsid w:val="00DC518C"/>
    <w:rsid w:val="00DC5586"/>
    <w:rsid w:val="00DC567E"/>
    <w:rsid w:val="00DC57FE"/>
    <w:rsid w:val="00DC5D93"/>
    <w:rsid w:val="00DC5F2E"/>
    <w:rsid w:val="00DC6969"/>
    <w:rsid w:val="00DC6BC3"/>
    <w:rsid w:val="00DC6FDD"/>
    <w:rsid w:val="00DC724F"/>
    <w:rsid w:val="00DC7511"/>
    <w:rsid w:val="00DC7B02"/>
    <w:rsid w:val="00DC7B7F"/>
    <w:rsid w:val="00DC7CD1"/>
    <w:rsid w:val="00DD003A"/>
    <w:rsid w:val="00DD0089"/>
    <w:rsid w:val="00DD0535"/>
    <w:rsid w:val="00DD0793"/>
    <w:rsid w:val="00DD127A"/>
    <w:rsid w:val="00DD129E"/>
    <w:rsid w:val="00DD1355"/>
    <w:rsid w:val="00DD1E3C"/>
    <w:rsid w:val="00DD1E8D"/>
    <w:rsid w:val="00DD2409"/>
    <w:rsid w:val="00DD285A"/>
    <w:rsid w:val="00DD31A8"/>
    <w:rsid w:val="00DD343A"/>
    <w:rsid w:val="00DD3A26"/>
    <w:rsid w:val="00DD3D04"/>
    <w:rsid w:val="00DD4074"/>
    <w:rsid w:val="00DD463A"/>
    <w:rsid w:val="00DD4F2E"/>
    <w:rsid w:val="00DD518A"/>
    <w:rsid w:val="00DD5215"/>
    <w:rsid w:val="00DD52BF"/>
    <w:rsid w:val="00DD5897"/>
    <w:rsid w:val="00DD5B18"/>
    <w:rsid w:val="00DD5BD4"/>
    <w:rsid w:val="00DD616F"/>
    <w:rsid w:val="00DD6275"/>
    <w:rsid w:val="00DD62C9"/>
    <w:rsid w:val="00DD62D4"/>
    <w:rsid w:val="00DD6892"/>
    <w:rsid w:val="00DD7337"/>
    <w:rsid w:val="00DD7745"/>
    <w:rsid w:val="00DD79F4"/>
    <w:rsid w:val="00DD7AD0"/>
    <w:rsid w:val="00DE0B4C"/>
    <w:rsid w:val="00DE0B75"/>
    <w:rsid w:val="00DE0E6B"/>
    <w:rsid w:val="00DE0F02"/>
    <w:rsid w:val="00DE1057"/>
    <w:rsid w:val="00DE10BA"/>
    <w:rsid w:val="00DE118C"/>
    <w:rsid w:val="00DE147A"/>
    <w:rsid w:val="00DE1DA7"/>
    <w:rsid w:val="00DE200C"/>
    <w:rsid w:val="00DE2103"/>
    <w:rsid w:val="00DE2877"/>
    <w:rsid w:val="00DE2D36"/>
    <w:rsid w:val="00DE3193"/>
    <w:rsid w:val="00DE3666"/>
    <w:rsid w:val="00DE3866"/>
    <w:rsid w:val="00DE3A76"/>
    <w:rsid w:val="00DE4D19"/>
    <w:rsid w:val="00DE55D1"/>
    <w:rsid w:val="00DE619B"/>
    <w:rsid w:val="00DE6403"/>
    <w:rsid w:val="00DE6713"/>
    <w:rsid w:val="00DE695E"/>
    <w:rsid w:val="00DE6BFB"/>
    <w:rsid w:val="00DE6C47"/>
    <w:rsid w:val="00DE7164"/>
    <w:rsid w:val="00DE746A"/>
    <w:rsid w:val="00DE7678"/>
    <w:rsid w:val="00DE76EE"/>
    <w:rsid w:val="00DE7D92"/>
    <w:rsid w:val="00DF01C3"/>
    <w:rsid w:val="00DF0BA5"/>
    <w:rsid w:val="00DF0DB1"/>
    <w:rsid w:val="00DF0FF7"/>
    <w:rsid w:val="00DF114E"/>
    <w:rsid w:val="00DF1745"/>
    <w:rsid w:val="00DF1753"/>
    <w:rsid w:val="00DF18B2"/>
    <w:rsid w:val="00DF1BD3"/>
    <w:rsid w:val="00DF2108"/>
    <w:rsid w:val="00DF3462"/>
    <w:rsid w:val="00DF3561"/>
    <w:rsid w:val="00DF37AC"/>
    <w:rsid w:val="00DF3BEE"/>
    <w:rsid w:val="00DF3D41"/>
    <w:rsid w:val="00DF4005"/>
    <w:rsid w:val="00DF4197"/>
    <w:rsid w:val="00DF42B4"/>
    <w:rsid w:val="00DF498C"/>
    <w:rsid w:val="00DF4AAD"/>
    <w:rsid w:val="00DF4E21"/>
    <w:rsid w:val="00DF5013"/>
    <w:rsid w:val="00DF55EB"/>
    <w:rsid w:val="00DF561D"/>
    <w:rsid w:val="00DF563B"/>
    <w:rsid w:val="00DF573D"/>
    <w:rsid w:val="00DF5AA0"/>
    <w:rsid w:val="00DF6052"/>
    <w:rsid w:val="00DF64D5"/>
    <w:rsid w:val="00DF6C7C"/>
    <w:rsid w:val="00DF7479"/>
    <w:rsid w:val="00DF76F9"/>
    <w:rsid w:val="00DF7A92"/>
    <w:rsid w:val="00DF7C7C"/>
    <w:rsid w:val="00DF7DBB"/>
    <w:rsid w:val="00E003E4"/>
    <w:rsid w:val="00E0078B"/>
    <w:rsid w:val="00E00A0B"/>
    <w:rsid w:val="00E00B11"/>
    <w:rsid w:val="00E00B7F"/>
    <w:rsid w:val="00E00BE9"/>
    <w:rsid w:val="00E00CA7"/>
    <w:rsid w:val="00E01162"/>
    <w:rsid w:val="00E02078"/>
    <w:rsid w:val="00E023DB"/>
    <w:rsid w:val="00E02463"/>
    <w:rsid w:val="00E02A88"/>
    <w:rsid w:val="00E02C36"/>
    <w:rsid w:val="00E02DD8"/>
    <w:rsid w:val="00E02FB9"/>
    <w:rsid w:val="00E03050"/>
    <w:rsid w:val="00E03BD3"/>
    <w:rsid w:val="00E03C0E"/>
    <w:rsid w:val="00E03CE7"/>
    <w:rsid w:val="00E04961"/>
    <w:rsid w:val="00E04ADC"/>
    <w:rsid w:val="00E0557C"/>
    <w:rsid w:val="00E0618F"/>
    <w:rsid w:val="00E06806"/>
    <w:rsid w:val="00E0749A"/>
    <w:rsid w:val="00E07712"/>
    <w:rsid w:val="00E0773B"/>
    <w:rsid w:val="00E07A0B"/>
    <w:rsid w:val="00E07C06"/>
    <w:rsid w:val="00E07EB5"/>
    <w:rsid w:val="00E10477"/>
    <w:rsid w:val="00E10CB3"/>
    <w:rsid w:val="00E10D14"/>
    <w:rsid w:val="00E110B3"/>
    <w:rsid w:val="00E110D9"/>
    <w:rsid w:val="00E1133A"/>
    <w:rsid w:val="00E11511"/>
    <w:rsid w:val="00E11838"/>
    <w:rsid w:val="00E11D6A"/>
    <w:rsid w:val="00E12043"/>
    <w:rsid w:val="00E12123"/>
    <w:rsid w:val="00E12464"/>
    <w:rsid w:val="00E1248C"/>
    <w:rsid w:val="00E124DD"/>
    <w:rsid w:val="00E12536"/>
    <w:rsid w:val="00E12F4C"/>
    <w:rsid w:val="00E139D9"/>
    <w:rsid w:val="00E145BF"/>
    <w:rsid w:val="00E1483F"/>
    <w:rsid w:val="00E14C4E"/>
    <w:rsid w:val="00E151D2"/>
    <w:rsid w:val="00E15D8D"/>
    <w:rsid w:val="00E15FC5"/>
    <w:rsid w:val="00E1616C"/>
    <w:rsid w:val="00E162E7"/>
    <w:rsid w:val="00E164B7"/>
    <w:rsid w:val="00E16783"/>
    <w:rsid w:val="00E16C8A"/>
    <w:rsid w:val="00E179A9"/>
    <w:rsid w:val="00E20475"/>
    <w:rsid w:val="00E205B8"/>
    <w:rsid w:val="00E20655"/>
    <w:rsid w:val="00E20970"/>
    <w:rsid w:val="00E20B8E"/>
    <w:rsid w:val="00E20E32"/>
    <w:rsid w:val="00E210F5"/>
    <w:rsid w:val="00E2117E"/>
    <w:rsid w:val="00E2145B"/>
    <w:rsid w:val="00E2150E"/>
    <w:rsid w:val="00E21591"/>
    <w:rsid w:val="00E215A4"/>
    <w:rsid w:val="00E2182C"/>
    <w:rsid w:val="00E21C26"/>
    <w:rsid w:val="00E21DCD"/>
    <w:rsid w:val="00E21EB4"/>
    <w:rsid w:val="00E226EC"/>
    <w:rsid w:val="00E2274F"/>
    <w:rsid w:val="00E22867"/>
    <w:rsid w:val="00E22E56"/>
    <w:rsid w:val="00E2302B"/>
    <w:rsid w:val="00E2311A"/>
    <w:rsid w:val="00E23202"/>
    <w:rsid w:val="00E23531"/>
    <w:rsid w:val="00E23DE7"/>
    <w:rsid w:val="00E23EB9"/>
    <w:rsid w:val="00E23FB4"/>
    <w:rsid w:val="00E244C8"/>
    <w:rsid w:val="00E246C8"/>
    <w:rsid w:val="00E24EB5"/>
    <w:rsid w:val="00E25178"/>
    <w:rsid w:val="00E2521D"/>
    <w:rsid w:val="00E254A8"/>
    <w:rsid w:val="00E254AB"/>
    <w:rsid w:val="00E256D0"/>
    <w:rsid w:val="00E25953"/>
    <w:rsid w:val="00E25CC9"/>
    <w:rsid w:val="00E260A7"/>
    <w:rsid w:val="00E26247"/>
    <w:rsid w:val="00E2661C"/>
    <w:rsid w:val="00E26BA6"/>
    <w:rsid w:val="00E271E8"/>
    <w:rsid w:val="00E27243"/>
    <w:rsid w:val="00E2786B"/>
    <w:rsid w:val="00E27AA7"/>
    <w:rsid w:val="00E3015F"/>
    <w:rsid w:val="00E30CCD"/>
    <w:rsid w:val="00E30D11"/>
    <w:rsid w:val="00E3134A"/>
    <w:rsid w:val="00E315BA"/>
    <w:rsid w:val="00E31850"/>
    <w:rsid w:val="00E31993"/>
    <w:rsid w:val="00E319CC"/>
    <w:rsid w:val="00E31AB5"/>
    <w:rsid w:val="00E31B7F"/>
    <w:rsid w:val="00E31D55"/>
    <w:rsid w:val="00E31DF7"/>
    <w:rsid w:val="00E3209F"/>
    <w:rsid w:val="00E32465"/>
    <w:rsid w:val="00E32674"/>
    <w:rsid w:val="00E327E2"/>
    <w:rsid w:val="00E32D0B"/>
    <w:rsid w:val="00E32E72"/>
    <w:rsid w:val="00E32EDE"/>
    <w:rsid w:val="00E32F6D"/>
    <w:rsid w:val="00E33087"/>
    <w:rsid w:val="00E333AC"/>
    <w:rsid w:val="00E334A5"/>
    <w:rsid w:val="00E3388B"/>
    <w:rsid w:val="00E33F23"/>
    <w:rsid w:val="00E3461E"/>
    <w:rsid w:val="00E348BC"/>
    <w:rsid w:val="00E348D8"/>
    <w:rsid w:val="00E34A51"/>
    <w:rsid w:val="00E34B30"/>
    <w:rsid w:val="00E35235"/>
    <w:rsid w:val="00E35AF5"/>
    <w:rsid w:val="00E364DA"/>
    <w:rsid w:val="00E36872"/>
    <w:rsid w:val="00E37942"/>
    <w:rsid w:val="00E37BFE"/>
    <w:rsid w:val="00E4042F"/>
    <w:rsid w:val="00E40AAF"/>
    <w:rsid w:val="00E41787"/>
    <w:rsid w:val="00E41A14"/>
    <w:rsid w:val="00E41CB3"/>
    <w:rsid w:val="00E42F4C"/>
    <w:rsid w:val="00E43753"/>
    <w:rsid w:val="00E44122"/>
    <w:rsid w:val="00E4420B"/>
    <w:rsid w:val="00E45BB5"/>
    <w:rsid w:val="00E45BCC"/>
    <w:rsid w:val="00E4608C"/>
    <w:rsid w:val="00E46DB2"/>
    <w:rsid w:val="00E470BE"/>
    <w:rsid w:val="00E47428"/>
    <w:rsid w:val="00E5075E"/>
    <w:rsid w:val="00E50EC4"/>
    <w:rsid w:val="00E513FD"/>
    <w:rsid w:val="00E520BB"/>
    <w:rsid w:val="00E52207"/>
    <w:rsid w:val="00E522E5"/>
    <w:rsid w:val="00E52ECE"/>
    <w:rsid w:val="00E53468"/>
    <w:rsid w:val="00E53974"/>
    <w:rsid w:val="00E53AC1"/>
    <w:rsid w:val="00E54162"/>
    <w:rsid w:val="00E5422A"/>
    <w:rsid w:val="00E54424"/>
    <w:rsid w:val="00E54534"/>
    <w:rsid w:val="00E54725"/>
    <w:rsid w:val="00E54BDA"/>
    <w:rsid w:val="00E54D1F"/>
    <w:rsid w:val="00E550CE"/>
    <w:rsid w:val="00E55510"/>
    <w:rsid w:val="00E556C9"/>
    <w:rsid w:val="00E5587C"/>
    <w:rsid w:val="00E55F42"/>
    <w:rsid w:val="00E56A32"/>
    <w:rsid w:val="00E56B67"/>
    <w:rsid w:val="00E56EF2"/>
    <w:rsid w:val="00E57076"/>
    <w:rsid w:val="00E57198"/>
    <w:rsid w:val="00E574A1"/>
    <w:rsid w:val="00E57BEB"/>
    <w:rsid w:val="00E6012C"/>
    <w:rsid w:val="00E603F8"/>
    <w:rsid w:val="00E603FD"/>
    <w:rsid w:val="00E60940"/>
    <w:rsid w:val="00E60FE9"/>
    <w:rsid w:val="00E619DF"/>
    <w:rsid w:val="00E621DA"/>
    <w:rsid w:val="00E629D5"/>
    <w:rsid w:val="00E62B60"/>
    <w:rsid w:val="00E62EDD"/>
    <w:rsid w:val="00E63080"/>
    <w:rsid w:val="00E63136"/>
    <w:rsid w:val="00E63291"/>
    <w:rsid w:val="00E63BA1"/>
    <w:rsid w:val="00E63BB0"/>
    <w:rsid w:val="00E63C1D"/>
    <w:rsid w:val="00E63F05"/>
    <w:rsid w:val="00E64A8F"/>
    <w:rsid w:val="00E65851"/>
    <w:rsid w:val="00E658B9"/>
    <w:rsid w:val="00E65B5A"/>
    <w:rsid w:val="00E65EB4"/>
    <w:rsid w:val="00E65F89"/>
    <w:rsid w:val="00E666E0"/>
    <w:rsid w:val="00E66BAF"/>
    <w:rsid w:val="00E66E09"/>
    <w:rsid w:val="00E67157"/>
    <w:rsid w:val="00E67786"/>
    <w:rsid w:val="00E70658"/>
    <w:rsid w:val="00E70F7D"/>
    <w:rsid w:val="00E71780"/>
    <w:rsid w:val="00E72396"/>
    <w:rsid w:val="00E72F1F"/>
    <w:rsid w:val="00E72F46"/>
    <w:rsid w:val="00E72FE3"/>
    <w:rsid w:val="00E73096"/>
    <w:rsid w:val="00E73334"/>
    <w:rsid w:val="00E73482"/>
    <w:rsid w:val="00E73BF8"/>
    <w:rsid w:val="00E743C9"/>
    <w:rsid w:val="00E745DE"/>
    <w:rsid w:val="00E74CD5"/>
    <w:rsid w:val="00E74E9B"/>
    <w:rsid w:val="00E758A3"/>
    <w:rsid w:val="00E758A5"/>
    <w:rsid w:val="00E76035"/>
    <w:rsid w:val="00E7629C"/>
    <w:rsid w:val="00E76501"/>
    <w:rsid w:val="00E76783"/>
    <w:rsid w:val="00E76917"/>
    <w:rsid w:val="00E76B4F"/>
    <w:rsid w:val="00E76E69"/>
    <w:rsid w:val="00E77195"/>
    <w:rsid w:val="00E77C88"/>
    <w:rsid w:val="00E8133A"/>
    <w:rsid w:val="00E81CB7"/>
    <w:rsid w:val="00E81CE5"/>
    <w:rsid w:val="00E81DB3"/>
    <w:rsid w:val="00E81E5F"/>
    <w:rsid w:val="00E81F5E"/>
    <w:rsid w:val="00E827BB"/>
    <w:rsid w:val="00E8281A"/>
    <w:rsid w:val="00E831C5"/>
    <w:rsid w:val="00E831E1"/>
    <w:rsid w:val="00E8441C"/>
    <w:rsid w:val="00E845CF"/>
    <w:rsid w:val="00E85198"/>
    <w:rsid w:val="00E85368"/>
    <w:rsid w:val="00E85595"/>
    <w:rsid w:val="00E856F4"/>
    <w:rsid w:val="00E857F0"/>
    <w:rsid w:val="00E85881"/>
    <w:rsid w:val="00E85B0D"/>
    <w:rsid w:val="00E860FD"/>
    <w:rsid w:val="00E86218"/>
    <w:rsid w:val="00E863E8"/>
    <w:rsid w:val="00E8653E"/>
    <w:rsid w:val="00E8686B"/>
    <w:rsid w:val="00E86951"/>
    <w:rsid w:val="00E869A8"/>
    <w:rsid w:val="00E86BA1"/>
    <w:rsid w:val="00E86D20"/>
    <w:rsid w:val="00E87261"/>
    <w:rsid w:val="00E872CF"/>
    <w:rsid w:val="00E87527"/>
    <w:rsid w:val="00E8764F"/>
    <w:rsid w:val="00E87784"/>
    <w:rsid w:val="00E8799E"/>
    <w:rsid w:val="00E87A22"/>
    <w:rsid w:val="00E87A9B"/>
    <w:rsid w:val="00E90327"/>
    <w:rsid w:val="00E90817"/>
    <w:rsid w:val="00E90D73"/>
    <w:rsid w:val="00E90F47"/>
    <w:rsid w:val="00E9119C"/>
    <w:rsid w:val="00E91B4D"/>
    <w:rsid w:val="00E91C88"/>
    <w:rsid w:val="00E92296"/>
    <w:rsid w:val="00E92298"/>
    <w:rsid w:val="00E922E7"/>
    <w:rsid w:val="00E92413"/>
    <w:rsid w:val="00E928B0"/>
    <w:rsid w:val="00E92AB6"/>
    <w:rsid w:val="00E92C96"/>
    <w:rsid w:val="00E93371"/>
    <w:rsid w:val="00E9357E"/>
    <w:rsid w:val="00E935AC"/>
    <w:rsid w:val="00E93633"/>
    <w:rsid w:val="00E93693"/>
    <w:rsid w:val="00E936CC"/>
    <w:rsid w:val="00E9388F"/>
    <w:rsid w:val="00E938EB"/>
    <w:rsid w:val="00E940AD"/>
    <w:rsid w:val="00E94BC2"/>
    <w:rsid w:val="00E95113"/>
    <w:rsid w:val="00E951C0"/>
    <w:rsid w:val="00E952EE"/>
    <w:rsid w:val="00E955EC"/>
    <w:rsid w:val="00E95CA9"/>
    <w:rsid w:val="00E95F31"/>
    <w:rsid w:val="00E962D1"/>
    <w:rsid w:val="00E96660"/>
    <w:rsid w:val="00E966EC"/>
    <w:rsid w:val="00E96D2B"/>
    <w:rsid w:val="00E96F09"/>
    <w:rsid w:val="00E976DB"/>
    <w:rsid w:val="00E97829"/>
    <w:rsid w:val="00E978D3"/>
    <w:rsid w:val="00EA01F0"/>
    <w:rsid w:val="00EA0458"/>
    <w:rsid w:val="00EA04BE"/>
    <w:rsid w:val="00EA0640"/>
    <w:rsid w:val="00EA128E"/>
    <w:rsid w:val="00EA14A5"/>
    <w:rsid w:val="00EA14FD"/>
    <w:rsid w:val="00EA1551"/>
    <w:rsid w:val="00EA1AA6"/>
    <w:rsid w:val="00EA1FB3"/>
    <w:rsid w:val="00EA24D2"/>
    <w:rsid w:val="00EA27BA"/>
    <w:rsid w:val="00EA2AEB"/>
    <w:rsid w:val="00EA2D4C"/>
    <w:rsid w:val="00EA3005"/>
    <w:rsid w:val="00EA3112"/>
    <w:rsid w:val="00EA3384"/>
    <w:rsid w:val="00EA353B"/>
    <w:rsid w:val="00EA3794"/>
    <w:rsid w:val="00EA3CC6"/>
    <w:rsid w:val="00EA443E"/>
    <w:rsid w:val="00EA46AD"/>
    <w:rsid w:val="00EA49D6"/>
    <w:rsid w:val="00EA539C"/>
    <w:rsid w:val="00EA5830"/>
    <w:rsid w:val="00EA5893"/>
    <w:rsid w:val="00EA5A79"/>
    <w:rsid w:val="00EA66DE"/>
    <w:rsid w:val="00EA76FA"/>
    <w:rsid w:val="00EA7B9D"/>
    <w:rsid w:val="00EB0475"/>
    <w:rsid w:val="00EB0488"/>
    <w:rsid w:val="00EB048E"/>
    <w:rsid w:val="00EB0877"/>
    <w:rsid w:val="00EB09A6"/>
    <w:rsid w:val="00EB1297"/>
    <w:rsid w:val="00EB133C"/>
    <w:rsid w:val="00EB1D8A"/>
    <w:rsid w:val="00EB277F"/>
    <w:rsid w:val="00EB27CC"/>
    <w:rsid w:val="00EB30B3"/>
    <w:rsid w:val="00EB32A9"/>
    <w:rsid w:val="00EB3EB3"/>
    <w:rsid w:val="00EB4566"/>
    <w:rsid w:val="00EB5198"/>
    <w:rsid w:val="00EB5CFE"/>
    <w:rsid w:val="00EB5F0E"/>
    <w:rsid w:val="00EB651B"/>
    <w:rsid w:val="00EB661E"/>
    <w:rsid w:val="00EB68E0"/>
    <w:rsid w:val="00EB6924"/>
    <w:rsid w:val="00EB6AA7"/>
    <w:rsid w:val="00EB6C4D"/>
    <w:rsid w:val="00EB71A2"/>
    <w:rsid w:val="00EB765C"/>
    <w:rsid w:val="00EB7684"/>
    <w:rsid w:val="00EB7C29"/>
    <w:rsid w:val="00EB7C9B"/>
    <w:rsid w:val="00EB7F15"/>
    <w:rsid w:val="00EC067F"/>
    <w:rsid w:val="00EC092E"/>
    <w:rsid w:val="00EC0C0D"/>
    <w:rsid w:val="00EC14E0"/>
    <w:rsid w:val="00EC1AA9"/>
    <w:rsid w:val="00EC1CD3"/>
    <w:rsid w:val="00EC1DB9"/>
    <w:rsid w:val="00EC1FDD"/>
    <w:rsid w:val="00EC211F"/>
    <w:rsid w:val="00EC2873"/>
    <w:rsid w:val="00EC3773"/>
    <w:rsid w:val="00EC3774"/>
    <w:rsid w:val="00EC3A18"/>
    <w:rsid w:val="00EC4298"/>
    <w:rsid w:val="00EC4416"/>
    <w:rsid w:val="00EC4D4A"/>
    <w:rsid w:val="00EC5356"/>
    <w:rsid w:val="00EC57AD"/>
    <w:rsid w:val="00EC5E41"/>
    <w:rsid w:val="00EC639B"/>
    <w:rsid w:val="00EC6D66"/>
    <w:rsid w:val="00EC7884"/>
    <w:rsid w:val="00EC7C42"/>
    <w:rsid w:val="00EC7D85"/>
    <w:rsid w:val="00ED0165"/>
    <w:rsid w:val="00ED0187"/>
    <w:rsid w:val="00ED0715"/>
    <w:rsid w:val="00ED08CB"/>
    <w:rsid w:val="00ED08E6"/>
    <w:rsid w:val="00ED09BA"/>
    <w:rsid w:val="00ED0FBD"/>
    <w:rsid w:val="00ED1106"/>
    <w:rsid w:val="00ED124B"/>
    <w:rsid w:val="00ED13EE"/>
    <w:rsid w:val="00ED2406"/>
    <w:rsid w:val="00ED2A63"/>
    <w:rsid w:val="00ED2AD2"/>
    <w:rsid w:val="00ED2C11"/>
    <w:rsid w:val="00ED2F25"/>
    <w:rsid w:val="00ED33DF"/>
    <w:rsid w:val="00ED3450"/>
    <w:rsid w:val="00ED39F7"/>
    <w:rsid w:val="00ED3EC6"/>
    <w:rsid w:val="00ED425F"/>
    <w:rsid w:val="00ED4448"/>
    <w:rsid w:val="00ED4844"/>
    <w:rsid w:val="00ED4940"/>
    <w:rsid w:val="00ED4EBF"/>
    <w:rsid w:val="00ED5CD5"/>
    <w:rsid w:val="00ED5D48"/>
    <w:rsid w:val="00ED608C"/>
    <w:rsid w:val="00ED6642"/>
    <w:rsid w:val="00ED6925"/>
    <w:rsid w:val="00ED6A5C"/>
    <w:rsid w:val="00ED6BCA"/>
    <w:rsid w:val="00ED6DE1"/>
    <w:rsid w:val="00ED716B"/>
    <w:rsid w:val="00ED74E5"/>
    <w:rsid w:val="00ED7AF3"/>
    <w:rsid w:val="00ED7DA4"/>
    <w:rsid w:val="00ED7DD4"/>
    <w:rsid w:val="00EE00C1"/>
    <w:rsid w:val="00EE044B"/>
    <w:rsid w:val="00EE0997"/>
    <w:rsid w:val="00EE15EA"/>
    <w:rsid w:val="00EE18A9"/>
    <w:rsid w:val="00EE1A67"/>
    <w:rsid w:val="00EE1C20"/>
    <w:rsid w:val="00EE1F98"/>
    <w:rsid w:val="00EE20E4"/>
    <w:rsid w:val="00EE2122"/>
    <w:rsid w:val="00EE244C"/>
    <w:rsid w:val="00EE26ED"/>
    <w:rsid w:val="00EE2AC7"/>
    <w:rsid w:val="00EE2B6C"/>
    <w:rsid w:val="00EE30EF"/>
    <w:rsid w:val="00EE32C6"/>
    <w:rsid w:val="00EE3432"/>
    <w:rsid w:val="00EE3B4E"/>
    <w:rsid w:val="00EE3D81"/>
    <w:rsid w:val="00EE4156"/>
    <w:rsid w:val="00EE4675"/>
    <w:rsid w:val="00EE4FD0"/>
    <w:rsid w:val="00EE5198"/>
    <w:rsid w:val="00EE55F7"/>
    <w:rsid w:val="00EE5810"/>
    <w:rsid w:val="00EE5D09"/>
    <w:rsid w:val="00EE6036"/>
    <w:rsid w:val="00EE630C"/>
    <w:rsid w:val="00EE65DD"/>
    <w:rsid w:val="00EE70ED"/>
    <w:rsid w:val="00EE7136"/>
    <w:rsid w:val="00EE7166"/>
    <w:rsid w:val="00EE74A7"/>
    <w:rsid w:val="00EE75BC"/>
    <w:rsid w:val="00EE76BA"/>
    <w:rsid w:val="00EE7890"/>
    <w:rsid w:val="00EF036D"/>
    <w:rsid w:val="00EF0674"/>
    <w:rsid w:val="00EF0727"/>
    <w:rsid w:val="00EF086A"/>
    <w:rsid w:val="00EF0D98"/>
    <w:rsid w:val="00EF0E2F"/>
    <w:rsid w:val="00EF1067"/>
    <w:rsid w:val="00EF1BDD"/>
    <w:rsid w:val="00EF1D1A"/>
    <w:rsid w:val="00EF2252"/>
    <w:rsid w:val="00EF2501"/>
    <w:rsid w:val="00EF2638"/>
    <w:rsid w:val="00EF2FD7"/>
    <w:rsid w:val="00EF331F"/>
    <w:rsid w:val="00EF3599"/>
    <w:rsid w:val="00EF36A7"/>
    <w:rsid w:val="00EF3BAE"/>
    <w:rsid w:val="00EF451C"/>
    <w:rsid w:val="00EF4835"/>
    <w:rsid w:val="00EF4B13"/>
    <w:rsid w:val="00EF5221"/>
    <w:rsid w:val="00EF5400"/>
    <w:rsid w:val="00EF5849"/>
    <w:rsid w:val="00EF5907"/>
    <w:rsid w:val="00EF5AD3"/>
    <w:rsid w:val="00EF689B"/>
    <w:rsid w:val="00EF70BC"/>
    <w:rsid w:val="00EF7109"/>
    <w:rsid w:val="00EF721B"/>
    <w:rsid w:val="00EF78BC"/>
    <w:rsid w:val="00EF79B6"/>
    <w:rsid w:val="00EF7D35"/>
    <w:rsid w:val="00F0033A"/>
    <w:rsid w:val="00F00458"/>
    <w:rsid w:val="00F006AC"/>
    <w:rsid w:val="00F006D1"/>
    <w:rsid w:val="00F00A2D"/>
    <w:rsid w:val="00F011E3"/>
    <w:rsid w:val="00F01A2B"/>
    <w:rsid w:val="00F01B02"/>
    <w:rsid w:val="00F01E1E"/>
    <w:rsid w:val="00F01EC5"/>
    <w:rsid w:val="00F01F94"/>
    <w:rsid w:val="00F020BD"/>
    <w:rsid w:val="00F0228D"/>
    <w:rsid w:val="00F026F8"/>
    <w:rsid w:val="00F027A4"/>
    <w:rsid w:val="00F0295D"/>
    <w:rsid w:val="00F02CA9"/>
    <w:rsid w:val="00F03183"/>
    <w:rsid w:val="00F0363E"/>
    <w:rsid w:val="00F03924"/>
    <w:rsid w:val="00F03A1D"/>
    <w:rsid w:val="00F04429"/>
    <w:rsid w:val="00F046E4"/>
    <w:rsid w:val="00F046EB"/>
    <w:rsid w:val="00F0495B"/>
    <w:rsid w:val="00F04F41"/>
    <w:rsid w:val="00F051E4"/>
    <w:rsid w:val="00F05588"/>
    <w:rsid w:val="00F0559F"/>
    <w:rsid w:val="00F059B0"/>
    <w:rsid w:val="00F059C9"/>
    <w:rsid w:val="00F05B1E"/>
    <w:rsid w:val="00F06323"/>
    <w:rsid w:val="00F06368"/>
    <w:rsid w:val="00F064C1"/>
    <w:rsid w:val="00F06B31"/>
    <w:rsid w:val="00F06D02"/>
    <w:rsid w:val="00F06D98"/>
    <w:rsid w:val="00F07883"/>
    <w:rsid w:val="00F07A8B"/>
    <w:rsid w:val="00F07D6F"/>
    <w:rsid w:val="00F10195"/>
    <w:rsid w:val="00F10503"/>
    <w:rsid w:val="00F1065A"/>
    <w:rsid w:val="00F10664"/>
    <w:rsid w:val="00F10944"/>
    <w:rsid w:val="00F10C1E"/>
    <w:rsid w:val="00F10DD0"/>
    <w:rsid w:val="00F11485"/>
    <w:rsid w:val="00F11A2D"/>
    <w:rsid w:val="00F11D69"/>
    <w:rsid w:val="00F1268D"/>
    <w:rsid w:val="00F12977"/>
    <w:rsid w:val="00F1297F"/>
    <w:rsid w:val="00F12D07"/>
    <w:rsid w:val="00F1359B"/>
    <w:rsid w:val="00F13714"/>
    <w:rsid w:val="00F13910"/>
    <w:rsid w:val="00F1399E"/>
    <w:rsid w:val="00F13A2E"/>
    <w:rsid w:val="00F13C93"/>
    <w:rsid w:val="00F14145"/>
    <w:rsid w:val="00F146F5"/>
    <w:rsid w:val="00F147B4"/>
    <w:rsid w:val="00F14896"/>
    <w:rsid w:val="00F14CD1"/>
    <w:rsid w:val="00F14D4E"/>
    <w:rsid w:val="00F157BC"/>
    <w:rsid w:val="00F1658F"/>
    <w:rsid w:val="00F16615"/>
    <w:rsid w:val="00F16851"/>
    <w:rsid w:val="00F169F8"/>
    <w:rsid w:val="00F1722E"/>
    <w:rsid w:val="00F17A7A"/>
    <w:rsid w:val="00F17C2F"/>
    <w:rsid w:val="00F17E65"/>
    <w:rsid w:val="00F2016E"/>
    <w:rsid w:val="00F20334"/>
    <w:rsid w:val="00F207C1"/>
    <w:rsid w:val="00F207EC"/>
    <w:rsid w:val="00F20983"/>
    <w:rsid w:val="00F211A2"/>
    <w:rsid w:val="00F215C4"/>
    <w:rsid w:val="00F2172F"/>
    <w:rsid w:val="00F21C08"/>
    <w:rsid w:val="00F21D41"/>
    <w:rsid w:val="00F22170"/>
    <w:rsid w:val="00F228D9"/>
    <w:rsid w:val="00F23EF6"/>
    <w:rsid w:val="00F24078"/>
    <w:rsid w:val="00F24C5A"/>
    <w:rsid w:val="00F255AA"/>
    <w:rsid w:val="00F25E63"/>
    <w:rsid w:val="00F2636B"/>
    <w:rsid w:val="00F26406"/>
    <w:rsid w:val="00F26502"/>
    <w:rsid w:val="00F26B27"/>
    <w:rsid w:val="00F270A4"/>
    <w:rsid w:val="00F27203"/>
    <w:rsid w:val="00F27379"/>
    <w:rsid w:val="00F27640"/>
    <w:rsid w:val="00F278F3"/>
    <w:rsid w:val="00F27A2B"/>
    <w:rsid w:val="00F3005D"/>
    <w:rsid w:val="00F30273"/>
    <w:rsid w:val="00F30882"/>
    <w:rsid w:val="00F30AF3"/>
    <w:rsid w:val="00F30EF3"/>
    <w:rsid w:val="00F31456"/>
    <w:rsid w:val="00F315DB"/>
    <w:rsid w:val="00F32062"/>
    <w:rsid w:val="00F323D6"/>
    <w:rsid w:val="00F32DFD"/>
    <w:rsid w:val="00F33132"/>
    <w:rsid w:val="00F33761"/>
    <w:rsid w:val="00F3390E"/>
    <w:rsid w:val="00F3391B"/>
    <w:rsid w:val="00F33A29"/>
    <w:rsid w:val="00F33A65"/>
    <w:rsid w:val="00F33B63"/>
    <w:rsid w:val="00F33DF5"/>
    <w:rsid w:val="00F33F37"/>
    <w:rsid w:val="00F3402A"/>
    <w:rsid w:val="00F34203"/>
    <w:rsid w:val="00F34231"/>
    <w:rsid w:val="00F3478F"/>
    <w:rsid w:val="00F34D2E"/>
    <w:rsid w:val="00F350AD"/>
    <w:rsid w:val="00F359E7"/>
    <w:rsid w:val="00F35B03"/>
    <w:rsid w:val="00F36C00"/>
    <w:rsid w:val="00F36FCF"/>
    <w:rsid w:val="00F37290"/>
    <w:rsid w:val="00F3763B"/>
    <w:rsid w:val="00F37877"/>
    <w:rsid w:val="00F37A61"/>
    <w:rsid w:val="00F4047D"/>
    <w:rsid w:val="00F405D9"/>
    <w:rsid w:val="00F416B8"/>
    <w:rsid w:val="00F41C00"/>
    <w:rsid w:val="00F41C3C"/>
    <w:rsid w:val="00F41F43"/>
    <w:rsid w:val="00F41FA5"/>
    <w:rsid w:val="00F42817"/>
    <w:rsid w:val="00F42905"/>
    <w:rsid w:val="00F42965"/>
    <w:rsid w:val="00F42B01"/>
    <w:rsid w:val="00F4320C"/>
    <w:rsid w:val="00F4329B"/>
    <w:rsid w:val="00F43314"/>
    <w:rsid w:val="00F44191"/>
    <w:rsid w:val="00F4423A"/>
    <w:rsid w:val="00F44440"/>
    <w:rsid w:val="00F4446E"/>
    <w:rsid w:val="00F44D9A"/>
    <w:rsid w:val="00F44EFE"/>
    <w:rsid w:val="00F45142"/>
    <w:rsid w:val="00F4517C"/>
    <w:rsid w:val="00F45399"/>
    <w:rsid w:val="00F455AE"/>
    <w:rsid w:val="00F45663"/>
    <w:rsid w:val="00F4594C"/>
    <w:rsid w:val="00F45D70"/>
    <w:rsid w:val="00F463FF"/>
    <w:rsid w:val="00F46528"/>
    <w:rsid w:val="00F4676F"/>
    <w:rsid w:val="00F4715F"/>
    <w:rsid w:val="00F4756B"/>
    <w:rsid w:val="00F50147"/>
    <w:rsid w:val="00F50749"/>
    <w:rsid w:val="00F5080D"/>
    <w:rsid w:val="00F50AB2"/>
    <w:rsid w:val="00F50BF5"/>
    <w:rsid w:val="00F50DBE"/>
    <w:rsid w:val="00F50F23"/>
    <w:rsid w:val="00F51376"/>
    <w:rsid w:val="00F516BF"/>
    <w:rsid w:val="00F51883"/>
    <w:rsid w:val="00F51916"/>
    <w:rsid w:val="00F51F93"/>
    <w:rsid w:val="00F52244"/>
    <w:rsid w:val="00F52A1E"/>
    <w:rsid w:val="00F52F5D"/>
    <w:rsid w:val="00F53427"/>
    <w:rsid w:val="00F5370F"/>
    <w:rsid w:val="00F537E4"/>
    <w:rsid w:val="00F53A0F"/>
    <w:rsid w:val="00F546A8"/>
    <w:rsid w:val="00F54876"/>
    <w:rsid w:val="00F5489A"/>
    <w:rsid w:val="00F54E06"/>
    <w:rsid w:val="00F54EE3"/>
    <w:rsid w:val="00F55125"/>
    <w:rsid w:val="00F551CF"/>
    <w:rsid w:val="00F552A0"/>
    <w:rsid w:val="00F55690"/>
    <w:rsid w:val="00F5586E"/>
    <w:rsid w:val="00F559B9"/>
    <w:rsid w:val="00F55A07"/>
    <w:rsid w:val="00F55B54"/>
    <w:rsid w:val="00F5606E"/>
    <w:rsid w:val="00F567DD"/>
    <w:rsid w:val="00F56832"/>
    <w:rsid w:val="00F5720B"/>
    <w:rsid w:val="00F57C1E"/>
    <w:rsid w:val="00F601C6"/>
    <w:rsid w:val="00F625D0"/>
    <w:rsid w:val="00F625F6"/>
    <w:rsid w:val="00F6294C"/>
    <w:rsid w:val="00F62B29"/>
    <w:rsid w:val="00F62B47"/>
    <w:rsid w:val="00F6343F"/>
    <w:rsid w:val="00F636CB"/>
    <w:rsid w:val="00F63A54"/>
    <w:rsid w:val="00F63C49"/>
    <w:rsid w:val="00F63E77"/>
    <w:rsid w:val="00F65163"/>
    <w:rsid w:val="00F651A2"/>
    <w:rsid w:val="00F6529D"/>
    <w:rsid w:val="00F656FF"/>
    <w:rsid w:val="00F658B2"/>
    <w:rsid w:val="00F659F3"/>
    <w:rsid w:val="00F66513"/>
    <w:rsid w:val="00F669E2"/>
    <w:rsid w:val="00F66A0A"/>
    <w:rsid w:val="00F66B22"/>
    <w:rsid w:val="00F66BF4"/>
    <w:rsid w:val="00F66CE4"/>
    <w:rsid w:val="00F66E3B"/>
    <w:rsid w:val="00F6737F"/>
    <w:rsid w:val="00F67628"/>
    <w:rsid w:val="00F67D0D"/>
    <w:rsid w:val="00F67F2A"/>
    <w:rsid w:val="00F70088"/>
    <w:rsid w:val="00F70133"/>
    <w:rsid w:val="00F70518"/>
    <w:rsid w:val="00F70780"/>
    <w:rsid w:val="00F70B24"/>
    <w:rsid w:val="00F70E54"/>
    <w:rsid w:val="00F711CA"/>
    <w:rsid w:val="00F71ED6"/>
    <w:rsid w:val="00F720C8"/>
    <w:rsid w:val="00F72137"/>
    <w:rsid w:val="00F72B12"/>
    <w:rsid w:val="00F72C89"/>
    <w:rsid w:val="00F7315E"/>
    <w:rsid w:val="00F73467"/>
    <w:rsid w:val="00F73C67"/>
    <w:rsid w:val="00F73F61"/>
    <w:rsid w:val="00F7491F"/>
    <w:rsid w:val="00F74B3C"/>
    <w:rsid w:val="00F75123"/>
    <w:rsid w:val="00F7515D"/>
    <w:rsid w:val="00F752E8"/>
    <w:rsid w:val="00F75837"/>
    <w:rsid w:val="00F75BB3"/>
    <w:rsid w:val="00F75F5B"/>
    <w:rsid w:val="00F76555"/>
    <w:rsid w:val="00F76625"/>
    <w:rsid w:val="00F7667E"/>
    <w:rsid w:val="00F7679D"/>
    <w:rsid w:val="00F767D3"/>
    <w:rsid w:val="00F7749B"/>
    <w:rsid w:val="00F77878"/>
    <w:rsid w:val="00F77BCB"/>
    <w:rsid w:val="00F77E11"/>
    <w:rsid w:val="00F77ED0"/>
    <w:rsid w:val="00F77ED3"/>
    <w:rsid w:val="00F80581"/>
    <w:rsid w:val="00F805C7"/>
    <w:rsid w:val="00F807E8"/>
    <w:rsid w:val="00F80AD3"/>
    <w:rsid w:val="00F80C6E"/>
    <w:rsid w:val="00F81314"/>
    <w:rsid w:val="00F81BBA"/>
    <w:rsid w:val="00F821CC"/>
    <w:rsid w:val="00F82C2F"/>
    <w:rsid w:val="00F82CB6"/>
    <w:rsid w:val="00F83FA9"/>
    <w:rsid w:val="00F8450F"/>
    <w:rsid w:val="00F8458C"/>
    <w:rsid w:val="00F84BD0"/>
    <w:rsid w:val="00F85ADB"/>
    <w:rsid w:val="00F85E99"/>
    <w:rsid w:val="00F8625D"/>
    <w:rsid w:val="00F86504"/>
    <w:rsid w:val="00F86608"/>
    <w:rsid w:val="00F8664F"/>
    <w:rsid w:val="00F86B8E"/>
    <w:rsid w:val="00F86CF3"/>
    <w:rsid w:val="00F8748F"/>
    <w:rsid w:val="00F874F8"/>
    <w:rsid w:val="00F87770"/>
    <w:rsid w:val="00F87A3D"/>
    <w:rsid w:val="00F87B38"/>
    <w:rsid w:val="00F87B62"/>
    <w:rsid w:val="00F903C5"/>
    <w:rsid w:val="00F9046C"/>
    <w:rsid w:val="00F911A3"/>
    <w:rsid w:val="00F91DD7"/>
    <w:rsid w:val="00F9252E"/>
    <w:rsid w:val="00F92792"/>
    <w:rsid w:val="00F93693"/>
    <w:rsid w:val="00F93999"/>
    <w:rsid w:val="00F93B0D"/>
    <w:rsid w:val="00F946F4"/>
    <w:rsid w:val="00F951A4"/>
    <w:rsid w:val="00F951CC"/>
    <w:rsid w:val="00F9545A"/>
    <w:rsid w:val="00F9588C"/>
    <w:rsid w:val="00F958BC"/>
    <w:rsid w:val="00F95E15"/>
    <w:rsid w:val="00F96870"/>
    <w:rsid w:val="00F9689B"/>
    <w:rsid w:val="00F96F6E"/>
    <w:rsid w:val="00F978BA"/>
    <w:rsid w:val="00F979C9"/>
    <w:rsid w:val="00F97AFE"/>
    <w:rsid w:val="00F97B57"/>
    <w:rsid w:val="00F97C4E"/>
    <w:rsid w:val="00F97F4E"/>
    <w:rsid w:val="00FA0145"/>
    <w:rsid w:val="00FA01AA"/>
    <w:rsid w:val="00FA0495"/>
    <w:rsid w:val="00FA0611"/>
    <w:rsid w:val="00FA06A5"/>
    <w:rsid w:val="00FA1010"/>
    <w:rsid w:val="00FA1993"/>
    <w:rsid w:val="00FA1B2C"/>
    <w:rsid w:val="00FA1D58"/>
    <w:rsid w:val="00FA2039"/>
    <w:rsid w:val="00FA24FC"/>
    <w:rsid w:val="00FA27CB"/>
    <w:rsid w:val="00FA28BC"/>
    <w:rsid w:val="00FA2C69"/>
    <w:rsid w:val="00FA2DB2"/>
    <w:rsid w:val="00FA30FC"/>
    <w:rsid w:val="00FA3159"/>
    <w:rsid w:val="00FA318B"/>
    <w:rsid w:val="00FA3980"/>
    <w:rsid w:val="00FA3A1E"/>
    <w:rsid w:val="00FA3D90"/>
    <w:rsid w:val="00FA3EC7"/>
    <w:rsid w:val="00FA3F79"/>
    <w:rsid w:val="00FA4C84"/>
    <w:rsid w:val="00FA4D6C"/>
    <w:rsid w:val="00FA52B7"/>
    <w:rsid w:val="00FA5362"/>
    <w:rsid w:val="00FA588D"/>
    <w:rsid w:val="00FA6269"/>
    <w:rsid w:val="00FA6323"/>
    <w:rsid w:val="00FA6513"/>
    <w:rsid w:val="00FA719A"/>
    <w:rsid w:val="00FA7457"/>
    <w:rsid w:val="00FA74AF"/>
    <w:rsid w:val="00FA78E8"/>
    <w:rsid w:val="00FA7B2E"/>
    <w:rsid w:val="00FA7F35"/>
    <w:rsid w:val="00FB030E"/>
    <w:rsid w:val="00FB0773"/>
    <w:rsid w:val="00FB0A75"/>
    <w:rsid w:val="00FB0F48"/>
    <w:rsid w:val="00FB1187"/>
    <w:rsid w:val="00FB17AC"/>
    <w:rsid w:val="00FB187C"/>
    <w:rsid w:val="00FB1CB5"/>
    <w:rsid w:val="00FB211F"/>
    <w:rsid w:val="00FB21FE"/>
    <w:rsid w:val="00FB2423"/>
    <w:rsid w:val="00FB24FD"/>
    <w:rsid w:val="00FB257F"/>
    <w:rsid w:val="00FB2E52"/>
    <w:rsid w:val="00FB30FD"/>
    <w:rsid w:val="00FB3432"/>
    <w:rsid w:val="00FB3469"/>
    <w:rsid w:val="00FB3849"/>
    <w:rsid w:val="00FB4644"/>
    <w:rsid w:val="00FB4FDF"/>
    <w:rsid w:val="00FB544B"/>
    <w:rsid w:val="00FB55D9"/>
    <w:rsid w:val="00FB58FD"/>
    <w:rsid w:val="00FB5D43"/>
    <w:rsid w:val="00FB600F"/>
    <w:rsid w:val="00FB6255"/>
    <w:rsid w:val="00FB631E"/>
    <w:rsid w:val="00FB63D3"/>
    <w:rsid w:val="00FB6A71"/>
    <w:rsid w:val="00FB6BAB"/>
    <w:rsid w:val="00FB715B"/>
    <w:rsid w:val="00FB7C54"/>
    <w:rsid w:val="00FC0022"/>
    <w:rsid w:val="00FC004D"/>
    <w:rsid w:val="00FC044D"/>
    <w:rsid w:val="00FC04E0"/>
    <w:rsid w:val="00FC0A30"/>
    <w:rsid w:val="00FC0A57"/>
    <w:rsid w:val="00FC0BF8"/>
    <w:rsid w:val="00FC0D00"/>
    <w:rsid w:val="00FC1177"/>
    <w:rsid w:val="00FC1731"/>
    <w:rsid w:val="00FC1A56"/>
    <w:rsid w:val="00FC1B48"/>
    <w:rsid w:val="00FC2594"/>
    <w:rsid w:val="00FC2B14"/>
    <w:rsid w:val="00FC2E4A"/>
    <w:rsid w:val="00FC3158"/>
    <w:rsid w:val="00FC3591"/>
    <w:rsid w:val="00FC3D87"/>
    <w:rsid w:val="00FC3D8F"/>
    <w:rsid w:val="00FC3DED"/>
    <w:rsid w:val="00FC4293"/>
    <w:rsid w:val="00FC4412"/>
    <w:rsid w:val="00FC4B95"/>
    <w:rsid w:val="00FC4E16"/>
    <w:rsid w:val="00FC4E77"/>
    <w:rsid w:val="00FC52C3"/>
    <w:rsid w:val="00FC536D"/>
    <w:rsid w:val="00FC5504"/>
    <w:rsid w:val="00FC5707"/>
    <w:rsid w:val="00FC6282"/>
    <w:rsid w:val="00FC66A8"/>
    <w:rsid w:val="00FC694C"/>
    <w:rsid w:val="00FC6DFD"/>
    <w:rsid w:val="00FC6EC6"/>
    <w:rsid w:val="00FC6FAA"/>
    <w:rsid w:val="00FC709A"/>
    <w:rsid w:val="00FC7D1E"/>
    <w:rsid w:val="00FD0245"/>
    <w:rsid w:val="00FD03CE"/>
    <w:rsid w:val="00FD0409"/>
    <w:rsid w:val="00FD0543"/>
    <w:rsid w:val="00FD09DE"/>
    <w:rsid w:val="00FD0B03"/>
    <w:rsid w:val="00FD1316"/>
    <w:rsid w:val="00FD1F66"/>
    <w:rsid w:val="00FD2722"/>
    <w:rsid w:val="00FD2E56"/>
    <w:rsid w:val="00FD2FBF"/>
    <w:rsid w:val="00FD3419"/>
    <w:rsid w:val="00FD35B8"/>
    <w:rsid w:val="00FD3B83"/>
    <w:rsid w:val="00FD3D46"/>
    <w:rsid w:val="00FD4149"/>
    <w:rsid w:val="00FD41A2"/>
    <w:rsid w:val="00FD4347"/>
    <w:rsid w:val="00FD4627"/>
    <w:rsid w:val="00FD49F5"/>
    <w:rsid w:val="00FD591C"/>
    <w:rsid w:val="00FD5FED"/>
    <w:rsid w:val="00FD6BF5"/>
    <w:rsid w:val="00FD700D"/>
    <w:rsid w:val="00FD7465"/>
    <w:rsid w:val="00FD79F9"/>
    <w:rsid w:val="00FD7A71"/>
    <w:rsid w:val="00FE07BC"/>
    <w:rsid w:val="00FE09F7"/>
    <w:rsid w:val="00FE0B2E"/>
    <w:rsid w:val="00FE0B91"/>
    <w:rsid w:val="00FE1187"/>
    <w:rsid w:val="00FE11A7"/>
    <w:rsid w:val="00FE1787"/>
    <w:rsid w:val="00FE1B20"/>
    <w:rsid w:val="00FE1B24"/>
    <w:rsid w:val="00FE1BBB"/>
    <w:rsid w:val="00FE1C37"/>
    <w:rsid w:val="00FE23D4"/>
    <w:rsid w:val="00FE25A3"/>
    <w:rsid w:val="00FE2780"/>
    <w:rsid w:val="00FE27ED"/>
    <w:rsid w:val="00FE2A30"/>
    <w:rsid w:val="00FE2E66"/>
    <w:rsid w:val="00FE30E7"/>
    <w:rsid w:val="00FE3309"/>
    <w:rsid w:val="00FE35BE"/>
    <w:rsid w:val="00FE367B"/>
    <w:rsid w:val="00FE3966"/>
    <w:rsid w:val="00FE3D9B"/>
    <w:rsid w:val="00FE43E7"/>
    <w:rsid w:val="00FE4441"/>
    <w:rsid w:val="00FE46F1"/>
    <w:rsid w:val="00FE4DAF"/>
    <w:rsid w:val="00FE4FE4"/>
    <w:rsid w:val="00FE5029"/>
    <w:rsid w:val="00FE5274"/>
    <w:rsid w:val="00FE54C5"/>
    <w:rsid w:val="00FE6630"/>
    <w:rsid w:val="00FE67FD"/>
    <w:rsid w:val="00FE6BB2"/>
    <w:rsid w:val="00FE6DEC"/>
    <w:rsid w:val="00FE6F59"/>
    <w:rsid w:val="00FE727D"/>
    <w:rsid w:val="00FF00C3"/>
    <w:rsid w:val="00FF0107"/>
    <w:rsid w:val="00FF081D"/>
    <w:rsid w:val="00FF0CA8"/>
    <w:rsid w:val="00FF0D85"/>
    <w:rsid w:val="00FF1D96"/>
    <w:rsid w:val="00FF1EF5"/>
    <w:rsid w:val="00FF28E8"/>
    <w:rsid w:val="00FF2B68"/>
    <w:rsid w:val="00FF2EB4"/>
    <w:rsid w:val="00FF312E"/>
    <w:rsid w:val="00FF3762"/>
    <w:rsid w:val="00FF3A40"/>
    <w:rsid w:val="00FF3A73"/>
    <w:rsid w:val="00FF3A76"/>
    <w:rsid w:val="00FF3B11"/>
    <w:rsid w:val="00FF3C3C"/>
    <w:rsid w:val="00FF3CE8"/>
    <w:rsid w:val="00FF3E8F"/>
    <w:rsid w:val="00FF40B4"/>
    <w:rsid w:val="00FF445F"/>
    <w:rsid w:val="00FF4514"/>
    <w:rsid w:val="00FF458D"/>
    <w:rsid w:val="00FF4B30"/>
    <w:rsid w:val="00FF4BE4"/>
    <w:rsid w:val="00FF4CFB"/>
    <w:rsid w:val="00FF4D66"/>
    <w:rsid w:val="00FF4EDF"/>
    <w:rsid w:val="00FF5601"/>
    <w:rsid w:val="00FF5A28"/>
    <w:rsid w:val="00FF5C7B"/>
    <w:rsid w:val="00FF60DB"/>
    <w:rsid w:val="00FF6103"/>
    <w:rsid w:val="00FF65CC"/>
    <w:rsid w:val="00FF68AE"/>
    <w:rsid w:val="00FF68F7"/>
    <w:rsid w:val="00FF6DB3"/>
    <w:rsid w:val="00FF70D9"/>
    <w:rsid w:val="00FF7559"/>
    <w:rsid w:val="00FF77A8"/>
    <w:rsid w:val="00FF7F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66250" style="mso-width-relative:margin;mso-height-relative:margin" fillcolor="white">
      <v:fill color="white"/>
      <o:colormru v:ext="edit" colors="#666"/>
    </o:shapedefaults>
    <o:shapelayout v:ext="edit">
      <o:idmap v:ext="edit" data="1"/>
    </o:shapelayout>
  </w:shapeDefaults>
  <w:decimalSymbol w:val="."/>
  <w:listSeparator w:val=","/>
  <w14:docId w14:val="30149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iPriority="0"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qFormat="1"/>
    <w:lsdException w:name="Emphasis" w:locked="1"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iPriority="0" w:unhideWhenUsed="1"/>
    <w:lsdException w:name="Balloon Text" w:locked="1" w:semiHidden="1" w:unhideWhenUsed="1"/>
    <w:lsdException w:name="Table Grid" w:uiPriority="0" w:qFormat="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357E"/>
    <w:pPr>
      <w:jc w:val="both"/>
    </w:pPr>
    <w:rPr>
      <w:rFonts w:ascii="Calibri" w:hAnsi="Calibri" w:cs="Tahoma"/>
      <w:szCs w:val="24"/>
    </w:rPr>
  </w:style>
  <w:style w:type="paragraph" w:styleId="Heading1">
    <w:name w:val="heading 1"/>
    <w:basedOn w:val="Normal"/>
    <w:next w:val="Normal"/>
    <w:link w:val="Heading1Char"/>
    <w:uiPriority w:val="99"/>
    <w:qFormat/>
    <w:locked/>
    <w:rsid w:val="002551B2"/>
    <w:pPr>
      <w:keepNext/>
      <w:numPr>
        <w:numId w:val="2"/>
      </w:numPr>
      <w:tabs>
        <w:tab w:val="left" w:pos="1134"/>
      </w:tabs>
      <w:spacing w:before="240" w:after="240"/>
      <w:ind w:left="1072" w:hanging="1072"/>
      <w:outlineLvl w:val="0"/>
    </w:pPr>
    <w:rPr>
      <w:rFonts w:cs="Arial"/>
      <w:b/>
      <w:bCs/>
      <w:caps/>
      <w:kern w:val="32"/>
      <w:sz w:val="26"/>
      <w:szCs w:val="32"/>
      <w:lang w:eastAsia="en-US"/>
    </w:rPr>
  </w:style>
  <w:style w:type="paragraph" w:styleId="Heading2">
    <w:name w:val="heading 2"/>
    <w:basedOn w:val="Normal"/>
    <w:next w:val="Normal"/>
    <w:link w:val="Heading2Char"/>
    <w:uiPriority w:val="99"/>
    <w:qFormat/>
    <w:rsid w:val="00926E53"/>
    <w:pPr>
      <w:keepNext/>
      <w:numPr>
        <w:ilvl w:val="1"/>
        <w:numId w:val="2"/>
      </w:numPr>
      <w:spacing w:before="240" w:after="120"/>
      <w:ind w:left="1072" w:hanging="1072"/>
      <w:outlineLvl w:val="1"/>
    </w:pPr>
    <w:rPr>
      <w:rFonts w:cs="Arial"/>
      <w:b/>
      <w:bCs/>
      <w:iCs/>
      <w:caps/>
      <w:szCs w:val="28"/>
      <w:lang w:eastAsia="en-US"/>
    </w:rPr>
  </w:style>
  <w:style w:type="paragraph" w:styleId="Heading3">
    <w:name w:val="heading 3"/>
    <w:basedOn w:val="Normal"/>
    <w:next w:val="Normal"/>
    <w:link w:val="Heading3Char"/>
    <w:uiPriority w:val="9"/>
    <w:unhideWhenUsed/>
    <w:qFormat/>
    <w:locked/>
    <w:rsid w:val="00F1359B"/>
    <w:pPr>
      <w:keepNext/>
      <w:keepLines/>
      <w:numPr>
        <w:ilvl w:val="2"/>
        <w:numId w:val="2"/>
      </w:numPr>
      <w:spacing w:before="240" w:after="120"/>
      <w:ind w:left="1072" w:hanging="1072"/>
      <w:outlineLvl w:val="2"/>
    </w:pPr>
    <w:rPr>
      <w:rFonts w:eastAsiaTheme="majorEastAsia" w:cstheme="majorBidi"/>
      <w:b/>
      <w:bCs/>
    </w:rPr>
  </w:style>
  <w:style w:type="paragraph" w:styleId="Heading4">
    <w:name w:val="heading 4"/>
    <w:basedOn w:val="Normal"/>
    <w:next w:val="Normal"/>
    <w:link w:val="Heading4Char"/>
    <w:uiPriority w:val="9"/>
    <w:unhideWhenUsed/>
    <w:qFormat/>
    <w:locked/>
    <w:rsid w:val="004A74BC"/>
    <w:pPr>
      <w:keepNext/>
      <w:keepLines/>
      <w:numPr>
        <w:ilvl w:val="3"/>
        <w:numId w:val="2"/>
      </w:numPr>
      <w:spacing w:before="240" w:after="120"/>
      <w:ind w:left="1072" w:hanging="1072"/>
      <w:outlineLvl w:val="3"/>
    </w:pPr>
    <w:rPr>
      <w:rFonts w:eastAsiaTheme="majorEastAsia" w:cstheme="majorBidi"/>
      <w:b/>
      <w:bCs/>
      <w:iCs/>
    </w:rPr>
  </w:style>
  <w:style w:type="paragraph" w:styleId="Heading5">
    <w:name w:val="heading 5"/>
    <w:basedOn w:val="Normal"/>
    <w:next w:val="Normal"/>
    <w:link w:val="Heading5Char"/>
    <w:uiPriority w:val="9"/>
    <w:unhideWhenUsed/>
    <w:qFormat/>
    <w:locked/>
    <w:rsid w:val="00D066F9"/>
    <w:pPr>
      <w:keepNext/>
      <w:keepLines/>
      <w:numPr>
        <w:ilvl w:val="4"/>
        <w:numId w:val="2"/>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locked/>
    <w:rsid w:val="00D066F9"/>
    <w:pPr>
      <w:keepNext/>
      <w:keepLines/>
      <w:numPr>
        <w:ilvl w:val="5"/>
        <w:numId w:val="2"/>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locked/>
    <w:rsid w:val="00D066F9"/>
    <w:pPr>
      <w:keepNext/>
      <w:keepLines/>
      <w:numPr>
        <w:ilvl w:val="6"/>
        <w:numId w:val="2"/>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9"/>
    <w:qFormat/>
    <w:rsid w:val="00A420D6"/>
    <w:pPr>
      <w:keepNext/>
      <w:numPr>
        <w:ilvl w:val="7"/>
        <w:numId w:val="2"/>
      </w:numPr>
      <w:spacing w:before="120"/>
      <w:jc w:val="center"/>
      <w:outlineLvl w:val="7"/>
    </w:pPr>
    <w:rPr>
      <w:rFonts w:ascii="Arial" w:hAnsi="Arial" w:cs="Arial"/>
      <w:b/>
      <w:bCs/>
      <w:lang w:eastAsia="en-US"/>
    </w:rPr>
  </w:style>
  <w:style w:type="paragraph" w:styleId="Heading9">
    <w:name w:val="heading 9"/>
    <w:basedOn w:val="Normal"/>
    <w:next w:val="Normal"/>
    <w:link w:val="Heading9Char"/>
    <w:uiPriority w:val="9"/>
    <w:semiHidden/>
    <w:unhideWhenUsed/>
    <w:qFormat/>
    <w:locked/>
    <w:rsid w:val="00D066F9"/>
    <w:pPr>
      <w:keepNext/>
      <w:keepLines/>
      <w:numPr>
        <w:ilvl w:val="8"/>
        <w:numId w:val="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2551B2"/>
    <w:rPr>
      <w:rFonts w:ascii="Calibri" w:hAnsi="Calibri" w:cs="Arial"/>
      <w:b/>
      <w:bCs/>
      <w:caps/>
      <w:kern w:val="32"/>
      <w:sz w:val="26"/>
      <w:szCs w:val="32"/>
      <w:lang w:eastAsia="en-US"/>
    </w:rPr>
  </w:style>
  <w:style w:type="character" w:customStyle="1" w:styleId="Heading2Char">
    <w:name w:val="Heading 2 Char"/>
    <w:basedOn w:val="DefaultParagraphFont"/>
    <w:link w:val="Heading2"/>
    <w:uiPriority w:val="99"/>
    <w:locked/>
    <w:rsid w:val="00926E53"/>
    <w:rPr>
      <w:rFonts w:ascii="Calibri" w:hAnsi="Calibri" w:cs="Arial"/>
      <w:b/>
      <w:bCs/>
      <w:iCs/>
      <w:caps/>
      <w:szCs w:val="28"/>
      <w:lang w:eastAsia="en-US"/>
    </w:rPr>
  </w:style>
  <w:style w:type="character" w:customStyle="1" w:styleId="Heading3Char">
    <w:name w:val="Heading 3 Char"/>
    <w:basedOn w:val="DefaultParagraphFont"/>
    <w:link w:val="Heading3"/>
    <w:uiPriority w:val="9"/>
    <w:rsid w:val="00F1359B"/>
    <w:rPr>
      <w:rFonts w:ascii="Calibri" w:eastAsiaTheme="majorEastAsia" w:hAnsi="Calibri" w:cstheme="majorBidi"/>
      <w:b/>
      <w:bCs/>
      <w:szCs w:val="24"/>
    </w:rPr>
  </w:style>
  <w:style w:type="character" w:customStyle="1" w:styleId="Heading4Char">
    <w:name w:val="Heading 4 Char"/>
    <w:basedOn w:val="DefaultParagraphFont"/>
    <w:link w:val="Heading4"/>
    <w:uiPriority w:val="9"/>
    <w:rsid w:val="004A74BC"/>
    <w:rPr>
      <w:rFonts w:ascii="Calibri" w:eastAsiaTheme="majorEastAsia" w:hAnsi="Calibri" w:cstheme="majorBidi"/>
      <w:b/>
      <w:bCs/>
      <w:iCs/>
      <w:szCs w:val="24"/>
    </w:rPr>
  </w:style>
  <w:style w:type="character" w:customStyle="1" w:styleId="Heading5Char">
    <w:name w:val="Heading 5 Char"/>
    <w:basedOn w:val="DefaultParagraphFont"/>
    <w:link w:val="Heading5"/>
    <w:uiPriority w:val="9"/>
    <w:rsid w:val="00D066F9"/>
    <w:rPr>
      <w:rFonts w:asciiTheme="majorHAnsi" w:eastAsiaTheme="majorEastAsia" w:hAnsiTheme="majorHAnsi" w:cstheme="majorBidi"/>
      <w:color w:val="243F60" w:themeColor="accent1" w:themeShade="7F"/>
      <w:szCs w:val="24"/>
    </w:rPr>
  </w:style>
  <w:style w:type="character" w:customStyle="1" w:styleId="Heading6Char">
    <w:name w:val="Heading 6 Char"/>
    <w:basedOn w:val="DefaultParagraphFont"/>
    <w:link w:val="Heading6"/>
    <w:uiPriority w:val="9"/>
    <w:semiHidden/>
    <w:rsid w:val="00D066F9"/>
    <w:rPr>
      <w:rFonts w:asciiTheme="majorHAnsi" w:eastAsiaTheme="majorEastAsia" w:hAnsiTheme="majorHAnsi" w:cstheme="majorBidi"/>
      <w:i/>
      <w:iCs/>
      <w:color w:val="243F60" w:themeColor="accent1" w:themeShade="7F"/>
      <w:szCs w:val="24"/>
    </w:rPr>
  </w:style>
  <w:style w:type="character" w:customStyle="1" w:styleId="Heading7Char">
    <w:name w:val="Heading 7 Char"/>
    <w:basedOn w:val="DefaultParagraphFont"/>
    <w:link w:val="Heading7"/>
    <w:uiPriority w:val="9"/>
    <w:semiHidden/>
    <w:rsid w:val="00D066F9"/>
    <w:rPr>
      <w:rFonts w:asciiTheme="majorHAnsi" w:eastAsiaTheme="majorEastAsia" w:hAnsiTheme="majorHAnsi" w:cstheme="majorBidi"/>
      <w:i/>
      <w:iCs/>
      <w:color w:val="404040" w:themeColor="text1" w:themeTint="BF"/>
      <w:szCs w:val="24"/>
    </w:rPr>
  </w:style>
  <w:style w:type="character" w:customStyle="1" w:styleId="Heading8Char">
    <w:name w:val="Heading 8 Char"/>
    <w:basedOn w:val="DefaultParagraphFont"/>
    <w:link w:val="Heading8"/>
    <w:uiPriority w:val="99"/>
    <w:locked/>
    <w:rsid w:val="00A420D6"/>
    <w:rPr>
      <w:rFonts w:ascii="Arial" w:hAnsi="Arial" w:cs="Arial"/>
      <w:b/>
      <w:bCs/>
      <w:szCs w:val="24"/>
      <w:lang w:eastAsia="en-US"/>
    </w:rPr>
  </w:style>
  <w:style w:type="character" w:customStyle="1" w:styleId="Heading9Char">
    <w:name w:val="Heading 9 Char"/>
    <w:basedOn w:val="DefaultParagraphFont"/>
    <w:link w:val="Heading9"/>
    <w:uiPriority w:val="9"/>
    <w:semiHidden/>
    <w:rsid w:val="00D066F9"/>
    <w:rPr>
      <w:rFonts w:asciiTheme="majorHAnsi" w:eastAsiaTheme="majorEastAsia" w:hAnsiTheme="majorHAnsi" w:cstheme="majorBidi"/>
      <w:i/>
      <w:iCs/>
      <w:color w:val="404040" w:themeColor="text1" w:themeTint="BF"/>
      <w:sz w:val="20"/>
      <w:szCs w:val="20"/>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0739C1"/>
    <w:pPr>
      <w:ind w:left="720"/>
      <w:contextualSpacing/>
    </w:p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933170"/>
    <w:rPr>
      <w:rFonts w:ascii="Tahoma" w:hAnsi="Tahoma" w:cs="Tahoma"/>
      <w:sz w:val="24"/>
      <w:szCs w:val="24"/>
    </w:rPr>
  </w:style>
  <w:style w:type="paragraph" w:customStyle="1" w:styleId="Default">
    <w:name w:val="Default"/>
    <w:rsid w:val="000739C1"/>
    <w:pPr>
      <w:autoSpaceDE w:val="0"/>
      <w:autoSpaceDN w:val="0"/>
      <w:adjustRightInd w:val="0"/>
    </w:pPr>
    <w:rPr>
      <w:rFonts w:ascii="Arial" w:hAnsi="Arial" w:cs="Arial"/>
      <w:color w:val="000000"/>
      <w:sz w:val="24"/>
      <w:szCs w:val="24"/>
    </w:rPr>
  </w:style>
  <w:style w:type="table" w:styleId="TableGrid">
    <w:name w:val="Table Grid"/>
    <w:basedOn w:val="TableNormal"/>
    <w:qFormat/>
    <w:rsid w:val="00DE6403"/>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Strong">
    <w:name w:val="Strong"/>
    <w:basedOn w:val="DefaultParagraphFont"/>
    <w:uiPriority w:val="99"/>
    <w:qFormat/>
    <w:rsid w:val="00D57D09"/>
    <w:rPr>
      <w:rFonts w:cs="Times New Roman"/>
      <w:b/>
      <w:bCs/>
    </w:rPr>
  </w:style>
  <w:style w:type="character" w:styleId="Hyperlink">
    <w:name w:val="Hyperlink"/>
    <w:basedOn w:val="DefaultParagraphFont"/>
    <w:uiPriority w:val="99"/>
    <w:rsid w:val="00D57D09"/>
    <w:rPr>
      <w:rFonts w:cs="Times New Roman"/>
      <w:color w:val="0000FF"/>
      <w:u w:val="single"/>
    </w:rPr>
  </w:style>
  <w:style w:type="paragraph" w:styleId="BalloonText">
    <w:name w:val="Balloon Text"/>
    <w:basedOn w:val="Normal"/>
    <w:link w:val="BalloonTextChar"/>
    <w:uiPriority w:val="99"/>
    <w:rsid w:val="0021722D"/>
    <w:rPr>
      <w:sz w:val="16"/>
      <w:szCs w:val="16"/>
    </w:rPr>
  </w:style>
  <w:style w:type="character" w:customStyle="1" w:styleId="BalloonTextChar">
    <w:name w:val="Balloon Text Char"/>
    <w:basedOn w:val="DefaultParagraphFont"/>
    <w:link w:val="BalloonText"/>
    <w:uiPriority w:val="99"/>
    <w:locked/>
    <w:rsid w:val="0021722D"/>
    <w:rPr>
      <w:rFonts w:ascii="Tahoma" w:hAnsi="Tahoma" w:cs="Tahoma"/>
      <w:sz w:val="16"/>
      <w:szCs w:val="16"/>
    </w:rPr>
  </w:style>
  <w:style w:type="character" w:styleId="FollowedHyperlink">
    <w:name w:val="FollowedHyperlink"/>
    <w:basedOn w:val="DefaultParagraphFont"/>
    <w:uiPriority w:val="99"/>
    <w:rsid w:val="00E179A9"/>
    <w:rPr>
      <w:rFonts w:cs="Times New Roman"/>
      <w:color w:val="800080"/>
      <w:u w:val="single"/>
    </w:rPr>
  </w:style>
  <w:style w:type="paragraph" w:styleId="Footer">
    <w:name w:val="footer"/>
    <w:aliases w:val="Doc Footer"/>
    <w:basedOn w:val="Normal"/>
    <w:link w:val="FooterChar"/>
    <w:uiPriority w:val="99"/>
    <w:rsid w:val="006A1D6E"/>
    <w:pPr>
      <w:tabs>
        <w:tab w:val="center" w:pos="4513"/>
        <w:tab w:val="right" w:pos="9026"/>
      </w:tabs>
    </w:pPr>
    <w:rPr>
      <w:rFonts w:cs="Times New Roman"/>
      <w:szCs w:val="22"/>
      <w:lang w:eastAsia="en-US"/>
    </w:rPr>
  </w:style>
  <w:style w:type="character" w:customStyle="1" w:styleId="FooterChar">
    <w:name w:val="Footer Char"/>
    <w:aliases w:val="Doc Footer Char"/>
    <w:basedOn w:val="DefaultParagraphFont"/>
    <w:link w:val="Footer"/>
    <w:uiPriority w:val="99"/>
    <w:locked/>
    <w:rsid w:val="006A1D6E"/>
    <w:rPr>
      <w:rFonts w:ascii="Calibri" w:hAnsi="Calibri" w:cs="Times New Roman"/>
      <w:sz w:val="22"/>
      <w:szCs w:val="22"/>
      <w:lang w:eastAsia="en-US"/>
    </w:rPr>
  </w:style>
  <w:style w:type="paragraph" w:styleId="BodyText">
    <w:name w:val="Body Text"/>
    <w:basedOn w:val="Normal"/>
    <w:link w:val="BodyTextChar"/>
    <w:uiPriority w:val="99"/>
    <w:rsid w:val="006A1D6E"/>
    <w:pPr>
      <w:spacing w:after="120"/>
      <w:ind w:left="425" w:hanging="357"/>
    </w:pPr>
    <w:rPr>
      <w:rFonts w:ascii="Times New Roman" w:hAnsi="Times New Roman" w:cs="Times New Roman"/>
    </w:rPr>
  </w:style>
  <w:style w:type="character" w:customStyle="1" w:styleId="BodyTextChar">
    <w:name w:val="Body Text Char"/>
    <w:basedOn w:val="DefaultParagraphFont"/>
    <w:link w:val="BodyText"/>
    <w:uiPriority w:val="99"/>
    <w:locked/>
    <w:rsid w:val="006A1D6E"/>
    <w:rPr>
      <w:rFonts w:eastAsia="Times New Roman" w:cs="Times New Roman"/>
      <w:sz w:val="24"/>
      <w:szCs w:val="24"/>
    </w:rPr>
  </w:style>
  <w:style w:type="character" w:styleId="CommentReference">
    <w:name w:val="annotation reference"/>
    <w:basedOn w:val="DefaultParagraphFont"/>
    <w:rsid w:val="006A1D6E"/>
    <w:rPr>
      <w:rFonts w:cs="Times New Roman"/>
      <w:sz w:val="16"/>
      <w:szCs w:val="16"/>
    </w:rPr>
  </w:style>
  <w:style w:type="paragraph" w:styleId="CommentText">
    <w:name w:val="annotation text"/>
    <w:basedOn w:val="Normal"/>
    <w:link w:val="CommentTextChar"/>
    <w:uiPriority w:val="99"/>
    <w:rsid w:val="006A1D6E"/>
    <w:pPr>
      <w:spacing w:after="200"/>
    </w:pPr>
    <w:rPr>
      <w:rFonts w:cs="Times New Roman"/>
      <w:sz w:val="20"/>
      <w:szCs w:val="20"/>
      <w:lang w:eastAsia="en-US"/>
    </w:rPr>
  </w:style>
  <w:style w:type="character" w:customStyle="1" w:styleId="CommentTextChar">
    <w:name w:val="Comment Text Char"/>
    <w:basedOn w:val="DefaultParagraphFont"/>
    <w:link w:val="CommentText"/>
    <w:uiPriority w:val="99"/>
    <w:locked/>
    <w:rsid w:val="006A1D6E"/>
    <w:rPr>
      <w:rFonts w:ascii="Calibri" w:hAnsi="Calibri" w:cs="Times New Roman"/>
      <w:lang w:eastAsia="en-US"/>
    </w:rPr>
  </w:style>
  <w:style w:type="paragraph" w:styleId="FootnoteText">
    <w:name w:val="footnote text"/>
    <w:aliases w:val="fn,Footnote Text (EKOS),Footnote (EKOS)"/>
    <w:basedOn w:val="Normal"/>
    <w:link w:val="FootnoteTextChar"/>
    <w:uiPriority w:val="99"/>
    <w:rsid w:val="00875C8C"/>
    <w:rPr>
      <w:sz w:val="20"/>
      <w:szCs w:val="20"/>
    </w:rPr>
  </w:style>
  <w:style w:type="character" w:customStyle="1" w:styleId="FootnoteTextChar">
    <w:name w:val="Footnote Text Char"/>
    <w:aliases w:val="fn Char,Footnote Text (EKOS) Char,Footnote (EKOS) Char"/>
    <w:basedOn w:val="DefaultParagraphFont"/>
    <w:link w:val="FootnoteText"/>
    <w:uiPriority w:val="99"/>
    <w:locked/>
    <w:rsid w:val="00875C8C"/>
    <w:rPr>
      <w:rFonts w:ascii="Tahoma" w:hAnsi="Tahoma" w:cs="Tahoma"/>
    </w:rPr>
  </w:style>
  <w:style w:type="character" w:styleId="FootnoteReference">
    <w:name w:val="footnote reference"/>
    <w:basedOn w:val="DefaultParagraphFont"/>
    <w:uiPriority w:val="99"/>
    <w:rsid w:val="00875C8C"/>
    <w:rPr>
      <w:rFonts w:cs="Times New Roman"/>
      <w:vertAlign w:val="superscript"/>
    </w:rPr>
  </w:style>
  <w:style w:type="paragraph" w:styleId="Header">
    <w:name w:val="header"/>
    <w:basedOn w:val="Normal"/>
    <w:link w:val="HeaderChar"/>
    <w:uiPriority w:val="99"/>
    <w:rsid w:val="00E860FD"/>
    <w:pPr>
      <w:tabs>
        <w:tab w:val="center" w:pos="4513"/>
        <w:tab w:val="right" w:pos="9026"/>
      </w:tabs>
      <w:spacing w:after="240"/>
    </w:pPr>
    <w:rPr>
      <w:b/>
      <w:caps/>
      <w:sz w:val="28"/>
    </w:rPr>
  </w:style>
  <w:style w:type="character" w:customStyle="1" w:styleId="HeaderChar">
    <w:name w:val="Header Char"/>
    <w:basedOn w:val="DefaultParagraphFont"/>
    <w:link w:val="Header"/>
    <w:uiPriority w:val="99"/>
    <w:locked/>
    <w:rsid w:val="00E860FD"/>
    <w:rPr>
      <w:rFonts w:ascii="Calibri" w:hAnsi="Calibri" w:cs="Tahoma"/>
      <w:b/>
      <w:caps/>
      <w:sz w:val="28"/>
      <w:szCs w:val="24"/>
    </w:rPr>
  </w:style>
  <w:style w:type="character" w:styleId="PlaceholderText">
    <w:name w:val="Placeholder Text"/>
    <w:basedOn w:val="DefaultParagraphFont"/>
    <w:uiPriority w:val="99"/>
    <w:semiHidden/>
    <w:rsid w:val="00470A1C"/>
    <w:rPr>
      <w:rFonts w:cs="Times New Roman"/>
      <w:color w:val="808080"/>
    </w:rPr>
  </w:style>
  <w:style w:type="paragraph" w:customStyle="1" w:styleId="Pa6">
    <w:name w:val="Pa6"/>
    <w:basedOn w:val="Normal"/>
    <w:next w:val="Normal"/>
    <w:uiPriority w:val="99"/>
    <w:rsid w:val="009E66B1"/>
    <w:pPr>
      <w:autoSpaceDE w:val="0"/>
      <w:autoSpaceDN w:val="0"/>
      <w:adjustRightInd w:val="0"/>
      <w:spacing w:line="241" w:lineRule="atLeast"/>
    </w:pPr>
    <w:rPr>
      <w:rFonts w:ascii="FS Ingrid" w:hAnsi="FS Ingrid" w:cs="Times New Roman"/>
    </w:rPr>
  </w:style>
  <w:style w:type="paragraph" w:customStyle="1" w:styleId="Pa0">
    <w:name w:val="Pa0"/>
    <w:basedOn w:val="Normal"/>
    <w:next w:val="Normal"/>
    <w:uiPriority w:val="99"/>
    <w:rsid w:val="009E66B1"/>
    <w:pPr>
      <w:autoSpaceDE w:val="0"/>
      <w:autoSpaceDN w:val="0"/>
      <w:adjustRightInd w:val="0"/>
      <w:spacing w:line="241" w:lineRule="atLeast"/>
    </w:pPr>
    <w:rPr>
      <w:rFonts w:ascii="FS Ingrid" w:hAnsi="FS Ingrid" w:cs="Times New Roman"/>
    </w:rPr>
  </w:style>
  <w:style w:type="paragraph" w:customStyle="1" w:styleId="Pa1">
    <w:name w:val="Pa1"/>
    <w:basedOn w:val="Normal"/>
    <w:next w:val="Normal"/>
    <w:uiPriority w:val="99"/>
    <w:rsid w:val="009E66B1"/>
    <w:pPr>
      <w:autoSpaceDE w:val="0"/>
      <w:autoSpaceDN w:val="0"/>
      <w:adjustRightInd w:val="0"/>
      <w:spacing w:line="241" w:lineRule="atLeast"/>
    </w:pPr>
    <w:rPr>
      <w:rFonts w:ascii="FS Ingrid" w:hAnsi="FS Ingrid" w:cs="Times New Roman"/>
    </w:rPr>
  </w:style>
  <w:style w:type="paragraph" w:styleId="Title">
    <w:name w:val="Title"/>
    <w:basedOn w:val="Normal"/>
    <w:link w:val="TitleChar"/>
    <w:uiPriority w:val="99"/>
    <w:qFormat/>
    <w:rsid w:val="00B74808"/>
    <w:pPr>
      <w:spacing w:line="480" w:lineRule="auto"/>
      <w:jc w:val="center"/>
    </w:pPr>
    <w:rPr>
      <w:rFonts w:ascii="Times New Roman" w:hAnsi="Times New Roman" w:cs="Times New Roman"/>
      <w:b/>
      <w:bCs/>
      <w:lang w:eastAsia="en-US"/>
    </w:rPr>
  </w:style>
  <w:style w:type="character" w:customStyle="1" w:styleId="TitleChar">
    <w:name w:val="Title Char"/>
    <w:basedOn w:val="DefaultParagraphFont"/>
    <w:link w:val="Title"/>
    <w:uiPriority w:val="99"/>
    <w:locked/>
    <w:rsid w:val="00B74808"/>
    <w:rPr>
      <w:rFonts w:cs="Times New Roman"/>
      <w:b/>
      <w:bCs/>
      <w:sz w:val="24"/>
      <w:szCs w:val="24"/>
      <w:lang w:eastAsia="en-US"/>
    </w:rPr>
  </w:style>
  <w:style w:type="paragraph" w:styleId="NormalWeb">
    <w:name w:val="Normal (Web)"/>
    <w:basedOn w:val="Normal"/>
    <w:uiPriority w:val="99"/>
    <w:rsid w:val="00A420D6"/>
    <w:pPr>
      <w:spacing w:before="100" w:beforeAutospacing="1" w:after="100" w:afterAutospacing="1"/>
    </w:pPr>
    <w:rPr>
      <w:rFonts w:ascii="Times New Roman" w:hAnsi="Times New Roman" w:cs="Times New Roman"/>
    </w:rPr>
  </w:style>
  <w:style w:type="paragraph" w:customStyle="1" w:styleId="msolistparagraph0">
    <w:name w:val="msolistparagraph"/>
    <w:basedOn w:val="Normal"/>
    <w:uiPriority w:val="99"/>
    <w:rsid w:val="00A420D6"/>
    <w:pPr>
      <w:ind w:left="720"/>
    </w:pPr>
    <w:rPr>
      <w:rFonts w:cs="Times New Roman"/>
      <w:szCs w:val="22"/>
    </w:rPr>
  </w:style>
  <w:style w:type="paragraph" w:styleId="EndnoteText">
    <w:name w:val="endnote text"/>
    <w:basedOn w:val="Normal"/>
    <w:link w:val="EndnoteTextChar"/>
    <w:uiPriority w:val="99"/>
    <w:rsid w:val="00A420D6"/>
    <w:pPr>
      <w:ind w:left="425" w:hanging="357"/>
    </w:pPr>
    <w:rPr>
      <w:rFonts w:ascii="Times New Roman" w:hAnsi="Times New Roman" w:cs="Times New Roman"/>
      <w:sz w:val="20"/>
      <w:szCs w:val="20"/>
    </w:rPr>
  </w:style>
  <w:style w:type="character" w:customStyle="1" w:styleId="EndnoteTextChar">
    <w:name w:val="Endnote Text Char"/>
    <w:basedOn w:val="DefaultParagraphFont"/>
    <w:link w:val="EndnoteText"/>
    <w:uiPriority w:val="99"/>
    <w:locked/>
    <w:rsid w:val="00A420D6"/>
    <w:rPr>
      <w:rFonts w:eastAsia="Times New Roman" w:cs="Times New Roman"/>
    </w:rPr>
  </w:style>
  <w:style w:type="character" w:styleId="EndnoteReference">
    <w:name w:val="endnote reference"/>
    <w:basedOn w:val="DefaultParagraphFont"/>
    <w:uiPriority w:val="99"/>
    <w:rsid w:val="00A420D6"/>
    <w:rPr>
      <w:rFonts w:cs="Times New Roman"/>
      <w:vertAlign w:val="superscript"/>
    </w:rPr>
  </w:style>
  <w:style w:type="paragraph" w:styleId="CommentSubject">
    <w:name w:val="annotation subject"/>
    <w:basedOn w:val="CommentText"/>
    <w:next w:val="CommentText"/>
    <w:link w:val="CommentSubjectChar"/>
    <w:uiPriority w:val="99"/>
    <w:rsid w:val="00A420D6"/>
    <w:rPr>
      <w:b/>
      <w:bCs/>
    </w:rPr>
  </w:style>
  <w:style w:type="character" w:customStyle="1" w:styleId="CommentSubjectChar">
    <w:name w:val="Comment Subject Char"/>
    <w:basedOn w:val="CommentTextChar"/>
    <w:link w:val="CommentSubject"/>
    <w:uiPriority w:val="99"/>
    <w:locked/>
    <w:rsid w:val="00A420D6"/>
    <w:rPr>
      <w:rFonts w:ascii="Calibri" w:hAnsi="Calibri" w:cs="Times New Roman"/>
      <w:b/>
      <w:bCs/>
      <w:lang w:eastAsia="en-US"/>
    </w:rPr>
  </w:style>
  <w:style w:type="paragraph" w:styleId="DocumentMap">
    <w:name w:val="Document Map"/>
    <w:basedOn w:val="Normal"/>
    <w:link w:val="DocumentMapChar"/>
    <w:uiPriority w:val="99"/>
    <w:rsid w:val="00A420D6"/>
    <w:rPr>
      <w:sz w:val="16"/>
      <w:szCs w:val="16"/>
      <w:lang w:eastAsia="en-US"/>
    </w:rPr>
  </w:style>
  <w:style w:type="character" w:customStyle="1" w:styleId="DocumentMapChar">
    <w:name w:val="Document Map Char"/>
    <w:basedOn w:val="DefaultParagraphFont"/>
    <w:link w:val="DocumentMap"/>
    <w:uiPriority w:val="99"/>
    <w:locked/>
    <w:rsid w:val="00A420D6"/>
    <w:rPr>
      <w:rFonts w:ascii="Tahoma" w:hAnsi="Tahoma" w:cs="Tahoma"/>
      <w:sz w:val="16"/>
      <w:szCs w:val="16"/>
      <w:lang w:eastAsia="en-US"/>
    </w:rPr>
  </w:style>
  <w:style w:type="character" w:styleId="Emphasis">
    <w:name w:val="Emphasis"/>
    <w:basedOn w:val="DefaultParagraphFont"/>
    <w:uiPriority w:val="99"/>
    <w:qFormat/>
    <w:rsid w:val="00A420D6"/>
    <w:rPr>
      <w:rFonts w:cs="Times New Roman"/>
      <w:i/>
      <w:iCs/>
    </w:rPr>
  </w:style>
  <w:style w:type="paragraph" w:styleId="Revision">
    <w:name w:val="Revision"/>
    <w:hidden/>
    <w:uiPriority w:val="99"/>
    <w:semiHidden/>
    <w:rsid w:val="00FF7F85"/>
    <w:rPr>
      <w:rFonts w:ascii="Tahoma" w:hAnsi="Tahoma" w:cs="Tahoma"/>
      <w:sz w:val="24"/>
      <w:szCs w:val="24"/>
    </w:rPr>
  </w:style>
  <w:style w:type="character" w:customStyle="1" w:styleId="FooterChar1">
    <w:name w:val="Footer Char1"/>
    <w:aliases w:val="Doc Footer Char1"/>
    <w:basedOn w:val="DefaultParagraphFont"/>
    <w:uiPriority w:val="99"/>
    <w:locked/>
    <w:rsid w:val="00B04E32"/>
    <w:rPr>
      <w:rFonts w:ascii="Arial" w:hAnsi="Arial" w:cs="Times New Roman"/>
      <w:sz w:val="24"/>
      <w:szCs w:val="24"/>
      <w:lang w:val="en-GB" w:eastAsia="en-GB" w:bidi="ar-SA"/>
    </w:rPr>
  </w:style>
  <w:style w:type="paragraph" w:customStyle="1" w:styleId="Default1">
    <w:name w:val="Default1"/>
    <w:basedOn w:val="Normal"/>
    <w:next w:val="Normal"/>
    <w:uiPriority w:val="99"/>
    <w:rsid w:val="007631D8"/>
    <w:pPr>
      <w:autoSpaceDE w:val="0"/>
      <w:autoSpaceDN w:val="0"/>
      <w:adjustRightInd w:val="0"/>
    </w:pPr>
    <w:rPr>
      <w:rFonts w:cs="Times New Roman"/>
    </w:rPr>
  </w:style>
  <w:style w:type="paragraph" w:styleId="BodyTextIndent">
    <w:name w:val="Body Text Indent"/>
    <w:basedOn w:val="Normal"/>
    <w:link w:val="BodyTextIndentChar"/>
    <w:uiPriority w:val="99"/>
    <w:locked/>
    <w:rsid w:val="00690713"/>
    <w:pPr>
      <w:spacing w:after="120"/>
      <w:ind w:left="283"/>
    </w:pPr>
  </w:style>
  <w:style w:type="character" w:customStyle="1" w:styleId="BodyTextIndentChar">
    <w:name w:val="Body Text Indent Char"/>
    <w:basedOn w:val="DefaultParagraphFont"/>
    <w:link w:val="BodyTextIndent"/>
    <w:uiPriority w:val="99"/>
    <w:locked/>
    <w:rsid w:val="00067C17"/>
    <w:rPr>
      <w:rFonts w:ascii="Tahoma" w:hAnsi="Tahoma" w:cs="Tahoma"/>
      <w:sz w:val="24"/>
      <w:szCs w:val="24"/>
    </w:rPr>
  </w:style>
  <w:style w:type="paragraph" w:customStyle="1" w:styleId="Body">
    <w:name w:val="Body"/>
    <w:uiPriority w:val="99"/>
    <w:rsid w:val="00A80229"/>
    <w:rPr>
      <w:rFonts w:ascii="Verdana" w:hAnsi="Verdana" w:cs="Verdana"/>
      <w:color w:val="000000"/>
      <w:sz w:val="24"/>
      <w:szCs w:val="24"/>
      <w:u w:color="000000"/>
    </w:rPr>
  </w:style>
  <w:style w:type="paragraph" w:customStyle="1" w:styleId="pharmentry">
    <w:name w:val="pharmentry"/>
    <w:basedOn w:val="Normal"/>
    <w:uiPriority w:val="99"/>
    <w:rsid w:val="00FF1EF5"/>
    <w:pPr>
      <w:spacing w:before="100" w:beforeAutospacing="1" w:after="100" w:afterAutospacing="1"/>
    </w:pPr>
    <w:rPr>
      <w:rFonts w:ascii="Times New Roman" w:hAnsi="Times New Roman" w:cs="Times New Roman"/>
    </w:rPr>
  </w:style>
  <w:style w:type="paragraph" w:customStyle="1" w:styleId="intro">
    <w:name w:val="intro"/>
    <w:basedOn w:val="Normal"/>
    <w:uiPriority w:val="99"/>
    <w:rsid w:val="00571CD7"/>
    <w:pPr>
      <w:spacing w:before="100" w:beforeAutospacing="1" w:after="240"/>
    </w:pPr>
    <w:rPr>
      <w:rFonts w:ascii="Times New Roman" w:hAnsi="Times New Roman" w:cs="Times New Roman"/>
    </w:rPr>
  </w:style>
  <w:style w:type="character" w:customStyle="1" w:styleId="citationauthor">
    <w:name w:val="citation_author"/>
    <w:basedOn w:val="DefaultParagraphFont"/>
    <w:rsid w:val="00571CD7"/>
  </w:style>
  <w:style w:type="character" w:customStyle="1" w:styleId="citationdate">
    <w:name w:val="citation_date"/>
    <w:basedOn w:val="DefaultParagraphFont"/>
    <w:rsid w:val="00571CD7"/>
  </w:style>
  <w:style w:type="character" w:customStyle="1" w:styleId="citationarticletitle">
    <w:name w:val="citation_article_title"/>
    <w:basedOn w:val="DefaultParagraphFont"/>
    <w:rsid w:val="00571CD7"/>
  </w:style>
  <w:style w:type="character" w:customStyle="1" w:styleId="citationjournaltitle">
    <w:name w:val="citation_journal_title"/>
    <w:basedOn w:val="DefaultParagraphFont"/>
    <w:rsid w:val="00571CD7"/>
  </w:style>
  <w:style w:type="character" w:customStyle="1" w:styleId="citationissue">
    <w:name w:val="citation_issue"/>
    <w:basedOn w:val="DefaultParagraphFont"/>
    <w:rsid w:val="00571CD7"/>
  </w:style>
  <w:style w:type="character" w:customStyle="1" w:styleId="citationstartpage">
    <w:name w:val="citation_start_page"/>
    <w:basedOn w:val="DefaultParagraphFont"/>
    <w:rsid w:val="00571CD7"/>
  </w:style>
  <w:style w:type="character" w:customStyle="1" w:styleId="citationdoi">
    <w:name w:val="citation_doi"/>
    <w:basedOn w:val="DefaultParagraphFont"/>
    <w:rsid w:val="00571CD7"/>
  </w:style>
  <w:style w:type="paragraph" w:customStyle="1" w:styleId="CoverSheet">
    <w:name w:val="Cover Sheet"/>
    <w:basedOn w:val="Normal"/>
    <w:uiPriority w:val="99"/>
    <w:rsid w:val="00430F7B"/>
    <w:pPr>
      <w:spacing w:before="120"/>
    </w:pPr>
    <w:rPr>
      <w:rFonts w:ascii="Arial" w:hAnsi="Arial" w:cs="Arial"/>
      <w:szCs w:val="20"/>
      <w:lang w:eastAsia="en-US"/>
    </w:rPr>
  </w:style>
  <w:style w:type="paragraph" w:styleId="Subtitle">
    <w:name w:val="Subtitle"/>
    <w:basedOn w:val="Normal"/>
    <w:link w:val="SubtitleChar"/>
    <w:uiPriority w:val="11"/>
    <w:qFormat/>
    <w:locked/>
    <w:rsid w:val="0005413A"/>
    <w:pPr>
      <w:jc w:val="center"/>
    </w:pPr>
    <w:rPr>
      <w:rFonts w:ascii="Times New Roman" w:eastAsiaTheme="minorHAnsi" w:hAnsi="Times New Roman" w:cs="Times New Roman"/>
      <w:sz w:val="28"/>
      <w:szCs w:val="28"/>
    </w:rPr>
  </w:style>
  <w:style w:type="character" w:customStyle="1" w:styleId="SubtitleChar">
    <w:name w:val="Subtitle Char"/>
    <w:basedOn w:val="DefaultParagraphFont"/>
    <w:link w:val="Subtitle"/>
    <w:uiPriority w:val="11"/>
    <w:rsid w:val="0005413A"/>
    <w:rPr>
      <w:rFonts w:eastAsiaTheme="minorHAnsi"/>
      <w:sz w:val="28"/>
      <w:szCs w:val="28"/>
    </w:rPr>
  </w:style>
  <w:style w:type="paragraph" w:customStyle="1" w:styleId="Pa13">
    <w:name w:val="Pa13"/>
    <w:basedOn w:val="Normal"/>
    <w:next w:val="Normal"/>
    <w:uiPriority w:val="99"/>
    <w:rsid w:val="00487375"/>
    <w:pPr>
      <w:autoSpaceDE w:val="0"/>
      <w:autoSpaceDN w:val="0"/>
      <w:adjustRightInd w:val="0"/>
      <w:spacing w:line="241" w:lineRule="atLeast"/>
    </w:pPr>
    <w:rPr>
      <w:rFonts w:ascii="Frutiger LT Std 45 Light" w:hAnsi="Frutiger LT Std 45 Light" w:cs="Times New Roman"/>
    </w:rPr>
  </w:style>
  <w:style w:type="table" w:styleId="MediumShading2-Accent2">
    <w:name w:val="Medium Shading 2 Accent 2"/>
    <w:basedOn w:val="TableNormal"/>
    <w:uiPriority w:val="64"/>
    <w:rsid w:val="00A845F3"/>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A845F3"/>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11">
    <w:name w:val="Medium Shading 2 - Accent 11"/>
    <w:basedOn w:val="TableNormal"/>
    <w:uiPriority w:val="64"/>
    <w:rsid w:val="00A845F3"/>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List-Accent4">
    <w:name w:val="Light List Accent 4"/>
    <w:basedOn w:val="TableNormal"/>
    <w:uiPriority w:val="61"/>
    <w:rsid w:val="00A845F3"/>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A845F3"/>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Shading-Accent5">
    <w:name w:val="Light Shading Accent 5"/>
    <w:basedOn w:val="TableNormal"/>
    <w:uiPriority w:val="60"/>
    <w:rsid w:val="003350AE"/>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3">
    <w:name w:val="Light Shading Accent 3"/>
    <w:basedOn w:val="TableNormal"/>
    <w:uiPriority w:val="60"/>
    <w:rsid w:val="00C1113A"/>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styleId="TOC1">
    <w:name w:val="toc 1"/>
    <w:basedOn w:val="Normal"/>
    <w:next w:val="Normal"/>
    <w:autoRedefine/>
    <w:uiPriority w:val="39"/>
    <w:rsid w:val="00124FEC"/>
    <w:pPr>
      <w:spacing w:before="360" w:after="360"/>
      <w:jc w:val="left"/>
    </w:pPr>
    <w:rPr>
      <w:rFonts w:asciiTheme="minorHAnsi" w:hAnsiTheme="minorHAnsi"/>
      <w:b/>
      <w:bCs/>
      <w:caps/>
      <w:szCs w:val="22"/>
      <w:u w:val="single"/>
    </w:rPr>
  </w:style>
  <w:style w:type="paragraph" w:styleId="TOC2">
    <w:name w:val="toc 2"/>
    <w:basedOn w:val="Normal"/>
    <w:next w:val="Normal"/>
    <w:autoRedefine/>
    <w:uiPriority w:val="39"/>
    <w:rsid w:val="00124FEC"/>
    <w:pPr>
      <w:jc w:val="left"/>
    </w:pPr>
    <w:rPr>
      <w:rFonts w:asciiTheme="minorHAnsi" w:hAnsiTheme="minorHAnsi"/>
      <w:b/>
      <w:bCs/>
      <w:smallCaps/>
      <w:szCs w:val="22"/>
    </w:rPr>
  </w:style>
  <w:style w:type="paragraph" w:styleId="TOC3">
    <w:name w:val="toc 3"/>
    <w:basedOn w:val="Normal"/>
    <w:next w:val="Normal"/>
    <w:autoRedefine/>
    <w:uiPriority w:val="39"/>
    <w:rsid w:val="006B31E5"/>
    <w:pPr>
      <w:jc w:val="left"/>
    </w:pPr>
    <w:rPr>
      <w:rFonts w:asciiTheme="minorHAnsi" w:hAnsiTheme="minorHAnsi"/>
      <w:smallCaps/>
      <w:szCs w:val="22"/>
    </w:rPr>
  </w:style>
  <w:style w:type="table" w:customStyle="1" w:styleId="LightShading-Accent11">
    <w:name w:val="Light Shading - Accent 11"/>
    <w:basedOn w:val="TableNormal"/>
    <w:uiPriority w:val="60"/>
    <w:rsid w:val="00A47574"/>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List-Accent11">
    <w:name w:val="Light List - Accent 11"/>
    <w:basedOn w:val="TableNormal"/>
    <w:uiPriority w:val="61"/>
    <w:rsid w:val="000266DB"/>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MediumGrid3-Accent5">
    <w:name w:val="Medium Grid 3 Accent 5"/>
    <w:basedOn w:val="TableNormal"/>
    <w:uiPriority w:val="69"/>
    <w:rsid w:val="00750A6B"/>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ColorfulGrid-Accent5">
    <w:name w:val="Colorful Grid Accent 5"/>
    <w:basedOn w:val="TableNormal"/>
    <w:uiPriority w:val="73"/>
    <w:rsid w:val="00750A6B"/>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Shading1-Accent5">
    <w:name w:val="Medium Shading 1 Accent 5"/>
    <w:basedOn w:val="TableNormal"/>
    <w:uiPriority w:val="63"/>
    <w:rsid w:val="00750A6B"/>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ColorfulShading-Accent5">
    <w:name w:val="Colorful Shading Accent 5"/>
    <w:basedOn w:val="TableNormal"/>
    <w:uiPriority w:val="71"/>
    <w:rsid w:val="00750A6B"/>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MediumGrid1-Accent5">
    <w:name w:val="Medium Grid 1 Accent 5"/>
    <w:basedOn w:val="TableNormal"/>
    <w:uiPriority w:val="67"/>
    <w:rsid w:val="00750A6B"/>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customStyle="1" w:styleId="LightShading-Accent12">
    <w:name w:val="Light Shading - Accent 12"/>
    <w:basedOn w:val="TableNormal"/>
    <w:uiPriority w:val="60"/>
    <w:rsid w:val="00CA04DB"/>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Grid-Accent11">
    <w:name w:val="Light Grid - Accent 11"/>
    <w:basedOn w:val="TableNormal"/>
    <w:uiPriority w:val="62"/>
    <w:rsid w:val="00504ECC"/>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MediumShading1-Accent3">
    <w:name w:val="Medium Shading 1 Accent 3"/>
    <w:basedOn w:val="TableNormal"/>
    <w:uiPriority w:val="63"/>
    <w:rsid w:val="00460CDE"/>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TableWeb3">
    <w:name w:val="Table Web 3"/>
    <w:basedOn w:val="TableNormal"/>
    <w:locked/>
    <w:rsid w:val="00CD582F"/>
    <w:rPr>
      <w:rFonts w:ascii="Verdana" w:hAnsi="Verdana"/>
      <w:sz w:val="24"/>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DarkList-Accent3">
    <w:name w:val="Dark List Accent 3"/>
    <w:basedOn w:val="TableNormal"/>
    <w:uiPriority w:val="70"/>
    <w:rsid w:val="001E1BE4"/>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paragraph" w:customStyle="1" w:styleId="msonospacing0">
    <w:name w:val="msonospacing"/>
    <w:uiPriority w:val="99"/>
    <w:rsid w:val="00C5689C"/>
    <w:rPr>
      <w:rFonts w:ascii="Calibri" w:hAnsi="Calibri"/>
      <w:lang w:eastAsia="en-US"/>
    </w:rPr>
  </w:style>
  <w:style w:type="table" w:customStyle="1" w:styleId="LightGrid-Accent12">
    <w:name w:val="Light Grid - Accent 12"/>
    <w:basedOn w:val="TableNormal"/>
    <w:uiPriority w:val="62"/>
    <w:rsid w:val="003538BF"/>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ColorfulGrid-Accent1">
    <w:name w:val="Colorful Grid Accent 1"/>
    <w:basedOn w:val="TableNormal"/>
    <w:uiPriority w:val="73"/>
    <w:rsid w:val="001115EE"/>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LightList-Accent12">
    <w:name w:val="Light List - Accent 12"/>
    <w:basedOn w:val="TableNormal"/>
    <w:uiPriority w:val="61"/>
    <w:rsid w:val="00E20655"/>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DarkList-Accent1">
    <w:name w:val="Dark List Accent 1"/>
    <w:basedOn w:val="TableNormal"/>
    <w:uiPriority w:val="70"/>
    <w:rsid w:val="005B2A60"/>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6">
    <w:name w:val="Dark List Accent 6"/>
    <w:basedOn w:val="TableNormal"/>
    <w:uiPriority w:val="70"/>
    <w:rsid w:val="001116AF"/>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Accent3">
    <w:name w:val="Colorful Shading Accent 3"/>
    <w:basedOn w:val="TableNormal"/>
    <w:uiPriority w:val="71"/>
    <w:rsid w:val="00E35235"/>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paragraph" w:styleId="NoSpacing">
    <w:name w:val="No Spacing"/>
    <w:uiPriority w:val="1"/>
    <w:qFormat/>
    <w:rsid w:val="008A5E3F"/>
    <w:rPr>
      <w:rFonts w:ascii="Calibri" w:hAnsi="Calibri"/>
      <w:lang w:eastAsia="en-US"/>
    </w:rPr>
  </w:style>
  <w:style w:type="paragraph" w:customStyle="1" w:styleId="yiv9304505675msonormal">
    <w:name w:val="yiv9304505675msonormal"/>
    <w:basedOn w:val="Normal"/>
    <w:uiPriority w:val="99"/>
    <w:rsid w:val="00A60070"/>
    <w:pPr>
      <w:spacing w:before="100" w:beforeAutospacing="1" w:after="100" w:afterAutospacing="1"/>
    </w:pPr>
    <w:rPr>
      <w:rFonts w:ascii="Times New Roman" w:hAnsi="Times New Roman" w:cs="Times New Roman"/>
    </w:rPr>
  </w:style>
  <w:style w:type="table" w:customStyle="1" w:styleId="LightGrid1">
    <w:name w:val="Light Grid1"/>
    <w:basedOn w:val="TableNormal"/>
    <w:uiPriority w:val="62"/>
    <w:rsid w:val="00E666E0"/>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CM18">
    <w:name w:val="CM18"/>
    <w:basedOn w:val="Default"/>
    <w:next w:val="Default"/>
    <w:uiPriority w:val="99"/>
    <w:rsid w:val="00B33A9B"/>
    <w:pPr>
      <w:widowControl w:val="0"/>
    </w:pPr>
    <w:rPr>
      <w:rFonts w:ascii="Helvetica" w:hAnsi="Helvetica" w:cs="Times New Roman"/>
      <w:color w:val="auto"/>
    </w:rPr>
  </w:style>
  <w:style w:type="paragraph" w:styleId="PlainText">
    <w:name w:val="Plain Text"/>
    <w:basedOn w:val="Normal"/>
    <w:link w:val="PlainTextChar"/>
    <w:uiPriority w:val="99"/>
    <w:locked/>
    <w:rsid w:val="00A96DB5"/>
    <w:rPr>
      <w:rFonts w:ascii="Consolas" w:hAnsi="Consolas" w:cs="Times New Roman"/>
      <w:sz w:val="21"/>
      <w:szCs w:val="21"/>
    </w:rPr>
  </w:style>
  <w:style w:type="character" w:customStyle="1" w:styleId="PlainTextChar">
    <w:name w:val="Plain Text Char"/>
    <w:basedOn w:val="DefaultParagraphFont"/>
    <w:link w:val="PlainText"/>
    <w:uiPriority w:val="99"/>
    <w:rsid w:val="00A96DB5"/>
    <w:rPr>
      <w:rFonts w:ascii="Consolas" w:hAnsi="Consolas"/>
      <w:sz w:val="21"/>
      <w:szCs w:val="21"/>
    </w:rPr>
  </w:style>
  <w:style w:type="paragraph" w:customStyle="1" w:styleId="BodyA">
    <w:name w:val="Body A"/>
    <w:uiPriority w:val="99"/>
    <w:rsid w:val="004A400D"/>
    <w:pPr>
      <w:pBdr>
        <w:top w:val="nil"/>
        <w:left w:val="nil"/>
        <w:bottom w:val="nil"/>
        <w:right w:val="nil"/>
        <w:between w:val="nil"/>
        <w:bar w:val="nil"/>
      </w:pBdr>
    </w:pPr>
    <w:rPr>
      <w:rFonts w:eastAsia="Arial Unicode MS" w:hAnsi="Arial Unicode MS" w:cs="Arial Unicode MS"/>
      <w:color w:val="000000"/>
      <w:sz w:val="24"/>
      <w:szCs w:val="24"/>
      <w:u w:color="000000"/>
      <w:bdr w:val="nil"/>
      <w:lang w:val="en-US"/>
    </w:rPr>
  </w:style>
  <w:style w:type="paragraph" w:customStyle="1" w:styleId="StyleHeaderNotBold">
    <w:name w:val="Style Header + Not Bold"/>
    <w:basedOn w:val="Header"/>
    <w:uiPriority w:val="99"/>
    <w:rsid w:val="003D425B"/>
  </w:style>
  <w:style w:type="paragraph" w:styleId="TOCHeading">
    <w:name w:val="TOC Heading"/>
    <w:basedOn w:val="Heading1"/>
    <w:next w:val="Normal"/>
    <w:uiPriority w:val="39"/>
    <w:semiHidden/>
    <w:unhideWhenUsed/>
    <w:qFormat/>
    <w:rsid w:val="001A391A"/>
    <w:pPr>
      <w:keepLines/>
      <w:numPr>
        <w:numId w:val="0"/>
      </w:numPr>
      <w:tabs>
        <w:tab w:val="clear" w:pos="1134"/>
      </w:tabs>
      <w:spacing w:before="480" w:after="0" w:line="276" w:lineRule="auto"/>
      <w:outlineLvl w:val="9"/>
    </w:pPr>
    <w:rPr>
      <w:rFonts w:asciiTheme="majorHAnsi" w:eastAsiaTheme="majorEastAsia" w:hAnsiTheme="majorHAnsi" w:cstheme="majorBidi"/>
      <w:caps w:val="0"/>
      <w:color w:val="365F91" w:themeColor="accent1" w:themeShade="BF"/>
      <w:kern w:val="0"/>
      <w:szCs w:val="28"/>
      <w:lang w:val="en-US"/>
    </w:rPr>
  </w:style>
  <w:style w:type="paragraph" w:styleId="TOC4">
    <w:name w:val="toc 4"/>
    <w:basedOn w:val="Normal"/>
    <w:next w:val="Normal"/>
    <w:autoRedefine/>
    <w:uiPriority w:val="39"/>
    <w:unhideWhenUsed/>
    <w:rsid w:val="00786192"/>
    <w:pPr>
      <w:jc w:val="left"/>
    </w:pPr>
    <w:rPr>
      <w:rFonts w:asciiTheme="minorHAnsi" w:hAnsiTheme="minorHAnsi"/>
      <w:szCs w:val="22"/>
    </w:rPr>
  </w:style>
  <w:style w:type="paragraph" w:styleId="TOC5">
    <w:name w:val="toc 5"/>
    <w:basedOn w:val="Normal"/>
    <w:next w:val="Normal"/>
    <w:autoRedefine/>
    <w:uiPriority w:val="39"/>
    <w:unhideWhenUsed/>
    <w:rsid w:val="001A391A"/>
    <w:pPr>
      <w:jc w:val="left"/>
    </w:pPr>
    <w:rPr>
      <w:rFonts w:asciiTheme="minorHAnsi" w:hAnsiTheme="minorHAnsi"/>
      <w:szCs w:val="22"/>
    </w:rPr>
  </w:style>
  <w:style w:type="paragraph" w:styleId="TOC6">
    <w:name w:val="toc 6"/>
    <w:basedOn w:val="Normal"/>
    <w:next w:val="Normal"/>
    <w:autoRedefine/>
    <w:uiPriority w:val="39"/>
    <w:unhideWhenUsed/>
    <w:rsid w:val="001A391A"/>
    <w:pPr>
      <w:jc w:val="left"/>
    </w:pPr>
    <w:rPr>
      <w:rFonts w:asciiTheme="minorHAnsi" w:hAnsiTheme="minorHAnsi"/>
      <w:szCs w:val="22"/>
    </w:rPr>
  </w:style>
  <w:style w:type="paragraph" w:styleId="TOC7">
    <w:name w:val="toc 7"/>
    <w:basedOn w:val="Normal"/>
    <w:next w:val="Normal"/>
    <w:autoRedefine/>
    <w:uiPriority w:val="39"/>
    <w:unhideWhenUsed/>
    <w:rsid w:val="001A391A"/>
    <w:pPr>
      <w:jc w:val="left"/>
    </w:pPr>
    <w:rPr>
      <w:rFonts w:asciiTheme="minorHAnsi" w:hAnsiTheme="minorHAnsi"/>
      <w:szCs w:val="22"/>
    </w:rPr>
  </w:style>
  <w:style w:type="paragraph" w:styleId="TOC8">
    <w:name w:val="toc 8"/>
    <w:basedOn w:val="Normal"/>
    <w:next w:val="Normal"/>
    <w:autoRedefine/>
    <w:uiPriority w:val="39"/>
    <w:unhideWhenUsed/>
    <w:rsid w:val="001A391A"/>
    <w:pPr>
      <w:jc w:val="left"/>
    </w:pPr>
    <w:rPr>
      <w:rFonts w:asciiTheme="minorHAnsi" w:hAnsiTheme="minorHAnsi"/>
      <w:szCs w:val="22"/>
    </w:rPr>
  </w:style>
  <w:style w:type="paragraph" w:styleId="TOC9">
    <w:name w:val="toc 9"/>
    <w:basedOn w:val="Normal"/>
    <w:next w:val="Normal"/>
    <w:autoRedefine/>
    <w:uiPriority w:val="39"/>
    <w:unhideWhenUsed/>
    <w:rsid w:val="001A391A"/>
    <w:pPr>
      <w:jc w:val="left"/>
    </w:pPr>
    <w:rPr>
      <w:rFonts w:asciiTheme="minorHAnsi" w:hAnsiTheme="minorHAnsi"/>
      <w:szCs w:val="22"/>
    </w:rPr>
  </w:style>
  <w:style w:type="character" w:customStyle="1" w:styleId="st1">
    <w:name w:val="st1"/>
    <w:basedOn w:val="DefaultParagraphFont"/>
    <w:rsid w:val="005822D3"/>
  </w:style>
  <w:style w:type="table" w:customStyle="1" w:styleId="GridTable4-Accent51">
    <w:name w:val="Grid Table 4 - Accent 51"/>
    <w:basedOn w:val="TableNormal"/>
    <w:uiPriority w:val="49"/>
    <w:rsid w:val="00801B24"/>
    <w:rPr>
      <w:rFonts w:asciiTheme="minorHAnsi" w:eastAsiaTheme="minorHAnsi" w:hAnsiTheme="minorHAnsi" w:cstheme="minorBidi"/>
      <w:lang w:eastAsia="en-US"/>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character" w:customStyle="1" w:styleId="apple-converted-space">
    <w:name w:val="apple-converted-space"/>
    <w:basedOn w:val="DefaultParagraphFont"/>
    <w:rsid w:val="00753157"/>
  </w:style>
  <w:style w:type="paragraph" w:customStyle="1" w:styleId="IPCBullet1">
    <w:name w:val="IPC Bullet 1"/>
    <w:basedOn w:val="Normal"/>
    <w:uiPriority w:val="99"/>
    <w:qFormat/>
    <w:rsid w:val="00CF74C9"/>
    <w:pPr>
      <w:numPr>
        <w:numId w:val="3"/>
      </w:numPr>
      <w:tabs>
        <w:tab w:val="left" w:pos="426"/>
      </w:tabs>
      <w:spacing w:after="60"/>
      <w:ind w:left="425" w:hanging="425"/>
      <w:jc w:val="left"/>
    </w:pPr>
    <w:rPr>
      <w:rFonts w:ascii="Arial" w:hAnsi="Arial" w:cs="Helvetica"/>
      <w:lang w:eastAsia="en-US"/>
    </w:rPr>
  </w:style>
  <w:style w:type="paragraph" w:customStyle="1" w:styleId="rtecenter">
    <w:name w:val="rtecenter"/>
    <w:basedOn w:val="Normal"/>
    <w:uiPriority w:val="99"/>
    <w:rsid w:val="00476953"/>
    <w:pPr>
      <w:spacing w:line="172" w:lineRule="atLeast"/>
      <w:jc w:val="center"/>
      <w:textAlignment w:val="baseline"/>
    </w:pPr>
    <w:rPr>
      <w:rFonts w:ascii="Arial" w:hAnsi="Arial" w:cs="Arial"/>
      <w:color w:val="666666"/>
      <w:sz w:val="14"/>
      <w:szCs w:val="14"/>
    </w:rPr>
  </w:style>
  <w:style w:type="paragraph" w:customStyle="1" w:styleId="western">
    <w:name w:val="western"/>
    <w:basedOn w:val="Normal"/>
    <w:uiPriority w:val="99"/>
    <w:rsid w:val="005E4BD6"/>
    <w:pPr>
      <w:spacing w:before="100" w:beforeAutospacing="1" w:after="142" w:line="288" w:lineRule="auto"/>
      <w:jc w:val="left"/>
    </w:pPr>
    <w:rPr>
      <w:rFonts w:ascii="Times New Roman" w:eastAsiaTheme="minorHAnsi" w:hAnsi="Times New Roman" w:cs="Times New Roman"/>
      <w:lang w:val="en-US" w:eastAsia="en-US"/>
    </w:rPr>
  </w:style>
  <w:style w:type="paragraph" w:customStyle="1" w:styleId="NormaBullet">
    <w:name w:val="Norma (Bullet)"/>
    <w:basedOn w:val="ListParagraph"/>
    <w:qFormat/>
    <w:rsid w:val="002C6A38"/>
    <w:pPr>
      <w:numPr>
        <w:numId w:val="5"/>
      </w:numPr>
      <w:contextualSpacing w:val="0"/>
    </w:pPr>
  </w:style>
  <w:style w:type="paragraph" w:customStyle="1" w:styleId="NormaBulletIndent">
    <w:name w:val="Norma (Bullet Indent)"/>
    <w:basedOn w:val="Normal"/>
    <w:uiPriority w:val="99"/>
    <w:qFormat/>
    <w:rsid w:val="001B4071"/>
    <w:pPr>
      <w:numPr>
        <w:numId w:val="6"/>
      </w:numPr>
    </w:pPr>
  </w:style>
  <w:style w:type="paragraph" w:customStyle="1" w:styleId="WordDefaultStyleA">
    <w:name w:val="Word Default Style A"/>
    <w:uiPriority w:val="99"/>
    <w:rsid w:val="00C53714"/>
    <w:rPr>
      <w:rFonts w:eastAsia="Arial Unicode MS" w:cs="Arial Unicode MS"/>
      <w:color w:val="000000"/>
      <w:sz w:val="24"/>
      <w:szCs w:val="24"/>
      <w:u w:color="000000"/>
      <w:lang w:val="en-US" w:eastAsia="en-US"/>
    </w:rPr>
  </w:style>
  <w:style w:type="paragraph" w:styleId="Caption">
    <w:name w:val="caption"/>
    <w:basedOn w:val="Normal"/>
    <w:next w:val="Normal"/>
    <w:uiPriority w:val="35"/>
    <w:unhideWhenUsed/>
    <w:qFormat/>
    <w:locked/>
    <w:rsid w:val="0039551D"/>
    <w:pPr>
      <w:spacing w:after="200"/>
      <w:jc w:val="left"/>
    </w:pPr>
    <w:rPr>
      <w:rFonts w:eastAsiaTheme="minorHAnsi" w:cstheme="minorBidi"/>
      <w:b/>
      <w:bCs/>
      <w:color w:val="4F81BD" w:themeColor="accent1"/>
      <w:sz w:val="18"/>
      <w:szCs w:val="18"/>
      <w:lang w:val="en-US" w:eastAsia="en-US"/>
    </w:rPr>
  </w:style>
  <w:style w:type="paragraph" w:customStyle="1" w:styleId="NormalBullet">
    <w:name w:val="Normal (Bullet)"/>
    <w:basedOn w:val="ListParagraph"/>
    <w:uiPriority w:val="99"/>
    <w:qFormat/>
    <w:rsid w:val="0039551D"/>
    <w:pPr>
      <w:numPr>
        <w:numId w:val="7"/>
      </w:numPr>
      <w:ind w:left="357" w:hanging="357"/>
    </w:pPr>
    <w:rPr>
      <w:rFonts w:cs="Times New Roman"/>
    </w:rPr>
  </w:style>
  <w:style w:type="character" w:customStyle="1" w:styleId="A7">
    <w:name w:val="A7"/>
    <w:uiPriority w:val="99"/>
    <w:rsid w:val="00F41F43"/>
    <w:rPr>
      <w:rFonts w:cs="Neo Sans Std"/>
      <w:color w:val="000000"/>
      <w:sz w:val="18"/>
      <w:szCs w:val="18"/>
    </w:rPr>
  </w:style>
  <w:style w:type="table" w:styleId="TableGridLight">
    <w:name w:val="Grid Table Light"/>
    <w:basedOn w:val="TableNormal"/>
    <w:uiPriority w:val="40"/>
    <w:rsid w:val="00527F3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Italictext">
    <w:name w:val="Italic text"/>
    <w:uiPriority w:val="99"/>
    <w:rsid w:val="009A3910"/>
    <w:rPr>
      <w:rFonts w:ascii="HelveticaNeue-Italic" w:hAnsi="HelveticaNeue-Italic" w:cs="HelveticaNeue-Italic"/>
      <w:i/>
      <w:iCs/>
      <w:color w:val="000000"/>
      <w:spacing w:val="0"/>
      <w:sz w:val="24"/>
      <w:szCs w:val="24"/>
      <w:u w:val="none"/>
      <w:vertAlign w:val="baseline"/>
    </w:rPr>
  </w:style>
  <w:style w:type="table" w:customStyle="1" w:styleId="TableGrid1">
    <w:name w:val="Table Grid1"/>
    <w:basedOn w:val="TableNormal"/>
    <w:next w:val="TableGrid"/>
    <w:rsid w:val="00D50FA6"/>
    <w:rPr>
      <w:rFonts w:ascii="Verdana" w:hAnsi="Verdana"/>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rsid w:val="00D50FA6"/>
    <w:rPr>
      <w:rFonts w:ascii="Verdana" w:hAnsi="Verdana"/>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BulletIndent">
    <w:name w:val="Normal (Bullet Indent)"/>
    <w:basedOn w:val="ListParagraph"/>
    <w:qFormat/>
    <w:rsid w:val="00BF78FD"/>
    <w:pPr>
      <w:numPr>
        <w:numId w:val="9"/>
      </w:numPr>
      <w:ind w:left="714" w:hanging="357"/>
    </w:pPr>
    <w:rPr>
      <w:rFonts w:cs="Arial"/>
    </w:rPr>
  </w:style>
  <w:style w:type="character" w:styleId="SubtleReference">
    <w:name w:val="Subtle Reference"/>
    <w:basedOn w:val="DefaultParagraphFont"/>
    <w:uiPriority w:val="31"/>
    <w:qFormat/>
    <w:rsid w:val="00536897"/>
    <w:rPr>
      <w:smallCaps/>
      <w:color w:val="5A5A5A" w:themeColor="text1" w:themeTint="A5"/>
    </w:rPr>
  </w:style>
  <w:style w:type="character" w:customStyle="1" w:styleId="FootnoteTextChar1">
    <w:name w:val="Footnote Text Char1"/>
    <w:aliases w:val="fn Char1,Footnote Text (EKOS) Char1,Footnote (EKOS) Char1"/>
    <w:basedOn w:val="DefaultParagraphFont"/>
    <w:uiPriority w:val="99"/>
    <w:semiHidden/>
    <w:rsid w:val="00BF6074"/>
    <w:rPr>
      <w:rFonts w:ascii="Calibri" w:eastAsia="Times New Roman" w:hAnsi="Calibri" w:cs="Tahoma"/>
      <w:sz w:val="20"/>
      <w:szCs w:val="20"/>
      <w:lang w:val="en-GB" w:eastAsia="en-GB"/>
    </w:rPr>
  </w:style>
  <w:style w:type="table" w:customStyle="1" w:styleId="TableGridLight1">
    <w:name w:val="Table Grid Light1"/>
    <w:basedOn w:val="TableNormal"/>
    <w:uiPriority w:val="40"/>
    <w:rsid w:val="00BF607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StyleHeading2PatternClearAccent2">
    <w:name w:val="Style Heading 2 + Pattern: Clear (Accent 2)"/>
    <w:basedOn w:val="Heading2"/>
    <w:rsid w:val="0073562C"/>
    <w:pPr>
      <w:shd w:val="clear" w:color="auto" w:fill="D99594" w:themeFill="accent2" w:themeFillTint="99"/>
    </w:pPr>
    <w:rPr>
      <w:rFonts w:cs="Times New Roman"/>
      <w:iCs w:val="0"/>
      <w:szCs w:val="20"/>
    </w:rPr>
  </w:style>
  <w:style w:type="character" w:customStyle="1" w:styleId="A4">
    <w:name w:val="A4"/>
    <w:uiPriority w:val="99"/>
    <w:rsid w:val="00095F39"/>
    <w:rPr>
      <w:color w:val="000000"/>
      <w:sz w:val="79"/>
    </w:rPr>
  </w:style>
  <w:style w:type="table" w:customStyle="1" w:styleId="TableGrid3">
    <w:name w:val="Table Grid3"/>
    <w:basedOn w:val="TableNormal"/>
    <w:next w:val="TableGrid"/>
    <w:uiPriority w:val="39"/>
    <w:rsid w:val="000227C6"/>
    <w:pPr>
      <w:jc w:val="center"/>
    </w:pPr>
    <w:rPr>
      <w:rFonts w:ascii="Verdana" w:eastAsiaTheme="minorHAnsi" w:hAnsi="Verdana"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NormaBullet11pt">
    <w:name w:val="Style Norma (Bullet) + 11 pt"/>
    <w:basedOn w:val="NormaBullet"/>
    <w:rsid w:val="00BF78FD"/>
  </w:style>
  <w:style w:type="paragraph" w:customStyle="1" w:styleId="Pa5">
    <w:name w:val="Pa5"/>
    <w:basedOn w:val="Normal"/>
    <w:next w:val="Normal"/>
    <w:uiPriority w:val="99"/>
    <w:rsid w:val="00D852F5"/>
    <w:pPr>
      <w:autoSpaceDE w:val="0"/>
      <w:autoSpaceDN w:val="0"/>
      <w:adjustRightInd w:val="0"/>
      <w:spacing w:line="201" w:lineRule="atLeast"/>
      <w:jc w:val="left"/>
    </w:pPr>
    <w:rPr>
      <w:rFonts w:ascii="Metronic Slab Pro Regular" w:eastAsiaTheme="minorHAnsi" w:hAnsi="Metronic Slab Pro Regular" w:cstheme="minorBidi"/>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7448">
      <w:bodyDiv w:val="1"/>
      <w:marLeft w:val="0"/>
      <w:marRight w:val="0"/>
      <w:marTop w:val="0"/>
      <w:marBottom w:val="0"/>
      <w:divBdr>
        <w:top w:val="none" w:sz="0" w:space="0" w:color="auto"/>
        <w:left w:val="none" w:sz="0" w:space="0" w:color="auto"/>
        <w:bottom w:val="none" w:sz="0" w:space="0" w:color="auto"/>
        <w:right w:val="none" w:sz="0" w:space="0" w:color="auto"/>
      </w:divBdr>
    </w:div>
    <w:div w:id="8412898">
      <w:bodyDiv w:val="1"/>
      <w:marLeft w:val="0"/>
      <w:marRight w:val="0"/>
      <w:marTop w:val="0"/>
      <w:marBottom w:val="0"/>
      <w:divBdr>
        <w:top w:val="none" w:sz="0" w:space="0" w:color="auto"/>
        <w:left w:val="none" w:sz="0" w:space="0" w:color="auto"/>
        <w:bottom w:val="none" w:sz="0" w:space="0" w:color="auto"/>
        <w:right w:val="none" w:sz="0" w:space="0" w:color="auto"/>
      </w:divBdr>
    </w:div>
    <w:div w:id="9988111">
      <w:bodyDiv w:val="1"/>
      <w:marLeft w:val="0"/>
      <w:marRight w:val="0"/>
      <w:marTop w:val="0"/>
      <w:marBottom w:val="0"/>
      <w:divBdr>
        <w:top w:val="none" w:sz="0" w:space="0" w:color="auto"/>
        <w:left w:val="none" w:sz="0" w:space="0" w:color="auto"/>
        <w:bottom w:val="none" w:sz="0" w:space="0" w:color="auto"/>
        <w:right w:val="none" w:sz="0" w:space="0" w:color="auto"/>
      </w:divBdr>
    </w:div>
    <w:div w:id="10885932">
      <w:bodyDiv w:val="1"/>
      <w:marLeft w:val="0"/>
      <w:marRight w:val="0"/>
      <w:marTop w:val="0"/>
      <w:marBottom w:val="0"/>
      <w:divBdr>
        <w:top w:val="none" w:sz="0" w:space="0" w:color="auto"/>
        <w:left w:val="none" w:sz="0" w:space="0" w:color="auto"/>
        <w:bottom w:val="none" w:sz="0" w:space="0" w:color="auto"/>
        <w:right w:val="none" w:sz="0" w:space="0" w:color="auto"/>
      </w:divBdr>
    </w:div>
    <w:div w:id="45957642">
      <w:bodyDiv w:val="1"/>
      <w:marLeft w:val="0"/>
      <w:marRight w:val="0"/>
      <w:marTop w:val="0"/>
      <w:marBottom w:val="0"/>
      <w:divBdr>
        <w:top w:val="none" w:sz="0" w:space="0" w:color="auto"/>
        <w:left w:val="none" w:sz="0" w:space="0" w:color="auto"/>
        <w:bottom w:val="none" w:sz="0" w:space="0" w:color="auto"/>
        <w:right w:val="none" w:sz="0" w:space="0" w:color="auto"/>
      </w:divBdr>
    </w:div>
    <w:div w:id="75589874">
      <w:bodyDiv w:val="1"/>
      <w:marLeft w:val="0"/>
      <w:marRight w:val="0"/>
      <w:marTop w:val="0"/>
      <w:marBottom w:val="0"/>
      <w:divBdr>
        <w:top w:val="none" w:sz="0" w:space="0" w:color="auto"/>
        <w:left w:val="none" w:sz="0" w:space="0" w:color="auto"/>
        <w:bottom w:val="none" w:sz="0" w:space="0" w:color="auto"/>
        <w:right w:val="none" w:sz="0" w:space="0" w:color="auto"/>
      </w:divBdr>
    </w:div>
    <w:div w:id="80417848">
      <w:bodyDiv w:val="1"/>
      <w:marLeft w:val="0"/>
      <w:marRight w:val="0"/>
      <w:marTop w:val="0"/>
      <w:marBottom w:val="0"/>
      <w:divBdr>
        <w:top w:val="none" w:sz="0" w:space="0" w:color="auto"/>
        <w:left w:val="none" w:sz="0" w:space="0" w:color="auto"/>
        <w:bottom w:val="none" w:sz="0" w:space="0" w:color="auto"/>
        <w:right w:val="none" w:sz="0" w:space="0" w:color="auto"/>
      </w:divBdr>
    </w:div>
    <w:div w:id="92216158">
      <w:bodyDiv w:val="1"/>
      <w:marLeft w:val="0"/>
      <w:marRight w:val="0"/>
      <w:marTop w:val="0"/>
      <w:marBottom w:val="0"/>
      <w:divBdr>
        <w:top w:val="none" w:sz="0" w:space="0" w:color="auto"/>
        <w:left w:val="none" w:sz="0" w:space="0" w:color="auto"/>
        <w:bottom w:val="none" w:sz="0" w:space="0" w:color="auto"/>
        <w:right w:val="none" w:sz="0" w:space="0" w:color="auto"/>
      </w:divBdr>
    </w:div>
    <w:div w:id="93332828">
      <w:bodyDiv w:val="1"/>
      <w:marLeft w:val="0"/>
      <w:marRight w:val="0"/>
      <w:marTop w:val="0"/>
      <w:marBottom w:val="0"/>
      <w:divBdr>
        <w:top w:val="none" w:sz="0" w:space="0" w:color="auto"/>
        <w:left w:val="none" w:sz="0" w:space="0" w:color="auto"/>
        <w:bottom w:val="none" w:sz="0" w:space="0" w:color="auto"/>
        <w:right w:val="none" w:sz="0" w:space="0" w:color="auto"/>
      </w:divBdr>
    </w:div>
    <w:div w:id="105544247">
      <w:bodyDiv w:val="1"/>
      <w:marLeft w:val="0"/>
      <w:marRight w:val="0"/>
      <w:marTop w:val="0"/>
      <w:marBottom w:val="0"/>
      <w:divBdr>
        <w:top w:val="none" w:sz="0" w:space="0" w:color="auto"/>
        <w:left w:val="none" w:sz="0" w:space="0" w:color="auto"/>
        <w:bottom w:val="none" w:sz="0" w:space="0" w:color="auto"/>
        <w:right w:val="none" w:sz="0" w:space="0" w:color="auto"/>
      </w:divBdr>
    </w:div>
    <w:div w:id="108742620">
      <w:bodyDiv w:val="1"/>
      <w:marLeft w:val="0"/>
      <w:marRight w:val="0"/>
      <w:marTop w:val="0"/>
      <w:marBottom w:val="0"/>
      <w:divBdr>
        <w:top w:val="none" w:sz="0" w:space="0" w:color="auto"/>
        <w:left w:val="none" w:sz="0" w:space="0" w:color="auto"/>
        <w:bottom w:val="none" w:sz="0" w:space="0" w:color="auto"/>
        <w:right w:val="none" w:sz="0" w:space="0" w:color="auto"/>
      </w:divBdr>
    </w:div>
    <w:div w:id="116340637">
      <w:bodyDiv w:val="1"/>
      <w:marLeft w:val="0"/>
      <w:marRight w:val="0"/>
      <w:marTop w:val="0"/>
      <w:marBottom w:val="0"/>
      <w:divBdr>
        <w:top w:val="none" w:sz="0" w:space="0" w:color="auto"/>
        <w:left w:val="none" w:sz="0" w:space="0" w:color="auto"/>
        <w:bottom w:val="none" w:sz="0" w:space="0" w:color="auto"/>
        <w:right w:val="none" w:sz="0" w:space="0" w:color="auto"/>
      </w:divBdr>
    </w:div>
    <w:div w:id="154229233">
      <w:bodyDiv w:val="1"/>
      <w:marLeft w:val="0"/>
      <w:marRight w:val="0"/>
      <w:marTop w:val="0"/>
      <w:marBottom w:val="0"/>
      <w:divBdr>
        <w:top w:val="none" w:sz="0" w:space="0" w:color="auto"/>
        <w:left w:val="none" w:sz="0" w:space="0" w:color="auto"/>
        <w:bottom w:val="none" w:sz="0" w:space="0" w:color="auto"/>
        <w:right w:val="none" w:sz="0" w:space="0" w:color="auto"/>
      </w:divBdr>
    </w:div>
    <w:div w:id="187984887">
      <w:bodyDiv w:val="1"/>
      <w:marLeft w:val="0"/>
      <w:marRight w:val="0"/>
      <w:marTop w:val="0"/>
      <w:marBottom w:val="0"/>
      <w:divBdr>
        <w:top w:val="none" w:sz="0" w:space="0" w:color="auto"/>
        <w:left w:val="none" w:sz="0" w:space="0" w:color="auto"/>
        <w:bottom w:val="none" w:sz="0" w:space="0" w:color="auto"/>
        <w:right w:val="none" w:sz="0" w:space="0" w:color="auto"/>
      </w:divBdr>
    </w:div>
    <w:div w:id="201331894">
      <w:bodyDiv w:val="1"/>
      <w:marLeft w:val="0"/>
      <w:marRight w:val="0"/>
      <w:marTop w:val="0"/>
      <w:marBottom w:val="0"/>
      <w:divBdr>
        <w:top w:val="none" w:sz="0" w:space="0" w:color="auto"/>
        <w:left w:val="none" w:sz="0" w:space="0" w:color="auto"/>
        <w:bottom w:val="none" w:sz="0" w:space="0" w:color="auto"/>
        <w:right w:val="none" w:sz="0" w:space="0" w:color="auto"/>
      </w:divBdr>
      <w:divsChild>
        <w:div w:id="2019843660">
          <w:marLeft w:val="360"/>
          <w:marRight w:val="0"/>
          <w:marTop w:val="200"/>
          <w:marBottom w:val="0"/>
          <w:divBdr>
            <w:top w:val="none" w:sz="0" w:space="0" w:color="auto"/>
            <w:left w:val="none" w:sz="0" w:space="0" w:color="auto"/>
            <w:bottom w:val="none" w:sz="0" w:space="0" w:color="auto"/>
            <w:right w:val="none" w:sz="0" w:space="0" w:color="auto"/>
          </w:divBdr>
        </w:div>
        <w:div w:id="1813474531">
          <w:marLeft w:val="360"/>
          <w:marRight w:val="0"/>
          <w:marTop w:val="200"/>
          <w:marBottom w:val="0"/>
          <w:divBdr>
            <w:top w:val="none" w:sz="0" w:space="0" w:color="auto"/>
            <w:left w:val="none" w:sz="0" w:space="0" w:color="auto"/>
            <w:bottom w:val="none" w:sz="0" w:space="0" w:color="auto"/>
            <w:right w:val="none" w:sz="0" w:space="0" w:color="auto"/>
          </w:divBdr>
        </w:div>
        <w:div w:id="485627499">
          <w:marLeft w:val="360"/>
          <w:marRight w:val="0"/>
          <w:marTop w:val="200"/>
          <w:marBottom w:val="0"/>
          <w:divBdr>
            <w:top w:val="none" w:sz="0" w:space="0" w:color="auto"/>
            <w:left w:val="none" w:sz="0" w:space="0" w:color="auto"/>
            <w:bottom w:val="none" w:sz="0" w:space="0" w:color="auto"/>
            <w:right w:val="none" w:sz="0" w:space="0" w:color="auto"/>
          </w:divBdr>
        </w:div>
        <w:div w:id="690229941">
          <w:marLeft w:val="360"/>
          <w:marRight w:val="0"/>
          <w:marTop w:val="200"/>
          <w:marBottom w:val="0"/>
          <w:divBdr>
            <w:top w:val="none" w:sz="0" w:space="0" w:color="auto"/>
            <w:left w:val="none" w:sz="0" w:space="0" w:color="auto"/>
            <w:bottom w:val="none" w:sz="0" w:space="0" w:color="auto"/>
            <w:right w:val="none" w:sz="0" w:space="0" w:color="auto"/>
          </w:divBdr>
        </w:div>
        <w:div w:id="58405259">
          <w:marLeft w:val="360"/>
          <w:marRight w:val="0"/>
          <w:marTop w:val="200"/>
          <w:marBottom w:val="0"/>
          <w:divBdr>
            <w:top w:val="none" w:sz="0" w:space="0" w:color="auto"/>
            <w:left w:val="none" w:sz="0" w:space="0" w:color="auto"/>
            <w:bottom w:val="none" w:sz="0" w:space="0" w:color="auto"/>
            <w:right w:val="none" w:sz="0" w:space="0" w:color="auto"/>
          </w:divBdr>
        </w:div>
        <w:div w:id="1401750278">
          <w:marLeft w:val="360"/>
          <w:marRight w:val="0"/>
          <w:marTop w:val="200"/>
          <w:marBottom w:val="0"/>
          <w:divBdr>
            <w:top w:val="none" w:sz="0" w:space="0" w:color="auto"/>
            <w:left w:val="none" w:sz="0" w:space="0" w:color="auto"/>
            <w:bottom w:val="none" w:sz="0" w:space="0" w:color="auto"/>
            <w:right w:val="none" w:sz="0" w:space="0" w:color="auto"/>
          </w:divBdr>
        </w:div>
      </w:divsChild>
    </w:div>
    <w:div w:id="210458840">
      <w:bodyDiv w:val="1"/>
      <w:marLeft w:val="0"/>
      <w:marRight w:val="0"/>
      <w:marTop w:val="0"/>
      <w:marBottom w:val="0"/>
      <w:divBdr>
        <w:top w:val="none" w:sz="0" w:space="0" w:color="auto"/>
        <w:left w:val="none" w:sz="0" w:space="0" w:color="auto"/>
        <w:bottom w:val="none" w:sz="0" w:space="0" w:color="auto"/>
        <w:right w:val="none" w:sz="0" w:space="0" w:color="auto"/>
      </w:divBdr>
    </w:div>
    <w:div w:id="211774659">
      <w:bodyDiv w:val="1"/>
      <w:marLeft w:val="0"/>
      <w:marRight w:val="0"/>
      <w:marTop w:val="0"/>
      <w:marBottom w:val="0"/>
      <w:divBdr>
        <w:top w:val="none" w:sz="0" w:space="0" w:color="auto"/>
        <w:left w:val="none" w:sz="0" w:space="0" w:color="auto"/>
        <w:bottom w:val="none" w:sz="0" w:space="0" w:color="auto"/>
        <w:right w:val="none" w:sz="0" w:space="0" w:color="auto"/>
      </w:divBdr>
    </w:div>
    <w:div w:id="224730758">
      <w:bodyDiv w:val="1"/>
      <w:marLeft w:val="0"/>
      <w:marRight w:val="0"/>
      <w:marTop w:val="0"/>
      <w:marBottom w:val="0"/>
      <w:divBdr>
        <w:top w:val="none" w:sz="0" w:space="0" w:color="auto"/>
        <w:left w:val="none" w:sz="0" w:space="0" w:color="auto"/>
        <w:bottom w:val="none" w:sz="0" w:space="0" w:color="auto"/>
        <w:right w:val="none" w:sz="0" w:space="0" w:color="auto"/>
      </w:divBdr>
    </w:div>
    <w:div w:id="228079749">
      <w:bodyDiv w:val="1"/>
      <w:marLeft w:val="0"/>
      <w:marRight w:val="0"/>
      <w:marTop w:val="0"/>
      <w:marBottom w:val="0"/>
      <w:divBdr>
        <w:top w:val="none" w:sz="0" w:space="0" w:color="auto"/>
        <w:left w:val="none" w:sz="0" w:space="0" w:color="auto"/>
        <w:bottom w:val="none" w:sz="0" w:space="0" w:color="auto"/>
        <w:right w:val="none" w:sz="0" w:space="0" w:color="auto"/>
      </w:divBdr>
      <w:divsChild>
        <w:div w:id="1521817332">
          <w:marLeft w:val="0"/>
          <w:marRight w:val="0"/>
          <w:marTop w:val="100"/>
          <w:marBottom w:val="100"/>
          <w:divBdr>
            <w:top w:val="none" w:sz="0" w:space="0" w:color="auto"/>
            <w:left w:val="none" w:sz="0" w:space="0" w:color="auto"/>
            <w:bottom w:val="none" w:sz="0" w:space="0" w:color="auto"/>
            <w:right w:val="none" w:sz="0" w:space="0" w:color="auto"/>
          </w:divBdr>
          <w:divsChild>
            <w:div w:id="96802690">
              <w:marLeft w:val="0"/>
              <w:marRight w:val="0"/>
              <w:marTop w:val="0"/>
              <w:marBottom w:val="0"/>
              <w:divBdr>
                <w:top w:val="none" w:sz="0" w:space="0" w:color="auto"/>
                <w:left w:val="none" w:sz="0" w:space="0" w:color="auto"/>
                <w:bottom w:val="none" w:sz="0" w:space="0" w:color="auto"/>
                <w:right w:val="none" w:sz="0" w:space="0" w:color="auto"/>
              </w:divBdr>
              <w:divsChild>
                <w:div w:id="1961715816">
                  <w:marLeft w:val="150"/>
                  <w:marRight w:val="150"/>
                  <w:marTop w:val="0"/>
                  <w:marBottom w:val="0"/>
                  <w:divBdr>
                    <w:top w:val="none" w:sz="0" w:space="0" w:color="auto"/>
                    <w:left w:val="none" w:sz="0" w:space="0" w:color="auto"/>
                    <w:bottom w:val="none" w:sz="0" w:space="0" w:color="auto"/>
                    <w:right w:val="none" w:sz="0" w:space="0" w:color="auto"/>
                  </w:divBdr>
                  <w:divsChild>
                    <w:div w:id="1206941701">
                      <w:marLeft w:val="0"/>
                      <w:marRight w:val="0"/>
                      <w:marTop w:val="0"/>
                      <w:marBottom w:val="0"/>
                      <w:divBdr>
                        <w:top w:val="none" w:sz="0" w:space="0" w:color="auto"/>
                        <w:left w:val="none" w:sz="0" w:space="0" w:color="auto"/>
                        <w:bottom w:val="none" w:sz="0" w:space="0" w:color="auto"/>
                        <w:right w:val="none" w:sz="0" w:space="0" w:color="auto"/>
                      </w:divBdr>
                      <w:divsChild>
                        <w:div w:id="1828084070">
                          <w:marLeft w:val="0"/>
                          <w:marRight w:val="0"/>
                          <w:marTop w:val="0"/>
                          <w:marBottom w:val="0"/>
                          <w:divBdr>
                            <w:top w:val="none" w:sz="0" w:space="0" w:color="auto"/>
                            <w:left w:val="none" w:sz="0" w:space="0" w:color="auto"/>
                            <w:bottom w:val="none" w:sz="0" w:space="0" w:color="auto"/>
                            <w:right w:val="none" w:sz="0" w:space="0" w:color="auto"/>
                          </w:divBdr>
                          <w:divsChild>
                            <w:div w:id="1020665891">
                              <w:marLeft w:val="0"/>
                              <w:marRight w:val="0"/>
                              <w:marTop w:val="0"/>
                              <w:marBottom w:val="0"/>
                              <w:divBdr>
                                <w:top w:val="none" w:sz="0" w:space="0" w:color="auto"/>
                                <w:left w:val="none" w:sz="0" w:space="0" w:color="auto"/>
                                <w:bottom w:val="none" w:sz="0" w:space="0" w:color="auto"/>
                                <w:right w:val="none" w:sz="0" w:space="0" w:color="auto"/>
                              </w:divBdr>
                              <w:divsChild>
                                <w:div w:id="1120029019">
                                  <w:marLeft w:val="0"/>
                                  <w:marRight w:val="0"/>
                                  <w:marTop w:val="0"/>
                                  <w:marBottom w:val="0"/>
                                  <w:divBdr>
                                    <w:top w:val="none" w:sz="0" w:space="0" w:color="auto"/>
                                    <w:left w:val="none" w:sz="0" w:space="0" w:color="auto"/>
                                    <w:bottom w:val="none" w:sz="0" w:space="0" w:color="auto"/>
                                    <w:right w:val="none" w:sz="0" w:space="0" w:color="auto"/>
                                  </w:divBdr>
                                  <w:divsChild>
                                    <w:div w:id="987519695">
                                      <w:marLeft w:val="0"/>
                                      <w:marRight w:val="0"/>
                                      <w:marTop w:val="0"/>
                                      <w:marBottom w:val="0"/>
                                      <w:divBdr>
                                        <w:top w:val="none" w:sz="0" w:space="0" w:color="auto"/>
                                        <w:left w:val="none" w:sz="0" w:space="0" w:color="auto"/>
                                        <w:bottom w:val="none" w:sz="0" w:space="0" w:color="auto"/>
                                        <w:right w:val="none" w:sz="0" w:space="0" w:color="auto"/>
                                      </w:divBdr>
                                    </w:div>
                                    <w:div w:id="1279603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38097418">
      <w:bodyDiv w:val="1"/>
      <w:marLeft w:val="0"/>
      <w:marRight w:val="0"/>
      <w:marTop w:val="0"/>
      <w:marBottom w:val="0"/>
      <w:divBdr>
        <w:top w:val="none" w:sz="0" w:space="0" w:color="auto"/>
        <w:left w:val="none" w:sz="0" w:space="0" w:color="auto"/>
        <w:bottom w:val="none" w:sz="0" w:space="0" w:color="auto"/>
        <w:right w:val="none" w:sz="0" w:space="0" w:color="auto"/>
      </w:divBdr>
    </w:div>
    <w:div w:id="240718213">
      <w:bodyDiv w:val="1"/>
      <w:marLeft w:val="0"/>
      <w:marRight w:val="0"/>
      <w:marTop w:val="0"/>
      <w:marBottom w:val="0"/>
      <w:divBdr>
        <w:top w:val="none" w:sz="0" w:space="0" w:color="auto"/>
        <w:left w:val="none" w:sz="0" w:space="0" w:color="auto"/>
        <w:bottom w:val="none" w:sz="0" w:space="0" w:color="auto"/>
        <w:right w:val="none" w:sz="0" w:space="0" w:color="auto"/>
      </w:divBdr>
    </w:div>
    <w:div w:id="252393657">
      <w:marLeft w:val="0"/>
      <w:marRight w:val="0"/>
      <w:marTop w:val="0"/>
      <w:marBottom w:val="0"/>
      <w:divBdr>
        <w:top w:val="none" w:sz="0" w:space="0" w:color="auto"/>
        <w:left w:val="none" w:sz="0" w:space="0" w:color="auto"/>
        <w:bottom w:val="none" w:sz="0" w:space="0" w:color="auto"/>
        <w:right w:val="none" w:sz="0" w:space="0" w:color="auto"/>
      </w:divBdr>
      <w:divsChild>
        <w:div w:id="252393692">
          <w:marLeft w:val="0"/>
          <w:marRight w:val="0"/>
          <w:marTop w:val="100"/>
          <w:marBottom w:val="100"/>
          <w:divBdr>
            <w:top w:val="none" w:sz="0" w:space="0" w:color="auto"/>
            <w:left w:val="none" w:sz="0" w:space="0" w:color="auto"/>
            <w:bottom w:val="none" w:sz="0" w:space="0" w:color="auto"/>
            <w:right w:val="none" w:sz="0" w:space="0" w:color="auto"/>
          </w:divBdr>
          <w:divsChild>
            <w:div w:id="252393681">
              <w:marLeft w:val="0"/>
              <w:marRight w:val="0"/>
              <w:marTop w:val="0"/>
              <w:marBottom w:val="0"/>
              <w:divBdr>
                <w:top w:val="none" w:sz="0" w:space="0" w:color="auto"/>
                <w:left w:val="none" w:sz="0" w:space="0" w:color="auto"/>
                <w:bottom w:val="none" w:sz="0" w:space="0" w:color="auto"/>
                <w:right w:val="none" w:sz="0" w:space="0" w:color="auto"/>
              </w:divBdr>
              <w:divsChild>
                <w:div w:id="252393702">
                  <w:marLeft w:val="150"/>
                  <w:marRight w:val="150"/>
                  <w:marTop w:val="0"/>
                  <w:marBottom w:val="0"/>
                  <w:divBdr>
                    <w:top w:val="none" w:sz="0" w:space="0" w:color="auto"/>
                    <w:left w:val="none" w:sz="0" w:space="0" w:color="auto"/>
                    <w:bottom w:val="none" w:sz="0" w:space="0" w:color="auto"/>
                    <w:right w:val="none" w:sz="0" w:space="0" w:color="auto"/>
                  </w:divBdr>
                  <w:divsChild>
                    <w:div w:id="252393699">
                      <w:marLeft w:val="0"/>
                      <w:marRight w:val="0"/>
                      <w:marTop w:val="0"/>
                      <w:marBottom w:val="0"/>
                      <w:divBdr>
                        <w:top w:val="none" w:sz="0" w:space="0" w:color="auto"/>
                        <w:left w:val="none" w:sz="0" w:space="0" w:color="auto"/>
                        <w:bottom w:val="none" w:sz="0" w:space="0" w:color="auto"/>
                        <w:right w:val="none" w:sz="0" w:space="0" w:color="auto"/>
                      </w:divBdr>
                      <w:divsChild>
                        <w:div w:id="252393659">
                          <w:marLeft w:val="0"/>
                          <w:marRight w:val="0"/>
                          <w:marTop w:val="0"/>
                          <w:marBottom w:val="0"/>
                          <w:divBdr>
                            <w:top w:val="none" w:sz="0" w:space="0" w:color="auto"/>
                            <w:left w:val="none" w:sz="0" w:space="0" w:color="auto"/>
                            <w:bottom w:val="none" w:sz="0" w:space="0" w:color="auto"/>
                            <w:right w:val="none" w:sz="0" w:space="0" w:color="auto"/>
                          </w:divBdr>
                          <w:divsChild>
                            <w:div w:id="252393685">
                              <w:marLeft w:val="0"/>
                              <w:marRight w:val="0"/>
                              <w:marTop w:val="0"/>
                              <w:marBottom w:val="0"/>
                              <w:divBdr>
                                <w:top w:val="none" w:sz="0" w:space="0" w:color="auto"/>
                                <w:left w:val="none" w:sz="0" w:space="0" w:color="auto"/>
                                <w:bottom w:val="none" w:sz="0" w:space="0" w:color="auto"/>
                                <w:right w:val="none" w:sz="0" w:space="0" w:color="auto"/>
                              </w:divBdr>
                              <w:divsChild>
                                <w:div w:id="252393706">
                                  <w:marLeft w:val="0"/>
                                  <w:marRight w:val="0"/>
                                  <w:marTop w:val="0"/>
                                  <w:marBottom w:val="0"/>
                                  <w:divBdr>
                                    <w:top w:val="none" w:sz="0" w:space="0" w:color="auto"/>
                                    <w:left w:val="none" w:sz="0" w:space="0" w:color="auto"/>
                                    <w:bottom w:val="none" w:sz="0" w:space="0" w:color="auto"/>
                                    <w:right w:val="none" w:sz="0" w:space="0" w:color="auto"/>
                                  </w:divBdr>
                                  <w:divsChild>
                                    <w:div w:id="252393650">
                                      <w:marLeft w:val="0"/>
                                      <w:marRight w:val="0"/>
                                      <w:marTop w:val="0"/>
                                      <w:marBottom w:val="0"/>
                                      <w:divBdr>
                                        <w:top w:val="none" w:sz="0" w:space="0" w:color="auto"/>
                                        <w:left w:val="none" w:sz="0" w:space="0" w:color="auto"/>
                                        <w:bottom w:val="none" w:sz="0" w:space="0" w:color="auto"/>
                                        <w:right w:val="none" w:sz="0" w:space="0" w:color="auto"/>
                                      </w:divBdr>
                                    </w:div>
                                    <w:div w:id="252393656">
                                      <w:marLeft w:val="0"/>
                                      <w:marRight w:val="0"/>
                                      <w:marTop w:val="0"/>
                                      <w:marBottom w:val="0"/>
                                      <w:divBdr>
                                        <w:top w:val="none" w:sz="0" w:space="0" w:color="auto"/>
                                        <w:left w:val="none" w:sz="0" w:space="0" w:color="auto"/>
                                        <w:bottom w:val="none" w:sz="0" w:space="0" w:color="auto"/>
                                        <w:right w:val="none" w:sz="0" w:space="0" w:color="auto"/>
                                      </w:divBdr>
                                    </w:div>
                                    <w:div w:id="252393658">
                                      <w:marLeft w:val="0"/>
                                      <w:marRight w:val="0"/>
                                      <w:marTop w:val="0"/>
                                      <w:marBottom w:val="0"/>
                                      <w:divBdr>
                                        <w:top w:val="none" w:sz="0" w:space="0" w:color="auto"/>
                                        <w:left w:val="none" w:sz="0" w:space="0" w:color="auto"/>
                                        <w:bottom w:val="none" w:sz="0" w:space="0" w:color="auto"/>
                                        <w:right w:val="none" w:sz="0" w:space="0" w:color="auto"/>
                                      </w:divBdr>
                                    </w:div>
                                    <w:div w:id="252393662">
                                      <w:marLeft w:val="0"/>
                                      <w:marRight w:val="0"/>
                                      <w:marTop w:val="0"/>
                                      <w:marBottom w:val="0"/>
                                      <w:divBdr>
                                        <w:top w:val="none" w:sz="0" w:space="0" w:color="auto"/>
                                        <w:left w:val="none" w:sz="0" w:space="0" w:color="auto"/>
                                        <w:bottom w:val="none" w:sz="0" w:space="0" w:color="auto"/>
                                        <w:right w:val="none" w:sz="0" w:space="0" w:color="auto"/>
                                      </w:divBdr>
                                    </w:div>
                                    <w:div w:id="252393663">
                                      <w:marLeft w:val="0"/>
                                      <w:marRight w:val="0"/>
                                      <w:marTop w:val="0"/>
                                      <w:marBottom w:val="0"/>
                                      <w:divBdr>
                                        <w:top w:val="none" w:sz="0" w:space="0" w:color="auto"/>
                                        <w:left w:val="none" w:sz="0" w:space="0" w:color="auto"/>
                                        <w:bottom w:val="none" w:sz="0" w:space="0" w:color="auto"/>
                                        <w:right w:val="none" w:sz="0" w:space="0" w:color="auto"/>
                                      </w:divBdr>
                                    </w:div>
                                    <w:div w:id="252393664">
                                      <w:marLeft w:val="0"/>
                                      <w:marRight w:val="0"/>
                                      <w:marTop w:val="0"/>
                                      <w:marBottom w:val="0"/>
                                      <w:divBdr>
                                        <w:top w:val="none" w:sz="0" w:space="0" w:color="auto"/>
                                        <w:left w:val="none" w:sz="0" w:space="0" w:color="auto"/>
                                        <w:bottom w:val="none" w:sz="0" w:space="0" w:color="auto"/>
                                        <w:right w:val="none" w:sz="0" w:space="0" w:color="auto"/>
                                      </w:divBdr>
                                    </w:div>
                                    <w:div w:id="252393665">
                                      <w:marLeft w:val="0"/>
                                      <w:marRight w:val="0"/>
                                      <w:marTop w:val="0"/>
                                      <w:marBottom w:val="0"/>
                                      <w:divBdr>
                                        <w:top w:val="none" w:sz="0" w:space="0" w:color="auto"/>
                                        <w:left w:val="none" w:sz="0" w:space="0" w:color="auto"/>
                                        <w:bottom w:val="none" w:sz="0" w:space="0" w:color="auto"/>
                                        <w:right w:val="none" w:sz="0" w:space="0" w:color="auto"/>
                                      </w:divBdr>
                                    </w:div>
                                    <w:div w:id="252393666">
                                      <w:marLeft w:val="0"/>
                                      <w:marRight w:val="0"/>
                                      <w:marTop w:val="0"/>
                                      <w:marBottom w:val="0"/>
                                      <w:divBdr>
                                        <w:top w:val="none" w:sz="0" w:space="0" w:color="auto"/>
                                        <w:left w:val="none" w:sz="0" w:space="0" w:color="auto"/>
                                        <w:bottom w:val="none" w:sz="0" w:space="0" w:color="auto"/>
                                        <w:right w:val="none" w:sz="0" w:space="0" w:color="auto"/>
                                      </w:divBdr>
                                    </w:div>
                                    <w:div w:id="252393668">
                                      <w:marLeft w:val="0"/>
                                      <w:marRight w:val="0"/>
                                      <w:marTop w:val="0"/>
                                      <w:marBottom w:val="0"/>
                                      <w:divBdr>
                                        <w:top w:val="none" w:sz="0" w:space="0" w:color="auto"/>
                                        <w:left w:val="none" w:sz="0" w:space="0" w:color="auto"/>
                                        <w:bottom w:val="none" w:sz="0" w:space="0" w:color="auto"/>
                                        <w:right w:val="none" w:sz="0" w:space="0" w:color="auto"/>
                                      </w:divBdr>
                                    </w:div>
                                    <w:div w:id="252393670">
                                      <w:marLeft w:val="0"/>
                                      <w:marRight w:val="0"/>
                                      <w:marTop w:val="0"/>
                                      <w:marBottom w:val="0"/>
                                      <w:divBdr>
                                        <w:top w:val="none" w:sz="0" w:space="0" w:color="auto"/>
                                        <w:left w:val="none" w:sz="0" w:space="0" w:color="auto"/>
                                        <w:bottom w:val="none" w:sz="0" w:space="0" w:color="auto"/>
                                        <w:right w:val="none" w:sz="0" w:space="0" w:color="auto"/>
                                      </w:divBdr>
                                    </w:div>
                                    <w:div w:id="252393671">
                                      <w:marLeft w:val="0"/>
                                      <w:marRight w:val="0"/>
                                      <w:marTop w:val="0"/>
                                      <w:marBottom w:val="0"/>
                                      <w:divBdr>
                                        <w:top w:val="none" w:sz="0" w:space="0" w:color="auto"/>
                                        <w:left w:val="none" w:sz="0" w:space="0" w:color="auto"/>
                                        <w:bottom w:val="none" w:sz="0" w:space="0" w:color="auto"/>
                                        <w:right w:val="none" w:sz="0" w:space="0" w:color="auto"/>
                                      </w:divBdr>
                                    </w:div>
                                    <w:div w:id="252393673">
                                      <w:marLeft w:val="0"/>
                                      <w:marRight w:val="0"/>
                                      <w:marTop w:val="0"/>
                                      <w:marBottom w:val="0"/>
                                      <w:divBdr>
                                        <w:top w:val="none" w:sz="0" w:space="0" w:color="auto"/>
                                        <w:left w:val="none" w:sz="0" w:space="0" w:color="auto"/>
                                        <w:bottom w:val="none" w:sz="0" w:space="0" w:color="auto"/>
                                        <w:right w:val="none" w:sz="0" w:space="0" w:color="auto"/>
                                      </w:divBdr>
                                    </w:div>
                                    <w:div w:id="252393674">
                                      <w:marLeft w:val="0"/>
                                      <w:marRight w:val="0"/>
                                      <w:marTop w:val="0"/>
                                      <w:marBottom w:val="0"/>
                                      <w:divBdr>
                                        <w:top w:val="none" w:sz="0" w:space="0" w:color="auto"/>
                                        <w:left w:val="none" w:sz="0" w:space="0" w:color="auto"/>
                                        <w:bottom w:val="none" w:sz="0" w:space="0" w:color="auto"/>
                                        <w:right w:val="none" w:sz="0" w:space="0" w:color="auto"/>
                                      </w:divBdr>
                                    </w:div>
                                    <w:div w:id="252393677">
                                      <w:marLeft w:val="0"/>
                                      <w:marRight w:val="0"/>
                                      <w:marTop w:val="0"/>
                                      <w:marBottom w:val="0"/>
                                      <w:divBdr>
                                        <w:top w:val="none" w:sz="0" w:space="0" w:color="auto"/>
                                        <w:left w:val="none" w:sz="0" w:space="0" w:color="auto"/>
                                        <w:bottom w:val="none" w:sz="0" w:space="0" w:color="auto"/>
                                        <w:right w:val="none" w:sz="0" w:space="0" w:color="auto"/>
                                      </w:divBdr>
                                    </w:div>
                                    <w:div w:id="252393678">
                                      <w:marLeft w:val="0"/>
                                      <w:marRight w:val="0"/>
                                      <w:marTop w:val="0"/>
                                      <w:marBottom w:val="0"/>
                                      <w:divBdr>
                                        <w:top w:val="none" w:sz="0" w:space="0" w:color="auto"/>
                                        <w:left w:val="none" w:sz="0" w:space="0" w:color="auto"/>
                                        <w:bottom w:val="none" w:sz="0" w:space="0" w:color="auto"/>
                                        <w:right w:val="none" w:sz="0" w:space="0" w:color="auto"/>
                                      </w:divBdr>
                                    </w:div>
                                    <w:div w:id="252393682">
                                      <w:marLeft w:val="0"/>
                                      <w:marRight w:val="0"/>
                                      <w:marTop w:val="0"/>
                                      <w:marBottom w:val="0"/>
                                      <w:divBdr>
                                        <w:top w:val="none" w:sz="0" w:space="0" w:color="auto"/>
                                        <w:left w:val="none" w:sz="0" w:space="0" w:color="auto"/>
                                        <w:bottom w:val="none" w:sz="0" w:space="0" w:color="auto"/>
                                        <w:right w:val="none" w:sz="0" w:space="0" w:color="auto"/>
                                      </w:divBdr>
                                    </w:div>
                                    <w:div w:id="252393687">
                                      <w:marLeft w:val="0"/>
                                      <w:marRight w:val="0"/>
                                      <w:marTop w:val="0"/>
                                      <w:marBottom w:val="0"/>
                                      <w:divBdr>
                                        <w:top w:val="none" w:sz="0" w:space="0" w:color="auto"/>
                                        <w:left w:val="none" w:sz="0" w:space="0" w:color="auto"/>
                                        <w:bottom w:val="none" w:sz="0" w:space="0" w:color="auto"/>
                                        <w:right w:val="none" w:sz="0" w:space="0" w:color="auto"/>
                                      </w:divBdr>
                                    </w:div>
                                    <w:div w:id="252393691">
                                      <w:marLeft w:val="0"/>
                                      <w:marRight w:val="0"/>
                                      <w:marTop w:val="0"/>
                                      <w:marBottom w:val="0"/>
                                      <w:divBdr>
                                        <w:top w:val="none" w:sz="0" w:space="0" w:color="auto"/>
                                        <w:left w:val="none" w:sz="0" w:space="0" w:color="auto"/>
                                        <w:bottom w:val="none" w:sz="0" w:space="0" w:color="auto"/>
                                        <w:right w:val="none" w:sz="0" w:space="0" w:color="auto"/>
                                      </w:divBdr>
                                    </w:div>
                                    <w:div w:id="252393693">
                                      <w:marLeft w:val="0"/>
                                      <w:marRight w:val="0"/>
                                      <w:marTop w:val="0"/>
                                      <w:marBottom w:val="0"/>
                                      <w:divBdr>
                                        <w:top w:val="none" w:sz="0" w:space="0" w:color="auto"/>
                                        <w:left w:val="none" w:sz="0" w:space="0" w:color="auto"/>
                                        <w:bottom w:val="none" w:sz="0" w:space="0" w:color="auto"/>
                                        <w:right w:val="none" w:sz="0" w:space="0" w:color="auto"/>
                                      </w:divBdr>
                                    </w:div>
                                    <w:div w:id="252393694">
                                      <w:marLeft w:val="0"/>
                                      <w:marRight w:val="0"/>
                                      <w:marTop w:val="0"/>
                                      <w:marBottom w:val="0"/>
                                      <w:divBdr>
                                        <w:top w:val="none" w:sz="0" w:space="0" w:color="auto"/>
                                        <w:left w:val="none" w:sz="0" w:space="0" w:color="auto"/>
                                        <w:bottom w:val="none" w:sz="0" w:space="0" w:color="auto"/>
                                        <w:right w:val="none" w:sz="0" w:space="0" w:color="auto"/>
                                      </w:divBdr>
                                    </w:div>
                                    <w:div w:id="252393695">
                                      <w:marLeft w:val="0"/>
                                      <w:marRight w:val="0"/>
                                      <w:marTop w:val="0"/>
                                      <w:marBottom w:val="0"/>
                                      <w:divBdr>
                                        <w:top w:val="none" w:sz="0" w:space="0" w:color="auto"/>
                                        <w:left w:val="none" w:sz="0" w:space="0" w:color="auto"/>
                                        <w:bottom w:val="none" w:sz="0" w:space="0" w:color="auto"/>
                                        <w:right w:val="none" w:sz="0" w:space="0" w:color="auto"/>
                                      </w:divBdr>
                                    </w:div>
                                    <w:div w:id="252393700">
                                      <w:marLeft w:val="0"/>
                                      <w:marRight w:val="0"/>
                                      <w:marTop w:val="0"/>
                                      <w:marBottom w:val="0"/>
                                      <w:divBdr>
                                        <w:top w:val="none" w:sz="0" w:space="0" w:color="auto"/>
                                        <w:left w:val="none" w:sz="0" w:space="0" w:color="auto"/>
                                        <w:bottom w:val="none" w:sz="0" w:space="0" w:color="auto"/>
                                        <w:right w:val="none" w:sz="0" w:space="0" w:color="auto"/>
                                      </w:divBdr>
                                    </w:div>
                                    <w:div w:id="252393705">
                                      <w:marLeft w:val="0"/>
                                      <w:marRight w:val="0"/>
                                      <w:marTop w:val="0"/>
                                      <w:marBottom w:val="0"/>
                                      <w:divBdr>
                                        <w:top w:val="none" w:sz="0" w:space="0" w:color="auto"/>
                                        <w:left w:val="none" w:sz="0" w:space="0" w:color="auto"/>
                                        <w:bottom w:val="none" w:sz="0" w:space="0" w:color="auto"/>
                                        <w:right w:val="none" w:sz="0" w:space="0" w:color="auto"/>
                                      </w:divBdr>
                                    </w:div>
                                    <w:div w:id="252393707">
                                      <w:marLeft w:val="0"/>
                                      <w:marRight w:val="0"/>
                                      <w:marTop w:val="0"/>
                                      <w:marBottom w:val="0"/>
                                      <w:divBdr>
                                        <w:top w:val="none" w:sz="0" w:space="0" w:color="auto"/>
                                        <w:left w:val="none" w:sz="0" w:space="0" w:color="auto"/>
                                        <w:bottom w:val="none" w:sz="0" w:space="0" w:color="auto"/>
                                        <w:right w:val="none" w:sz="0" w:space="0" w:color="auto"/>
                                      </w:divBdr>
                                    </w:div>
                                    <w:div w:id="252393708">
                                      <w:marLeft w:val="0"/>
                                      <w:marRight w:val="0"/>
                                      <w:marTop w:val="0"/>
                                      <w:marBottom w:val="0"/>
                                      <w:divBdr>
                                        <w:top w:val="none" w:sz="0" w:space="0" w:color="auto"/>
                                        <w:left w:val="none" w:sz="0" w:space="0" w:color="auto"/>
                                        <w:bottom w:val="none" w:sz="0" w:space="0" w:color="auto"/>
                                        <w:right w:val="none" w:sz="0" w:space="0" w:color="auto"/>
                                      </w:divBdr>
                                    </w:div>
                                    <w:div w:id="252393711">
                                      <w:marLeft w:val="0"/>
                                      <w:marRight w:val="0"/>
                                      <w:marTop w:val="0"/>
                                      <w:marBottom w:val="0"/>
                                      <w:divBdr>
                                        <w:top w:val="none" w:sz="0" w:space="0" w:color="auto"/>
                                        <w:left w:val="none" w:sz="0" w:space="0" w:color="auto"/>
                                        <w:bottom w:val="none" w:sz="0" w:space="0" w:color="auto"/>
                                        <w:right w:val="none" w:sz="0" w:space="0" w:color="auto"/>
                                      </w:divBdr>
                                    </w:div>
                                    <w:div w:id="252393712">
                                      <w:marLeft w:val="0"/>
                                      <w:marRight w:val="0"/>
                                      <w:marTop w:val="0"/>
                                      <w:marBottom w:val="0"/>
                                      <w:divBdr>
                                        <w:top w:val="none" w:sz="0" w:space="0" w:color="auto"/>
                                        <w:left w:val="none" w:sz="0" w:space="0" w:color="auto"/>
                                        <w:bottom w:val="none" w:sz="0" w:space="0" w:color="auto"/>
                                        <w:right w:val="none" w:sz="0" w:space="0" w:color="auto"/>
                                      </w:divBdr>
                                    </w:div>
                                    <w:div w:id="252393715">
                                      <w:marLeft w:val="0"/>
                                      <w:marRight w:val="0"/>
                                      <w:marTop w:val="0"/>
                                      <w:marBottom w:val="0"/>
                                      <w:divBdr>
                                        <w:top w:val="none" w:sz="0" w:space="0" w:color="auto"/>
                                        <w:left w:val="none" w:sz="0" w:space="0" w:color="auto"/>
                                        <w:bottom w:val="none" w:sz="0" w:space="0" w:color="auto"/>
                                        <w:right w:val="none" w:sz="0" w:space="0" w:color="auto"/>
                                      </w:divBdr>
                                    </w:div>
                                    <w:div w:id="252393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52393660">
      <w:marLeft w:val="0"/>
      <w:marRight w:val="0"/>
      <w:marTop w:val="0"/>
      <w:marBottom w:val="0"/>
      <w:divBdr>
        <w:top w:val="none" w:sz="0" w:space="0" w:color="auto"/>
        <w:left w:val="none" w:sz="0" w:space="0" w:color="auto"/>
        <w:bottom w:val="none" w:sz="0" w:space="0" w:color="auto"/>
        <w:right w:val="none" w:sz="0" w:space="0" w:color="auto"/>
      </w:divBdr>
      <w:divsChild>
        <w:div w:id="252393676">
          <w:marLeft w:val="0"/>
          <w:marRight w:val="0"/>
          <w:marTop w:val="100"/>
          <w:marBottom w:val="100"/>
          <w:divBdr>
            <w:top w:val="none" w:sz="0" w:space="0" w:color="auto"/>
            <w:left w:val="none" w:sz="0" w:space="0" w:color="auto"/>
            <w:bottom w:val="none" w:sz="0" w:space="0" w:color="auto"/>
            <w:right w:val="none" w:sz="0" w:space="0" w:color="auto"/>
          </w:divBdr>
          <w:divsChild>
            <w:div w:id="252393697">
              <w:marLeft w:val="0"/>
              <w:marRight w:val="0"/>
              <w:marTop w:val="0"/>
              <w:marBottom w:val="0"/>
              <w:divBdr>
                <w:top w:val="none" w:sz="0" w:space="0" w:color="auto"/>
                <w:left w:val="none" w:sz="0" w:space="0" w:color="auto"/>
                <w:bottom w:val="none" w:sz="0" w:space="0" w:color="auto"/>
                <w:right w:val="none" w:sz="0" w:space="0" w:color="auto"/>
              </w:divBdr>
              <w:divsChild>
                <w:div w:id="252393713">
                  <w:marLeft w:val="150"/>
                  <w:marRight w:val="150"/>
                  <w:marTop w:val="0"/>
                  <w:marBottom w:val="0"/>
                  <w:divBdr>
                    <w:top w:val="none" w:sz="0" w:space="0" w:color="auto"/>
                    <w:left w:val="none" w:sz="0" w:space="0" w:color="auto"/>
                    <w:bottom w:val="none" w:sz="0" w:space="0" w:color="auto"/>
                    <w:right w:val="none" w:sz="0" w:space="0" w:color="auto"/>
                  </w:divBdr>
                  <w:divsChild>
                    <w:div w:id="252393672">
                      <w:marLeft w:val="0"/>
                      <w:marRight w:val="0"/>
                      <w:marTop w:val="0"/>
                      <w:marBottom w:val="0"/>
                      <w:divBdr>
                        <w:top w:val="none" w:sz="0" w:space="0" w:color="auto"/>
                        <w:left w:val="none" w:sz="0" w:space="0" w:color="auto"/>
                        <w:bottom w:val="none" w:sz="0" w:space="0" w:color="auto"/>
                        <w:right w:val="none" w:sz="0" w:space="0" w:color="auto"/>
                      </w:divBdr>
                      <w:divsChild>
                        <w:div w:id="252393704">
                          <w:marLeft w:val="0"/>
                          <w:marRight w:val="0"/>
                          <w:marTop w:val="0"/>
                          <w:marBottom w:val="0"/>
                          <w:divBdr>
                            <w:top w:val="none" w:sz="0" w:space="0" w:color="auto"/>
                            <w:left w:val="none" w:sz="0" w:space="0" w:color="auto"/>
                            <w:bottom w:val="none" w:sz="0" w:space="0" w:color="auto"/>
                            <w:right w:val="none" w:sz="0" w:space="0" w:color="auto"/>
                          </w:divBdr>
                          <w:divsChild>
                            <w:div w:id="252393696">
                              <w:marLeft w:val="0"/>
                              <w:marRight w:val="0"/>
                              <w:marTop w:val="0"/>
                              <w:marBottom w:val="0"/>
                              <w:divBdr>
                                <w:top w:val="none" w:sz="0" w:space="0" w:color="auto"/>
                                <w:left w:val="none" w:sz="0" w:space="0" w:color="auto"/>
                                <w:bottom w:val="none" w:sz="0" w:space="0" w:color="auto"/>
                                <w:right w:val="none" w:sz="0" w:space="0" w:color="auto"/>
                              </w:divBdr>
                              <w:divsChild>
                                <w:div w:id="252393649">
                                  <w:marLeft w:val="0"/>
                                  <w:marRight w:val="0"/>
                                  <w:marTop w:val="0"/>
                                  <w:marBottom w:val="0"/>
                                  <w:divBdr>
                                    <w:top w:val="none" w:sz="0" w:space="0" w:color="auto"/>
                                    <w:left w:val="none" w:sz="0" w:space="0" w:color="auto"/>
                                    <w:bottom w:val="none" w:sz="0" w:space="0" w:color="auto"/>
                                    <w:right w:val="none" w:sz="0" w:space="0" w:color="auto"/>
                                  </w:divBdr>
                                  <w:divsChild>
                                    <w:div w:id="252393646">
                                      <w:marLeft w:val="0"/>
                                      <w:marRight w:val="0"/>
                                      <w:marTop w:val="0"/>
                                      <w:marBottom w:val="0"/>
                                      <w:divBdr>
                                        <w:top w:val="none" w:sz="0" w:space="0" w:color="auto"/>
                                        <w:left w:val="none" w:sz="0" w:space="0" w:color="auto"/>
                                        <w:bottom w:val="none" w:sz="0" w:space="0" w:color="auto"/>
                                        <w:right w:val="none" w:sz="0" w:space="0" w:color="auto"/>
                                      </w:divBdr>
                                    </w:div>
                                    <w:div w:id="252393647">
                                      <w:marLeft w:val="0"/>
                                      <w:marRight w:val="0"/>
                                      <w:marTop w:val="0"/>
                                      <w:marBottom w:val="0"/>
                                      <w:divBdr>
                                        <w:top w:val="none" w:sz="0" w:space="0" w:color="auto"/>
                                        <w:left w:val="none" w:sz="0" w:space="0" w:color="auto"/>
                                        <w:bottom w:val="none" w:sz="0" w:space="0" w:color="auto"/>
                                        <w:right w:val="none" w:sz="0" w:space="0" w:color="auto"/>
                                      </w:divBdr>
                                    </w:div>
                                    <w:div w:id="252393648">
                                      <w:marLeft w:val="0"/>
                                      <w:marRight w:val="0"/>
                                      <w:marTop w:val="0"/>
                                      <w:marBottom w:val="0"/>
                                      <w:divBdr>
                                        <w:top w:val="none" w:sz="0" w:space="0" w:color="auto"/>
                                        <w:left w:val="none" w:sz="0" w:space="0" w:color="auto"/>
                                        <w:bottom w:val="none" w:sz="0" w:space="0" w:color="auto"/>
                                        <w:right w:val="none" w:sz="0" w:space="0" w:color="auto"/>
                                      </w:divBdr>
                                    </w:div>
                                    <w:div w:id="252393651">
                                      <w:marLeft w:val="0"/>
                                      <w:marRight w:val="0"/>
                                      <w:marTop w:val="0"/>
                                      <w:marBottom w:val="0"/>
                                      <w:divBdr>
                                        <w:top w:val="none" w:sz="0" w:space="0" w:color="auto"/>
                                        <w:left w:val="none" w:sz="0" w:space="0" w:color="auto"/>
                                        <w:bottom w:val="none" w:sz="0" w:space="0" w:color="auto"/>
                                        <w:right w:val="none" w:sz="0" w:space="0" w:color="auto"/>
                                      </w:divBdr>
                                    </w:div>
                                    <w:div w:id="252393652">
                                      <w:marLeft w:val="0"/>
                                      <w:marRight w:val="0"/>
                                      <w:marTop w:val="0"/>
                                      <w:marBottom w:val="0"/>
                                      <w:divBdr>
                                        <w:top w:val="none" w:sz="0" w:space="0" w:color="auto"/>
                                        <w:left w:val="none" w:sz="0" w:space="0" w:color="auto"/>
                                        <w:bottom w:val="none" w:sz="0" w:space="0" w:color="auto"/>
                                        <w:right w:val="none" w:sz="0" w:space="0" w:color="auto"/>
                                      </w:divBdr>
                                    </w:div>
                                    <w:div w:id="252393653">
                                      <w:marLeft w:val="0"/>
                                      <w:marRight w:val="0"/>
                                      <w:marTop w:val="0"/>
                                      <w:marBottom w:val="0"/>
                                      <w:divBdr>
                                        <w:top w:val="none" w:sz="0" w:space="0" w:color="auto"/>
                                        <w:left w:val="none" w:sz="0" w:space="0" w:color="auto"/>
                                        <w:bottom w:val="none" w:sz="0" w:space="0" w:color="auto"/>
                                        <w:right w:val="none" w:sz="0" w:space="0" w:color="auto"/>
                                      </w:divBdr>
                                    </w:div>
                                    <w:div w:id="252393654">
                                      <w:marLeft w:val="0"/>
                                      <w:marRight w:val="0"/>
                                      <w:marTop w:val="0"/>
                                      <w:marBottom w:val="0"/>
                                      <w:divBdr>
                                        <w:top w:val="none" w:sz="0" w:space="0" w:color="auto"/>
                                        <w:left w:val="none" w:sz="0" w:space="0" w:color="auto"/>
                                        <w:bottom w:val="none" w:sz="0" w:space="0" w:color="auto"/>
                                        <w:right w:val="none" w:sz="0" w:space="0" w:color="auto"/>
                                      </w:divBdr>
                                    </w:div>
                                    <w:div w:id="252393655">
                                      <w:marLeft w:val="0"/>
                                      <w:marRight w:val="0"/>
                                      <w:marTop w:val="0"/>
                                      <w:marBottom w:val="0"/>
                                      <w:divBdr>
                                        <w:top w:val="none" w:sz="0" w:space="0" w:color="auto"/>
                                        <w:left w:val="none" w:sz="0" w:space="0" w:color="auto"/>
                                        <w:bottom w:val="none" w:sz="0" w:space="0" w:color="auto"/>
                                        <w:right w:val="none" w:sz="0" w:space="0" w:color="auto"/>
                                      </w:divBdr>
                                    </w:div>
                                    <w:div w:id="252393661">
                                      <w:marLeft w:val="0"/>
                                      <w:marRight w:val="0"/>
                                      <w:marTop w:val="0"/>
                                      <w:marBottom w:val="0"/>
                                      <w:divBdr>
                                        <w:top w:val="none" w:sz="0" w:space="0" w:color="auto"/>
                                        <w:left w:val="none" w:sz="0" w:space="0" w:color="auto"/>
                                        <w:bottom w:val="none" w:sz="0" w:space="0" w:color="auto"/>
                                        <w:right w:val="none" w:sz="0" w:space="0" w:color="auto"/>
                                      </w:divBdr>
                                    </w:div>
                                    <w:div w:id="252393667">
                                      <w:marLeft w:val="0"/>
                                      <w:marRight w:val="0"/>
                                      <w:marTop w:val="0"/>
                                      <w:marBottom w:val="0"/>
                                      <w:divBdr>
                                        <w:top w:val="none" w:sz="0" w:space="0" w:color="auto"/>
                                        <w:left w:val="none" w:sz="0" w:space="0" w:color="auto"/>
                                        <w:bottom w:val="none" w:sz="0" w:space="0" w:color="auto"/>
                                        <w:right w:val="none" w:sz="0" w:space="0" w:color="auto"/>
                                      </w:divBdr>
                                    </w:div>
                                    <w:div w:id="252393669">
                                      <w:marLeft w:val="0"/>
                                      <w:marRight w:val="0"/>
                                      <w:marTop w:val="0"/>
                                      <w:marBottom w:val="0"/>
                                      <w:divBdr>
                                        <w:top w:val="none" w:sz="0" w:space="0" w:color="auto"/>
                                        <w:left w:val="none" w:sz="0" w:space="0" w:color="auto"/>
                                        <w:bottom w:val="none" w:sz="0" w:space="0" w:color="auto"/>
                                        <w:right w:val="none" w:sz="0" w:space="0" w:color="auto"/>
                                      </w:divBdr>
                                    </w:div>
                                    <w:div w:id="252393675">
                                      <w:marLeft w:val="0"/>
                                      <w:marRight w:val="0"/>
                                      <w:marTop w:val="0"/>
                                      <w:marBottom w:val="0"/>
                                      <w:divBdr>
                                        <w:top w:val="none" w:sz="0" w:space="0" w:color="auto"/>
                                        <w:left w:val="none" w:sz="0" w:space="0" w:color="auto"/>
                                        <w:bottom w:val="none" w:sz="0" w:space="0" w:color="auto"/>
                                        <w:right w:val="none" w:sz="0" w:space="0" w:color="auto"/>
                                      </w:divBdr>
                                    </w:div>
                                    <w:div w:id="252393679">
                                      <w:marLeft w:val="0"/>
                                      <w:marRight w:val="0"/>
                                      <w:marTop w:val="0"/>
                                      <w:marBottom w:val="0"/>
                                      <w:divBdr>
                                        <w:top w:val="none" w:sz="0" w:space="0" w:color="auto"/>
                                        <w:left w:val="none" w:sz="0" w:space="0" w:color="auto"/>
                                        <w:bottom w:val="none" w:sz="0" w:space="0" w:color="auto"/>
                                        <w:right w:val="none" w:sz="0" w:space="0" w:color="auto"/>
                                      </w:divBdr>
                                    </w:div>
                                    <w:div w:id="252393680">
                                      <w:marLeft w:val="0"/>
                                      <w:marRight w:val="0"/>
                                      <w:marTop w:val="0"/>
                                      <w:marBottom w:val="0"/>
                                      <w:divBdr>
                                        <w:top w:val="none" w:sz="0" w:space="0" w:color="auto"/>
                                        <w:left w:val="none" w:sz="0" w:space="0" w:color="auto"/>
                                        <w:bottom w:val="none" w:sz="0" w:space="0" w:color="auto"/>
                                        <w:right w:val="none" w:sz="0" w:space="0" w:color="auto"/>
                                      </w:divBdr>
                                    </w:div>
                                    <w:div w:id="252393683">
                                      <w:marLeft w:val="0"/>
                                      <w:marRight w:val="0"/>
                                      <w:marTop w:val="0"/>
                                      <w:marBottom w:val="0"/>
                                      <w:divBdr>
                                        <w:top w:val="none" w:sz="0" w:space="0" w:color="auto"/>
                                        <w:left w:val="none" w:sz="0" w:space="0" w:color="auto"/>
                                        <w:bottom w:val="none" w:sz="0" w:space="0" w:color="auto"/>
                                        <w:right w:val="none" w:sz="0" w:space="0" w:color="auto"/>
                                      </w:divBdr>
                                    </w:div>
                                    <w:div w:id="252393684">
                                      <w:marLeft w:val="0"/>
                                      <w:marRight w:val="0"/>
                                      <w:marTop w:val="0"/>
                                      <w:marBottom w:val="0"/>
                                      <w:divBdr>
                                        <w:top w:val="none" w:sz="0" w:space="0" w:color="auto"/>
                                        <w:left w:val="none" w:sz="0" w:space="0" w:color="auto"/>
                                        <w:bottom w:val="none" w:sz="0" w:space="0" w:color="auto"/>
                                        <w:right w:val="none" w:sz="0" w:space="0" w:color="auto"/>
                                      </w:divBdr>
                                    </w:div>
                                    <w:div w:id="252393686">
                                      <w:marLeft w:val="0"/>
                                      <w:marRight w:val="0"/>
                                      <w:marTop w:val="0"/>
                                      <w:marBottom w:val="0"/>
                                      <w:divBdr>
                                        <w:top w:val="none" w:sz="0" w:space="0" w:color="auto"/>
                                        <w:left w:val="none" w:sz="0" w:space="0" w:color="auto"/>
                                        <w:bottom w:val="none" w:sz="0" w:space="0" w:color="auto"/>
                                        <w:right w:val="none" w:sz="0" w:space="0" w:color="auto"/>
                                      </w:divBdr>
                                    </w:div>
                                    <w:div w:id="252393688">
                                      <w:marLeft w:val="0"/>
                                      <w:marRight w:val="0"/>
                                      <w:marTop w:val="0"/>
                                      <w:marBottom w:val="0"/>
                                      <w:divBdr>
                                        <w:top w:val="none" w:sz="0" w:space="0" w:color="auto"/>
                                        <w:left w:val="none" w:sz="0" w:space="0" w:color="auto"/>
                                        <w:bottom w:val="none" w:sz="0" w:space="0" w:color="auto"/>
                                        <w:right w:val="none" w:sz="0" w:space="0" w:color="auto"/>
                                      </w:divBdr>
                                    </w:div>
                                    <w:div w:id="252393689">
                                      <w:marLeft w:val="0"/>
                                      <w:marRight w:val="0"/>
                                      <w:marTop w:val="0"/>
                                      <w:marBottom w:val="0"/>
                                      <w:divBdr>
                                        <w:top w:val="none" w:sz="0" w:space="0" w:color="auto"/>
                                        <w:left w:val="none" w:sz="0" w:space="0" w:color="auto"/>
                                        <w:bottom w:val="none" w:sz="0" w:space="0" w:color="auto"/>
                                        <w:right w:val="none" w:sz="0" w:space="0" w:color="auto"/>
                                      </w:divBdr>
                                    </w:div>
                                    <w:div w:id="252393690">
                                      <w:marLeft w:val="0"/>
                                      <w:marRight w:val="0"/>
                                      <w:marTop w:val="0"/>
                                      <w:marBottom w:val="0"/>
                                      <w:divBdr>
                                        <w:top w:val="none" w:sz="0" w:space="0" w:color="auto"/>
                                        <w:left w:val="none" w:sz="0" w:space="0" w:color="auto"/>
                                        <w:bottom w:val="none" w:sz="0" w:space="0" w:color="auto"/>
                                        <w:right w:val="none" w:sz="0" w:space="0" w:color="auto"/>
                                      </w:divBdr>
                                    </w:div>
                                    <w:div w:id="252393698">
                                      <w:marLeft w:val="0"/>
                                      <w:marRight w:val="0"/>
                                      <w:marTop w:val="0"/>
                                      <w:marBottom w:val="0"/>
                                      <w:divBdr>
                                        <w:top w:val="none" w:sz="0" w:space="0" w:color="auto"/>
                                        <w:left w:val="none" w:sz="0" w:space="0" w:color="auto"/>
                                        <w:bottom w:val="none" w:sz="0" w:space="0" w:color="auto"/>
                                        <w:right w:val="none" w:sz="0" w:space="0" w:color="auto"/>
                                      </w:divBdr>
                                    </w:div>
                                    <w:div w:id="252393701">
                                      <w:marLeft w:val="0"/>
                                      <w:marRight w:val="0"/>
                                      <w:marTop w:val="0"/>
                                      <w:marBottom w:val="0"/>
                                      <w:divBdr>
                                        <w:top w:val="none" w:sz="0" w:space="0" w:color="auto"/>
                                        <w:left w:val="none" w:sz="0" w:space="0" w:color="auto"/>
                                        <w:bottom w:val="none" w:sz="0" w:space="0" w:color="auto"/>
                                        <w:right w:val="none" w:sz="0" w:space="0" w:color="auto"/>
                                      </w:divBdr>
                                    </w:div>
                                    <w:div w:id="252393703">
                                      <w:marLeft w:val="0"/>
                                      <w:marRight w:val="0"/>
                                      <w:marTop w:val="0"/>
                                      <w:marBottom w:val="0"/>
                                      <w:divBdr>
                                        <w:top w:val="none" w:sz="0" w:space="0" w:color="auto"/>
                                        <w:left w:val="none" w:sz="0" w:space="0" w:color="auto"/>
                                        <w:bottom w:val="none" w:sz="0" w:space="0" w:color="auto"/>
                                        <w:right w:val="none" w:sz="0" w:space="0" w:color="auto"/>
                                      </w:divBdr>
                                    </w:div>
                                    <w:div w:id="252393709">
                                      <w:marLeft w:val="0"/>
                                      <w:marRight w:val="0"/>
                                      <w:marTop w:val="0"/>
                                      <w:marBottom w:val="0"/>
                                      <w:divBdr>
                                        <w:top w:val="none" w:sz="0" w:space="0" w:color="auto"/>
                                        <w:left w:val="none" w:sz="0" w:space="0" w:color="auto"/>
                                        <w:bottom w:val="none" w:sz="0" w:space="0" w:color="auto"/>
                                        <w:right w:val="none" w:sz="0" w:space="0" w:color="auto"/>
                                      </w:divBdr>
                                    </w:div>
                                    <w:div w:id="252393710">
                                      <w:marLeft w:val="0"/>
                                      <w:marRight w:val="0"/>
                                      <w:marTop w:val="0"/>
                                      <w:marBottom w:val="0"/>
                                      <w:divBdr>
                                        <w:top w:val="none" w:sz="0" w:space="0" w:color="auto"/>
                                        <w:left w:val="none" w:sz="0" w:space="0" w:color="auto"/>
                                        <w:bottom w:val="none" w:sz="0" w:space="0" w:color="auto"/>
                                        <w:right w:val="none" w:sz="0" w:space="0" w:color="auto"/>
                                      </w:divBdr>
                                    </w:div>
                                    <w:div w:id="252393714">
                                      <w:marLeft w:val="0"/>
                                      <w:marRight w:val="0"/>
                                      <w:marTop w:val="0"/>
                                      <w:marBottom w:val="0"/>
                                      <w:divBdr>
                                        <w:top w:val="none" w:sz="0" w:space="0" w:color="auto"/>
                                        <w:left w:val="none" w:sz="0" w:space="0" w:color="auto"/>
                                        <w:bottom w:val="none" w:sz="0" w:space="0" w:color="auto"/>
                                        <w:right w:val="none" w:sz="0" w:space="0" w:color="auto"/>
                                      </w:divBdr>
                                    </w:div>
                                    <w:div w:id="252393716">
                                      <w:marLeft w:val="0"/>
                                      <w:marRight w:val="0"/>
                                      <w:marTop w:val="0"/>
                                      <w:marBottom w:val="0"/>
                                      <w:divBdr>
                                        <w:top w:val="none" w:sz="0" w:space="0" w:color="auto"/>
                                        <w:left w:val="none" w:sz="0" w:space="0" w:color="auto"/>
                                        <w:bottom w:val="none" w:sz="0" w:space="0" w:color="auto"/>
                                        <w:right w:val="none" w:sz="0" w:space="0" w:color="auto"/>
                                      </w:divBdr>
                                    </w:div>
                                    <w:div w:id="252393717">
                                      <w:marLeft w:val="0"/>
                                      <w:marRight w:val="0"/>
                                      <w:marTop w:val="0"/>
                                      <w:marBottom w:val="0"/>
                                      <w:divBdr>
                                        <w:top w:val="none" w:sz="0" w:space="0" w:color="auto"/>
                                        <w:left w:val="none" w:sz="0" w:space="0" w:color="auto"/>
                                        <w:bottom w:val="none" w:sz="0" w:space="0" w:color="auto"/>
                                        <w:right w:val="none" w:sz="0" w:space="0" w:color="auto"/>
                                      </w:divBdr>
                                    </w:div>
                                    <w:div w:id="252393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52393720">
      <w:marLeft w:val="0"/>
      <w:marRight w:val="0"/>
      <w:marTop w:val="0"/>
      <w:marBottom w:val="0"/>
      <w:divBdr>
        <w:top w:val="none" w:sz="0" w:space="0" w:color="auto"/>
        <w:left w:val="none" w:sz="0" w:space="0" w:color="auto"/>
        <w:bottom w:val="none" w:sz="0" w:space="0" w:color="auto"/>
        <w:right w:val="none" w:sz="0" w:space="0" w:color="auto"/>
      </w:divBdr>
    </w:div>
    <w:div w:id="252393722">
      <w:marLeft w:val="0"/>
      <w:marRight w:val="0"/>
      <w:marTop w:val="0"/>
      <w:marBottom w:val="0"/>
      <w:divBdr>
        <w:top w:val="none" w:sz="0" w:space="0" w:color="auto"/>
        <w:left w:val="none" w:sz="0" w:space="0" w:color="auto"/>
        <w:bottom w:val="none" w:sz="0" w:space="0" w:color="auto"/>
        <w:right w:val="none" w:sz="0" w:space="0" w:color="auto"/>
      </w:divBdr>
      <w:divsChild>
        <w:div w:id="252393721">
          <w:marLeft w:val="0"/>
          <w:marRight w:val="0"/>
          <w:marTop w:val="0"/>
          <w:marBottom w:val="0"/>
          <w:divBdr>
            <w:top w:val="none" w:sz="0" w:space="0" w:color="auto"/>
            <w:left w:val="none" w:sz="0" w:space="0" w:color="auto"/>
            <w:bottom w:val="none" w:sz="0" w:space="0" w:color="auto"/>
            <w:right w:val="none" w:sz="0" w:space="0" w:color="auto"/>
          </w:divBdr>
        </w:div>
      </w:divsChild>
    </w:div>
    <w:div w:id="252393723">
      <w:marLeft w:val="0"/>
      <w:marRight w:val="0"/>
      <w:marTop w:val="0"/>
      <w:marBottom w:val="0"/>
      <w:divBdr>
        <w:top w:val="none" w:sz="0" w:space="0" w:color="auto"/>
        <w:left w:val="none" w:sz="0" w:space="0" w:color="auto"/>
        <w:bottom w:val="none" w:sz="0" w:space="0" w:color="auto"/>
        <w:right w:val="none" w:sz="0" w:space="0" w:color="auto"/>
      </w:divBdr>
    </w:div>
    <w:div w:id="252393725">
      <w:marLeft w:val="0"/>
      <w:marRight w:val="0"/>
      <w:marTop w:val="0"/>
      <w:marBottom w:val="0"/>
      <w:divBdr>
        <w:top w:val="none" w:sz="0" w:space="0" w:color="auto"/>
        <w:left w:val="none" w:sz="0" w:space="0" w:color="auto"/>
        <w:bottom w:val="none" w:sz="0" w:space="0" w:color="auto"/>
        <w:right w:val="none" w:sz="0" w:space="0" w:color="auto"/>
      </w:divBdr>
    </w:div>
    <w:div w:id="252393726">
      <w:marLeft w:val="0"/>
      <w:marRight w:val="0"/>
      <w:marTop w:val="0"/>
      <w:marBottom w:val="0"/>
      <w:divBdr>
        <w:top w:val="none" w:sz="0" w:space="0" w:color="auto"/>
        <w:left w:val="none" w:sz="0" w:space="0" w:color="auto"/>
        <w:bottom w:val="none" w:sz="0" w:space="0" w:color="auto"/>
        <w:right w:val="none" w:sz="0" w:space="0" w:color="auto"/>
      </w:divBdr>
    </w:div>
    <w:div w:id="252393727">
      <w:marLeft w:val="0"/>
      <w:marRight w:val="0"/>
      <w:marTop w:val="0"/>
      <w:marBottom w:val="0"/>
      <w:divBdr>
        <w:top w:val="none" w:sz="0" w:space="0" w:color="auto"/>
        <w:left w:val="none" w:sz="0" w:space="0" w:color="auto"/>
        <w:bottom w:val="none" w:sz="0" w:space="0" w:color="auto"/>
        <w:right w:val="none" w:sz="0" w:space="0" w:color="auto"/>
      </w:divBdr>
      <w:divsChild>
        <w:div w:id="252393724">
          <w:marLeft w:val="1166"/>
          <w:marRight w:val="0"/>
          <w:marTop w:val="134"/>
          <w:marBottom w:val="0"/>
          <w:divBdr>
            <w:top w:val="none" w:sz="0" w:space="0" w:color="auto"/>
            <w:left w:val="none" w:sz="0" w:space="0" w:color="auto"/>
            <w:bottom w:val="none" w:sz="0" w:space="0" w:color="auto"/>
            <w:right w:val="none" w:sz="0" w:space="0" w:color="auto"/>
          </w:divBdr>
        </w:div>
        <w:div w:id="252393729">
          <w:marLeft w:val="1166"/>
          <w:marRight w:val="0"/>
          <w:marTop w:val="134"/>
          <w:marBottom w:val="0"/>
          <w:divBdr>
            <w:top w:val="none" w:sz="0" w:space="0" w:color="auto"/>
            <w:left w:val="none" w:sz="0" w:space="0" w:color="auto"/>
            <w:bottom w:val="none" w:sz="0" w:space="0" w:color="auto"/>
            <w:right w:val="none" w:sz="0" w:space="0" w:color="auto"/>
          </w:divBdr>
        </w:div>
        <w:div w:id="252393730">
          <w:marLeft w:val="1166"/>
          <w:marRight w:val="0"/>
          <w:marTop w:val="134"/>
          <w:marBottom w:val="0"/>
          <w:divBdr>
            <w:top w:val="none" w:sz="0" w:space="0" w:color="auto"/>
            <w:left w:val="none" w:sz="0" w:space="0" w:color="auto"/>
            <w:bottom w:val="none" w:sz="0" w:space="0" w:color="auto"/>
            <w:right w:val="none" w:sz="0" w:space="0" w:color="auto"/>
          </w:divBdr>
        </w:div>
        <w:div w:id="252393733">
          <w:marLeft w:val="1166"/>
          <w:marRight w:val="0"/>
          <w:marTop w:val="134"/>
          <w:marBottom w:val="0"/>
          <w:divBdr>
            <w:top w:val="none" w:sz="0" w:space="0" w:color="auto"/>
            <w:left w:val="none" w:sz="0" w:space="0" w:color="auto"/>
            <w:bottom w:val="none" w:sz="0" w:space="0" w:color="auto"/>
            <w:right w:val="none" w:sz="0" w:space="0" w:color="auto"/>
          </w:divBdr>
        </w:div>
        <w:div w:id="252393736">
          <w:marLeft w:val="1166"/>
          <w:marRight w:val="0"/>
          <w:marTop w:val="134"/>
          <w:marBottom w:val="0"/>
          <w:divBdr>
            <w:top w:val="none" w:sz="0" w:space="0" w:color="auto"/>
            <w:left w:val="none" w:sz="0" w:space="0" w:color="auto"/>
            <w:bottom w:val="none" w:sz="0" w:space="0" w:color="auto"/>
            <w:right w:val="none" w:sz="0" w:space="0" w:color="auto"/>
          </w:divBdr>
        </w:div>
      </w:divsChild>
    </w:div>
    <w:div w:id="252393728">
      <w:marLeft w:val="0"/>
      <w:marRight w:val="0"/>
      <w:marTop w:val="0"/>
      <w:marBottom w:val="0"/>
      <w:divBdr>
        <w:top w:val="none" w:sz="0" w:space="0" w:color="auto"/>
        <w:left w:val="none" w:sz="0" w:space="0" w:color="auto"/>
        <w:bottom w:val="none" w:sz="0" w:space="0" w:color="auto"/>
        <w:right w:val="none" w:sz="0" w:space="0" w:color="auto"/>
      </w:divBdr>
    </w:div>
    <w:div w:id="252393731">
      <w:marLeft w:val="0"/>
      <w:marRight w:val="0"/>
      <w:marTop w:val="0"/>
      <w:marBottom w:val="0"/>
      <w:divBdr>
        <w:top w:val="none" w:sz="0" w:space="0" w:color="auto"/>
        <w:left w:val="none" w:sz="0" w:space="0" w:color="auto"/>
        <w:bottom w:val="none" w:sz="0" w:space="0" w:color="auto"/>
        <w:right w:val="none" w:sz="0" w:space="0" w:color="auto"/>
      </w:divBdr>
    </w:div>
    <w:div w:id="252393732">
      <w:marLeft w:val="0"/>
      <w:marRight w:val="0"/>
      <w:marTop w:val="0"/>
      <w:marBottom w:val="0"/>
      <w:divBdr>
        <w:top w:val="none" w:sz="0" w:space="0" w:color="auto"/>
        <w:left w:val="none" w:sz="0" w:space="0" w:color="auto"/>
        <w:bottom w:val="none" w:sz="0" w:space="0" w:color="auto"/>
        <w:right w:val="none" w:sz="0" w:space="0" w:color="auto"/>
      </w:divBdr>
    </w:div>
    <w:div w:id="252393734">
      <w:marLeft w:val="0"/>
      <w:marRight w:val="0"/>
      <w:marTop w:val="0"/>
      <w:marBottom w:val="0"/>
      <w:divBdr>
        <w:top w:val="none" w:sz="0" w:space="0" w:color="auto"/>
        <w:left w:val="none" w:sz="0" w:space="0" w:color="auto"/>
        <w:bottom w:val="none" w:sz="0" w:space="0" w:color="auto"/>
        <w:right w:val="none" w:sz="0" w:space="0" w:color="auto"/>
      </w:divBdr>
    </w:div>
    <w:div w:id="252393735">
      <w:marLeft w:val="0"/>
      <w:marRight w:val="0"/>
      <w:marTop w:val="0"/>
      <w:marBottom w:val="0"/>
      <w:divBdr>
        <w:top w:val="none" w:sz="0" w:space="0" w:color="auto"/>
        <w:left w:val="none" w:sz="0" w:space="0" w:color="auto"/>
        <w:bottom w:val="none" w:sz="0" w:space="0" w:color="auto"/>
        <w:right w:val="none" w:sz="0" w:space="0" w:color="auto"/>
      </w:divBdr>
    </w:div>
    <w:div w:id="252393737">
      <w:marLeft w:val="0"/>
      <w:marRight w:val="0"/>
      <w:marTop w:val="0"/>
      <w:marBottom w:val="0"/>
      <w:divBdr>
        <w:top w:val="none" w:sz="0" w:space="0" w:color="auto"/>
        <w:left w:val="none" w:sz="0" w:space="0" w:color="auto"/>
        <w:bottom w:val="none" w:sz="0" w:space="0" w:color="auto"/>
        <w:right w:val="none" w:sz="0" w:space="0" w:color="auto"/>
      </w:divBdr>
    </w:div>
    <w:div w:id="252393738">
      <w:marLeft w:val="0"/>
      <w:marRight w:val="0"/>
      <w:marTop w:val="0"/>
      <w:marBottom w:val="0"/>
      <w:divBdr>
        <w:top w:val="none" w:sz="0" w:space="0" w:color="auto"/>
        <w:left w:val="none" w:sz="0" w:space="0" w:color="auto"/>
        <w:bottom w:val="none" w:sz="0" w:space="0" w:color="auto"/>
        <w:right w:val="none" w:sz="0" w:space="0" w:color="auto"/>
      </w:divBdr>
    </w:div>
    <w:div w:id="281152978">
      <w:bodyDiv w:val="1"/>
      <w:marLeft w:val="0"/>
      <w:marRight w:val="0"/>
      <w:marTop w:val="0"/>
      <w:marBottom w:val="0"/>
      <w:divBdr>
        <w:top w:val="none" w:sz="0" w:space="0" w:color="auto"/>
        <w:left w:val="none" w:sz="0" w:space="0" w:color="auto"/>
        <w:bottom w:val="none" w:sz="0" w:space="0" w:color="auto"/>
        <w:right w:val="none" w:sz="0" w:space="0" w:color="auto"/>
      </w:divBdr>
    </w:div>
    <w:div w:id="304090569">
      <w:bodyDiv w:val="1"/>
      <w:marLeft w:val="0"/>
      <w:marRight w:val="0"/>
      <w:marTop w:val="0"/>
      <w:marBottom w:val="0"/>
      <w:divBdr>
        <w:top w:val="none" w:sz="0" w:space="0" w:color="auto"/>
        <w:left w:val="none" w:sz="0" w:space="0" w:color="auto"/>
        <w:bottom w:val="none" w:sz="0" w:space="0" w:color="auto"/>
        <w:right w:val="none" w:sz="0" w:space="0" w:color="auto"/>
      </w:divBdr>
    </w:div>
    <w:div w:id="313025076">
      <w:bodyDiv w:val="1"/>
      <w:marLeft w:val="0"/>
      <w:marRight w:val="0"/>
      <w:marTop w:val="0"/>
      <w:marBottom w:val="0"/>
      <w:divBdr>
        <w:top w:val="none" w:sz="0" w:space="0" w:color="auto"/>
        <w:left w:val="none" w:sz="0" w:space="0" w:color="auto"/>
        <w:bottom w:val="none" w:sz="0" w:space="0" w:color="auto"/>
        <w:right w:val="none" w:sz="0" w:space="0" w:color="auto"/>
      </w:divBdr>
    </w:div>
    <w:div w:id="313608758">
      <w:bodyDiv w:val="1"/>
      <w:marLeft w:val="0"/>
      <w:marRight w:val="0"/>
      <w:marTop w:val="0"/>
      <w:marBottom w:val="0"/>
      <w:divBdr>
        <w:top w:val="none" w:sz="0" w:space="0" w:color="auto"/>
        <w:left w:val="none" w:sz="0" w:space="0" w:color="auto"/>
        <w:bottom w:val="none" w:sz="0" w:space="0" w:color="auto"/>
        <w:right w:val="none" w:sz="0" w:space="0" w:color="auto"/>
      </w:divBdr>
      <w:divsChild>
        <w:div w:id="23092810">
          <w:marLeft w:val="547"/>
          <w:marRight w:val="0"/>
          <w:marTop w:val="115"/>
          <w:marBottom w:val="0"/>
          <w:divBdr>
            <w:top w:val="none" w:sz="0" w:space="0" w:color="auto"/>
            <w:left w:val="none" w:sz="0" w:space="0" w:color="auto"/>
            <w:bottom w:val="none" w:sz="0" w:space="0" w:color="auto"/>
            <w:right w:val="none" w:sz="0" w:space="0" w:color="auto"/>
          </w:divBdr>
        </w:div>
        <w:div w:id="43146524">
          <w:marLeft w:val="547"/>
          <w:marRight w:val="0"/>
          <w:marTop w:val="115"/>
          <w:marBottom w:val="0"/>
          <w:divBdr>
            <w:top w:val="none" w:sz="0" w:space="0" w:color="auto"/>
            <w:left w:val="none" w:sz="0" w:space="0" w:color="auto"/>
            <w:bottom w:val="none" w:sz="0" w:space="0" w:color="auto"/>
            <w:right w:val="none" w:sz="0" w:space="0" w:color="auto"/>
          </w:divBdr>
        </w:div>
        <w:div w:id="80371272">
          <w:marLeft w:val="547"/>
          <w:marRight w:val="0"/>
          <w:marTop w:val="115"/>
          <w:marBottom w:val="0"/>
          <w:divBdr>
            <w:top w:val="none" w:sz="0" w:space="0" w:color="auto"/>
            <w:left w:val="none" w:sz="0" w:space="0" w:color="auto"/>
            <w:bottom w:val="none" w:sz="0" w:space="0" w:color="auto"/>
            <w:right w:val="none" w:sz="0" w:space="0" w:color="auto"/>
          </w:divBdr>
        </w:div>
        <w:div w:id="427192645">
          <w:marLeft w:val="547"/>
          <w:marRight w:val="0"/>
          <w:marTop w:val="115"/>
          <w:marBottom w:val="0"/>
          <w:divBdr>
            <w:top w:val="none" w:sz="0" w:space="0" w:color="auto"/>
            <w:left w:val="none" w:sz="0" w:space="0" w:color="auto"/>
            <w:bottom w:val="none" w:sz="0" w:space="0" w:color="auto"/>
            <w:right w:val="none" w:sz="0" w:space="0" w:color="auto"/>
          </w:divBdr>
        </w:div>
        <w:div w:id="1393961601">
          <w:marLeft w:val="547"/>
          <w:marRight w:val="0"/>
          <w:marTop w:val="115"/>
          <w:marBottom w:val="0"/>
          <w:divBdr>
            <w:top w:val="none" w:sz="0" w:space="0" w:color="auto"/>
            <w:left w:val="none" w:sz="0" w:space="0" w:color="auto"/>
            <w:bottom w:val="none" w:sz="0" w:space="0" w:color="auto"/>
            <w:right w:val="none" w:sz="0" w:space="0" w:color="auto"/>
          </w:divBdr>
        </w:div>
        <w:div w:id="1543714666">
          <w:marLeft w:val="547"/>
          <w:marRight w:val="0"/>
          <w:marTop w:val="115"/>
          <w:marBottom w:val="0"/>
          <w:divBdr>
            <w:top w:val="none" w:sz="0" w:space="0" w:color="auto"/>
            <w:left w:val="none" w:sz="0" w:space="0" w:color="auto"/>
            <w:bottom w:val="none" w:sz="0" w:space="0" w:color="auto"/>
            <w:right w:val="none" w:sz="0" w:space="0" w:color="auto"/>
          </w:divBdr>
        </w:div>
        <w:div w:id="1917519774">
          <w:marLeft w:val="547"/>
          <w:marRight w:val="0"/>
          <w:marTop w:val="115"/>
          <w:marBottom w:val="0"/>
          <w:divBdr>
            <w:top w:val="none" w:sz="0" w:space="0" w:color="auto"/>
            <w:left w:val="none" w:sz="0" w:space="0" w:color="auto"/>
            <w:bottom w:val="none" w:sz="0" w:space="0" w:color="auto"/>
            <w:right w:val="none" w:sz="0" w:space="0" w:color="auto"/>
          </w:divBdr>
        </w:div>
      </w:divsChild>
    </w:div>
    <w:div w:id="324823060">
      <w:bodyDiv w:val="1"/>
      <w:marLeft w:val="0"/>
      <w:marRight w:val="0"/>
      <w:marTop w:val="0"/>
      <w:marBottom w:val="0"/>
      <w:divBdr>
        <w:top w:val="none" w:sz="0" w:space="0" w:color="auto"/>
        <w:left w:val="none" w:sz="0" w:space="0" w:color="auto"/>
        <w:bottom w:val="none" w:sz="0" w:space="0" w:color="auto"/>
        <w:right w:val="none" w:sz="0" w:space="0" w:color="auto"/>
      </w:divBdr>
    </w:div>
    <w:div w:id="334841924">
      <w:bodyDiv w:val="1"/>
      <w:marLeft w:val="0"/>
      <w:marRight w:val="0"/>
      <w:marTop w:val="0"/>
      <w:marBottom w:val="0"/>
      <w:divBdr>
        <w:top w:val="none" w:sz="0" w:space="0" w:color="auto"/>
        <w:left w:val="none" w:sz="0" w:space="0" w:color="auto"/>
        <w:bottom w:val="none" w:sz="0" w:space="0" w:color="auto"/>
        <w:right w:val="none" w:sz="0" w:space="0" w:color="auto"/>
      </w:divBdr>
    </w:div>
    <w:div w:id="336615159">
      <w:bodyDiv w:val="1"/>
      <w:marLeft w:val="0"/>
      <w:marRight w:val="0"/>
      <w:marTop w:val="0"/>
      <w:marBottom w:val="0"/>
      <w:divBdr>
        <w:top w:val="none" w:sz="0" w:space="0" w:color="auto"/>
        <w:left w:val="none" w:sz="0" w:space="0" w:color="auto"/>
        <w:bottom w:val="none" w:sz="0" w:space="0" w:color="auto"/>
        <w:right w:val="none" w:sz="0" w:space="0" w:color="auto"/>
      </w:divBdr>
    </w:div>
    <w:div w:id="337462312">
      <w:bodyDiv w:val="1"/>
      <w:marLeft w:val="0"/>
      <w:marRight w:val="0"/>
      <w:marTop w:val="0"/>
      <w:marBottom w:val="0"/>
      <w:divBdr>
        <w:top w:val="none" w:sz="0" w:space="0" w:color="auto"/>
        <w:left w:val="none" w:sz="0" w:space="0" w:color="auto"/>
        <w:bottom w:val="none" w:sz="0" w:space="0" w:color="auto"/>
        <w:right w:val="none" w:sz="0" w:space="0" w:color="auto"/>
      </w:divBdr>
    </w:div>
    <w:div w:id="346257271">
      <w:bodyDiv w:val="1"/>
      <w:marLeft w:val="0"/>
      <w:marRight w:val="0"/>
      <w:marTop w:val="0"/>
      <w:marBottom w:val="0"/>
      <w:divBdr>
        <w:top w:val="none" w:sz="0" w:space="0" w:color="auto"/>
        <w:left w:val="none" w:sz="0" w:space="0" w:color="auto"/>
        <w:bottom w:val="none" w:sz="0" w:space="0" w:color="auto"/>
        <w:right w:val="none" w:sz="0" w:space="0" w:color="auto"/>
      </w:divBdr>
    </w:div>
    <w:div w:id="376324572">
      <w:bodyDiv w:val="1"/>
      <w:marLeft w:val="0"/>
      <w:marRight w:val="0"/>
      <w:marTop w:val="0"/>
      <w:marBottom w:val="0"/>
      <w:divBdr>
        <w:top w:val="none" w:sz="0" w:space="0" w:color="auto"/>
        <w:left w:val="none" w:sz="0" w:space="0" w:color="auto"/>
        <w:bottom w:val="none" w:sz="0" w:space="0" w:color="auto"/>
        <w:right w:val="none" w:sz="0" w:space="0" w:color="auto"/>
      </w:divBdr>
    </w:div>
    <w:div w:id="381095926">
      <w:bodyDiv w:val="1"/>
      <w:marLeft w:val="0"/>
      <w:marRight w:val="0"/>
      <w:marTop w:val="0"/>
      <w:marBottom w:val="0"/>
      <w:divBdr>
        <w:top w:val="none" w:sz="0" w:space="0" w:color="auto"/>
        <w:left w:val="none" w:sz="0" w:space="0" w:color="auto"/>
        <w:bottom w:val="none" w:sz="0" w:space="0" w:color="auto"/>
        <w:right w:val="none" w:sz="0" w:space="0" w:color="auto"/>
      </w:divBdr>
    </w:div>
    <w:div w:id="381253466">
      <w:bodyDiv w:val="1"/>
      <w:marLeft w:val="0"/>
      <w:marRight w:val="0"/>
      <w:marTop w:val="0"/>
      <w:marBottom w:val="0"/>
      <w:divBdr>
        <w:top w:val="none" w:sz="0" w:space="0" w:color="auto"/>
        <w:left w:val="none" w:sz="0" w:space="0" w:color="auto"/>
        <w:bottom w:val="none" w:sz="0" w:space="0" w:color="auto"/>
        <w:right w:val="none" w:sz="0" w:space="0" w:color="auto"/>
      </w:divBdr>
    </w:div>
    <w:div w:id="400371054">
      <w:bodyDiv w:val="1"/>
      <w:marLeft w:val="0"/>
      <w:marRight w:val="0"/>
      <w:marTop w:val="0"/>
      <w:marBottom w:val="0"/>
      <w:divBdr>
        <w:top w:val="none" w:sz="0" w:space="0" w:color="auto"/>
        <w:left w:val="none" w:sz="0" w:space="0" w:color="auto"/>
        <w:bottom w:val="none" w:sz="0" w:space="0" w:color="auto"/>
        <w:right w:val="none" w:sz="0" w:space="0" w:color="auto"/>
      </w:divBdr>
    </w:div>
    <w:div w:id="408621130">
      <w:bodyDiv w:val="1"/>
      <w:marLeft w:val="0"/>
      <w:marRight w:val="0"/>
      <w:marTop w:val="0"/>
      <w:marBottom w:val="0"/>
      <w:divBdr>
        <w:top w:val="none" w:sz="0" w:space="0" w:color="auto"/>
        <w:left w:val="none" w:sz="0" w:space="0" w:color="auto"/>
        <w:bottom w:val="none" w:sz="0" w:space="0" w:color="auto"/>
        <w:right w:val="none" w:sz="0" w:space="0" w:color="auto"/>
      </w:divBdr>
    </w:div>
    <w:div w:id="439881824">
      <w:bodyDiv w:val="1"/>
      <w:marLeft w:val="0"/>
      <w:marRight w:val="0"/>
      <w:marTop w:val="0"/>
      <w:marBottom w:val="0"/>
      <w:divBdr>
        <w:top w:val="none" w:sz="0" w:space="0" w:color="auto"/>
        <w:left w:val="none" w:sz="0" w:space="0" w:color="auto"/>
        <w:bottom w:val="none" w:sz="0" w:space="0" w:color="auto"/>
        <w:right w:val="none" w:sz="0" w:space="0" w:color="auto"/>
      </w:divBdr>
    </w:div>
    <w:div w:id="448595672">
      <w:bodyDiv w:val="1"/>
      <w:marLeft w:val="0"/>
      <w:marRight w:val="0"/>
      <w:marTop w:val="0"/>
      <w:marBottom w:val="0"/>
      <w:divBdr>
        <w:top w:val="none" w:sz="0" w:space="0" w:color="auto"/>
        <w:left w:val="none" w:sz="0" w:space="0" w:color="auto"/>
        <w:bottom w:val="none" w:sz="0" w:space="0" w:color="auto"/>
        <w:right w:val="none" w:sz="0" w:space="0" w:color="auto"/>
      </w:divBdr>
    </w:div>
    <w:div w:id="451215687">
      <w:bodyDiv w:val="1"/>
      <w:marLeft w:val="0"/>
      <w:marRight w:val="0"/>
      <w:marTop w:val="0"/>
      <w:marBottom w:val="0"/>
      <w:divBdr>
        <w:top w:val="none" w:sz="0" w:space="0" w:color="auto"/>
        <w:left w:val="none" w:sz="0" w:space="0" w:color="auto"/>
        <w:bottom w:val="none" w:sz="0" w:space="0" w:color="auto"/>
        <w:right w:val="none" w:sz="0" w:space="0" w:color="auto"/>
      </w:divBdr>
    </w:div>
    <w:div w:id="500506467">
      <w:bodyDiv w:val="1"/>
      <w:marLeft w:val="0"/>
      <w:marRight w:val="0"/>
      <w:marTop w:val="0"/>
      <w:marBottom w:val="0"/>
      <w:divBdr>
        <w:top w:val="none" w:sz="0" w:space="0" w:color="auto"/>
        <w:left w:val="none" w:sz="0" w:space="0" w:color="auto"/>
        <w:bottom w:val="none" w:sz="0" w:space="0" w:color="auto"/>
        <w:right w:val="none" w:sz="0" w:space="0" w:color="auto"/>
      </w:divBdr>
    </w:div>
    <w:div w:id="521406085">
      <w:bodyDiv w:val="1"/>
      <w:marLeft w:val="0"/>
      <w:marRight w:val="0"/>
      <w:marTop w:val="0"/>
      <w:marBottom w:val="0"/>
      <w:divBdr>
        <w:top w:val="none" w:sz="0" w:space="0" w:color="auto"/>
        <w:left w:val="none" w:sz="0" w:space="0" w:color="auto"/>
        <w:bottom w:val="none" w:sz="0" w:space="0" w:color="auto"/>
        <w:right w:val="none" w:sz="0" w:space="0" w:color="auto"/>
      </w:divBdr>
    </w:div>
    <w:div w:id="535312981">
      <w:bodyDiv w:val="1"/>
      <w:marLeft w:val="0"/>
      <w:marRight w:val="0"/>
      <w:marTop w:val="0"/>
      <w:marBottom w:val="0"/>
      <w:divBdr>
        <w:top w:val="none" w:sz="0" w:space="0" w:color="auto"/>
        <w:left w:val="none" w:sz="0" w:space="0" w:color="auto"/>
        <w:bottom w:val="none" w:sz="0" w:space="0" w:color="auto"/>
        <w:right w:val="none" w:sz="0" w:space="0" w:color="auto"/>
      </w:divBdr>
    </w:div>
    <w:div w:id="543059156">
      <w:bodyDiv w:val="1"/>
      <w:marLeft w:val="0"/>
      <w:marRight w:val="0"/>
      <w:marTop w:val="0"/>
      <w:marBottom w:val="0"/>
      <w:divBdr>
        <w:top w:val="none" w:sz="0" w:space="0" w:color="auto"/>
        <w:left w:val="none" w:sz="0" w:space="0" w:color="auto"/>
        <w:bottom w:val="none" w:sz="0" w:space="0" w:color="auto"/>
        <w:right w:val="none" w:sz="0" w:space="0" w:color="auto"/>
      </w:divBdr>
      <w:divsChild>
        <w:div w:id="76754154">
          <w:marLeft w:val="806"/>
          <w:marRight w:val="0"/>
          <w:marTop w:val="115"/>
          <w:marBottom w:val="0"/>
          <w:divBdr>
            <w:top w:val="none" w:sz="0" w:space="0" w:color="auto"/>
            <w:left w:val="none" w:sz="0" w:space="0" w:color="auto"/>
            <w:bottom w:val="none" w:sz="0" w:space="0" w:color="auto"/>
            <w:right w:val="none" w:sz="0" w:space="0" w:color="auto"/>
          </w:divBdr>
        </w:div>
        <w:div w:id="387533154">
          <w:marLeft w:val="806"/>
          <w:marRight w:val="0"/>
          <w:marTop w:val="115"/>
          <w:marBottom w:val="0"/>
          <w:divBdr>
            <w:top w:val="none" w:sz="0" w:space="0" w:color="auto"/>
            <w:left w:val="none" w:sz="0" w:space="0" w:color="auto"/>
            <w:bottom w:val="none" w:sz="0" w:space="0" w:color="auto"/>
            <w:right w:val="none" w:sz="0" w:space="0" w:color="auto"/>
          </w:divBdr>
        </w:div>
        <w:div w:id="518541560">
          <w:marLeft w:val="806"/>
          <w:marRight w:val="0"/>
          <w:marTop w:val="115"/>
          <w:marBottom w:val="0"/>
          <w:divBdr>
            <w:top w:val="none" w:sz="0" w:space="0" w:color="auto"/>
            <w:left w:val="none" w:sz="0" w:space="0" w:color="auto"/>
            <w:bottom w:val="none" w:sz="0" w:space="0" w:color="auto"/>
            <w:right w:val="none" w:sz="0" w:space="0" w:color="auto"/>
          </w:divBdr>
        </w:div>
        <w:div w:id="568728173">
          <w:marLeft w:val="806"/>
          <w:marRight w:val="0"/>
          <w:marTop w:val="115"/>
          <w:marBottom w:val="0"/>
          <w:divBdr>
            <w:top w:val="none" w:sz="0" w:space="0" w:color="auto"/>
            <w:left w:val="none" w:sz="0" w:space="0" w:color="auto"/>
            <w:bottom w:val="none" w:sz="0" w:space="0" w:color="auto"/>
            <w:right w:val="none" w:sz="0" w:space="0" w:color="auto"/>
          </w:divBdr>
        </w:div>
        <w:div w:id="1158378695">
          <w:marLeft w:val="806"/>
          <w:marRight w:val="0"/>
          <w:marTop w:val="115"/>
          <w:marBottom w:val="0"/>
          <w:divBdr>
            <w:top w:val="none" w:sz="0" w:space="0" w:color="auto"/>
            <w:left w:val="none" w:sz="0" w:space="0" w:color="auto"/>
            <w:bottom w:val="none" w:sz="0" w:space="0" w:color="auto"/>
            <w:right w:val="none" w:sz="0" w:space="0" w:color="auto"/>
          </w:divBdr>
        </w:div>
        <w:div w:id="1225025107">
          <w:marLeft w:val="806"/>
          <w:marRight w:val="0"/>
          <w:marTop w:val="115"/>
          <w:marBottom w:val="0"/>
          <w:divBdr>
            <w:top w:val="none" w:sz="0" w:space="0" w:color="auto"/>
            <w:left w:val="none" w:sz="0" w:space="0" w:color="auto"/>
            <w:bottom w:val="none" w:sz="0" w:space="0" w:color="auto"/>
            <w:right w:val="none" w:sz="0" w:space="0" w:color="auto"/>
          </w:divBdr>
        </w:div>
        <w:div w:id="1381591541">
          <w:marLeft w:val="806"/>
          <w:marRight w:val="0"/>
          <w:marTop w:val="115"/>
          <w:marBottom w:val="0"/>
          <w:divBdr>
            <w:top w:val="none" w:sz="0" w:space="0" w:color="auto"/>
            <w:left w:val="none" w:sz="0" w:space="0" w:color="auto"/>
            <w:bottom w:val="none" w:sz="0" w:space="0" w:color="auto"/>
            <w:right w:val="none" w:sz="0" w:space="0" w:color="auto"/>
          </w:divBdr>
        </w:div>
        <w:div w:id="1915045062">
          <w:marLeft w:val="806"/>
          <w:marRight w:val="0"/>
          <w:marTop w:val="115"/>
          <w:marBottom w:val="0"/>
          <w:divBdr>
            <w:top w:val="none" w:sz="0" w:space="0" w:color="auto"/>
            <w:left w:val="none" w:sz="0" w:space="0" w:color="auto"/>
            <w:bottom w:val="none" w:sz="0" w:space="0" w:color="auto"/>
            <w:right w:val="none" w:sz="0" w:space="0" w:color="auto"/>
          </w:divBdr>
        </w:div>
        <w:div w:id="2059082370">
          <w:marLeft w:val="806"/>
          <w:marRight w:val="0"/>
          <w:marTop w:val="115"/>
          <w:marBottom w:val="0"/>
          <w:divBdr>
            <w:top w:val="none" w:sz="0" w:space="0" w:color="auto"/>
            <w:left w:val="none" w:sz="0" w:space="0" w:color="auto"/>
            <w:bottom w:val="none" w:sz="0" w:space="0" w:color="auto"/>
            <w:right w:val="none" w:sz="0" w:space="0" w:color="auto"/>
          </w:divBdr>
        </w:div>
      </w:divsChild>
    </w:div>
    <w:div w:id="549389925">
      <w:bodyDiv w:val="1"/>
      <w:marLeft w:val="0"/>
      <w:marRight w:val="0"/>
      <w:marTop w:val="0"/>
      <w:marBottom w:val="0"/>
      <w:divBdr>
        <w:top w:val="none" w:sz="0" w:space="0" w:color="auto"/>
        <w:left w:val="none" w:sz="0" w:space="0" w:color="auto"/>
        <w:bottom w:val="none" w:sz="0" w:space="0" w:color="auto"/>
        <w:right w:val="none" w:sz="0" w:space="0" w:color="auto"/>
      </w:divBdr>
    </w:div>
    <w:div w:id="559290968">
      <w:bodyDiv w:val="1"/>
      <w:marLeft w:val="0"/>
      <w:marRight w:val="0"/>
      <w:marTop w:val="0"/>
      <w:marBottom w:val="0"/>
      <w:divBdr>
        <w:top w:val="none" w:sz="0" w:space="0" w:color="auto"/>
        <w:left w:val="none" w:sz="0" w:space="0" w:color="auto"/>
        <w:bottom w:val="none" w:sz="0" w:space="0" w:color="auto"/>
        <w:right w:val="none" w:sz="0" w:space="0" w:color="auto"/>
      </w:divBdr>
    </w:div>
    <w:div w:id="561910025">
      <w:bodyDiv w:val="1"/>
      <w:marLeft w:val="0"/>
      <w:marRight w:val="0"/>
      <w:marTop w:val="0"/>
      <w:marBottom w:val="0"/>
      <w:divBdr>
        <w:top w:val="none" w:sz="0" w:space="0" w:color="auto"/>
        <w:left w:val="none" w:sz="0" w:space="0" w:color="auto"/>
        <w:bottom w:val="none" w:sz="0" w:space="0" w:color="auto"/>
        <w:right w:val="none" w:sz="0" w:space="0" w:color="auto"/>
      </w:divBdr>
    </w:div>
    <w:div w:id="569921453">
      <w:bodyDiv w:val="1"/>
      <w:marLeft w:val="0"/>
      <w:marRight w:val="0"/>
      <w:marTop w:val="0"/>
      <w:marBottom w:val="0"/>
      <w:divBdr>
        <w:top w:val="none" w:sz="0" w:space="0" w:color="auto"/>
        <w:left w:val="none" w:sz="0" w:space="0" w:color="auto"/>
        <w:bottom w:val="none" w:sz="0" w:space="0" w:color="auto"/>
        <w:right w:val="none" w:sz="0" w:space="0" w:color="auto"/>
      </w:divBdr>
      <w:divsChild>
        <w:div w:id="144133296">
          <w:marLeft w:val="547"/>
          <w:marRight w:val="0"/>
          <w:marTop w:val="96"/>
          <w:marBottom w:val="0"/>
          <w:divBdr>
            <w:top w:val="none" w:sz="0" w:space="0" w:color="auto"/>
            <w:left w:val="none" w:sz="0" w:space="0" w:color="auto"/>
            <w:bottom w:val="none" w:sz="0" w:space="0" w:color="auto"/>
            <w:right w:val="none" w:sz="0" w:space="0" w:color="auto"/>
          </w:divBdr>
        </w:div>
        <w:div w:id="778528718">
          <w:marLeft w:val="547"/>
          <w:marRight w:val="0"/>
          <w:marTop w:val="96"/>
          <w:marBottom w:val="0"/>
          <w:divBdr>
            <w:top w:val="none" w:sz="0" w:space="0" w:color="auto"/>
            <w:left w:val="none" w:sz="0" w:space="0" w:color="auto"/>
            <w:bottom w:val="none" w:sz="0" w:space="0" w:color="auto"/>
            <w:right w:val="none" w:sz="0" w:space="0" w:color="auto"/>
          </w:divBdr>
        </w:div>
        <w:div w:id="1558669035">
          <w:marLeft w:val="547"/>
          <w:marRight w:val="0"/>
          <w:marTop w:val="96"/>
          <w:marBottom w:val="0"/>
          <w:divBdr>
            <w:top w:val="none" w:sz="0" w:space="0" w:color="auto"/>
            <w:left w:val="none" w:sz="0" w:space="0" w:color="auto"/>
            <w:bottom w:val="none" w:sz="0" w:space="0" w:color="auto"/>
            <w:right w:val="none" w:sz="0" w:space="0" w:color="auto"/>
          </w:divBdr>
        </w:div>
        <w:div w:id="1737043524">
          <w:marLeft w:val="547"/>
          <w:marRight w:val="0"/>
          <w:marTop w:val="96"/>
          <w:marBottom w:val="0"/>
          <w:divBdr>
            <w:top w:val="none" w:sz="0" w:space="0" w:color="auto"/>
            <w:left w:val="none" w:sz="0" w:space="0" w:color="auto"/>
            <w:bottom w:val="none" w:sz="0" w:space="0" w:color="auto"/>
            <w:right w:val="none" w:sz="0" w:space="0" w:color="auto"/>
          </w:divBdr>
        </w:div>
        <w:div w:id="1806963983">
          <w:marLeft w:val="547"/>
          <w:marRight w:val="0"/>
          <w:marTop w:val="96"/>
          <w:marBottom w:val="0"/>
          <w:divBdr>
            <w:top w:val="none" w:sz="0" w:space="0" w:color="auto"/>
            <w:left w:val="none" w:sz="0" w:space="0" w:color="auto"/>
            <w:bottom w:val="none" w:sz="0" w:space="0" w:color="auto"/>
            <w:right w:val="none" w:sz="0" w:space="0" w:color="auto"/>
          </w:divBdr>
        </w:div>
        <w:div w:id="1943803159">
          <w:marLeft w:val="547"/>
          <w:marRight w:val="0"/>
          <w:marTop w:val="96"/>
          <w:marBottom w:val="0"/>
          <w:divBdr>
            <w:top w:val="none" w:sz="0" w:space="0" w:color="auto"/>
            <w:left w:val="none" w:sz="0" w:space="0" w:color="auto"/>
            <w:bottom w:val="none" w:sz="0" w:space="0" w:color="auto"/>
            <w:right w:val="none" w:sz="0" w:space="0" w:color="auto"/>
          </w:divBdr>
        </w:div>
      </w:divsChild>
    </w:div>
    <w:div w:id="572541946">
      <w:bodyDiv w:val="1"/>
      <w:marLeft w:val="0"/>
      <w:marRight w:val="0"/>
      <w:marTop w:val="0"/>
      <w:marBottom w:val="0"/>
      <w:divBdr>
        <w:top w:val="none" w:sz="0" w:space="0" w:color="auto"/>
        <w:left w:val="none" w:sz="0" w:space="0" w:color="auto"/>
        <w:bottom w:val="none" w:sz="0" w:space="0" w:color="auto"/>
        <w:right w:val="none" w:sz="0" w:space="0" w:color="auto"/>
      </w:divBdr>
    </w:div>
    <w:div w:id="574508838">
      <w:bodyDiv w:val="1"/>
      <w:marLeft w:val="0"/>
      <w:marRight w:val="0"/>
      <w:marTop w:val="0"/>
      <w:marBottom w:val="0"/>
      <w:divBdr>
        <w:top w:val="none" w:sz="0" w:space="0" w:color="auto"/>
        <w:left w:val="none" w:sz="0" w:space="0" w:color="auto"/>
        <w:bottom w:val="none" w:sz="0" w:space="0" w:color="auto"/>
        <w:right w:val="none" w:sz="0" w:space="0" w:color="auto"/>
      </w:divBdr>
    </w:div>
    <w:div w:id="577911110">
      <w:bodyDiv w:val="1"/>
      <w:marLeft w:val="0"/>
      <w:marRight w:val="0"/>
      <w:marTop w:val="0"/>
      <w:marBottom w:val="0"/>
      <w:divBdr>
        <w:top w:val="none" w:sz="0" w:space="0" w:color="auto"/>
        <w:left w:val="none" w:sz="0" w:space="0" w:color="auto"/>
        <w:bottom w:val="none" w:sz="0" w:space="0" w:color="auto"/>
        <w:right w:val="none" w:sz="0" w:space="0" w:color="auto"/>
      </w:divBdr>
    </w:div>
    <w:div w:id="593168894">
      <w:bodyDiv w:val="1"/>
      <w:marLeft w:val="0"/>
      <w:marRight w:val="0"/>
      <w:marTop w:val="0"/>
      <w:marBottom w:val="0"/>
      <w:divBdr>
        <w:top w:val="none" w:sz="0" w:space="0" w:color="auto"/>
        <w:left w:val="none" w:sz="0" w:space="0" w:color="auto"/>
        <w:bottom w:val="none" w:sz="0" w:space="0" w:color="auto"/>
        <w:right w:val="none" w:sz="0" w:space="0" w:color="auto"/>
      </w:divBdr>
    </w:div>
    <w:div w:id="608514247">
      <w:bodyDiv w:val="1"/>
      <w:marLeft w:val="0"/>
      <w:marRight w:val="0"/>
      <w:marTop w:val="0"/>
      <w:marBottom w:val="0"/>
      <w:divBdr>
        <w:top w:val="none" w:sz="0" w:space="0" w:color="auto"/>
        <w:left w:val="none" w:sz="0" w:space="0" w:color="auto"/>
        <w:bottom w:val="none" w:sz="0" w:space="0" w:color="auto"/>
        <w:right w:val="none" w:sz="0" w:space="0" w:color="auto"/>
      </w:divBdr>
    </w:div>
    <w:div w:id="633682559">
      <w:bodyDiv w:val="1"/>
      <w:marLeft w:val="0"/>
      <w:marRight w:val="0"/>
      <w:marTop w:val="0"/>
      <w:marBottom w:val="0"/>
      <w:divBdr>
        <w:top w:val="none" w:sz="0" w:space="0" w:color="auto"/>
        <w:left w:val="none" w:sz="0" w:space="0" w:color="auto"/>
        <w:bottom w:val="none" w:sz="0" w:space="0" w:color="auto"/>
        <w:right w:val="none" w:sz="0" w:space="0" w:color="auto"/>
      </w:divBdr>
    </w:div>
    <w:div w:id="636490136">
      <w:bodyDiv w:val="1"/>
      <w:marLeft w:val="0"/>
      <w:marRight w:val="0"/>
      <w:marTop w:val="0"/>
      <w:marBottom w:val="0"/>
      <w:divBdr>
        <w:top w:val="none" w:sz="0" w:space="0" w:color="auto"/>
        <w:left w:val="none" w:sz="0" w:space="0" w:color="auto"/>
        <w:bottom w:val="none" w:sz="0" w:space="0" w:color="auto"/>
        <w:right w:val="none" w:sz="0" w:space="0" w:color="auto"/>
      </w:divBdr>
    </w:div>
    <w:div w:id="650401250">
      <w:bodyDiv w:val="1"/>
      <w:marLeft w:val="0"/>
      <w:marRight w:val="0"/>
      <w:marTop w:val="0"/>
      <w:marBottom w:val="0"/>
      <w:divBdr>
        <w:top w:val="none" w:sz="0" w:space="0" w:color="auto"/>
        <w:left w:val="none" w:sz="0" w:space="0" w:color="auto"/>
        <w:bottom w:val="none" w:sz="0" w:space="0" w:color="auto"/>
        <w:right w:val="none" w:sz="0" w:space="0" w:color="auto"/>
      </w:divBdr>
    </w:div>
    <w:div w:id="651368880">
      <w:bodyDiv w:val="1"/>
      <w:marLeft w:val="0"/>
      <w:marRight w:val="0"/>
      <w:marTop w:val="0"/>
      <w:marBottom w:val="0"/>
      <w:divBdr>
        <w:top w:val="none" w:sz="0" w:space="0" w:color="auto"/>
        <w:left w:val="none" w:sz="0" w:space="0" w:color="auto"/>
        <w:bottom w:val="none" w:sz="0" w:space="0" w:color="auto"/>
        <w:right w:val="none" w:sz="0" w:space="0" w:color="auto"/>
      </w:divBdr>
    </w:div>
    <w:div w:id="677804768">
      <w:bodyDiv w:val="1"/>
      <w:marLeft w:val="0"/>
      <w:marRight w:val="0"/>
      <w:marTop w:val="0"/>
      <w:marBottom w:val="0"/>
      <w:divBdr>
        <w:top w:val="none" w:sz="0" w:space="0" w:color="auto"/>
        <w:left w:val="none" w:sz="0" w:space="0" w:color="auto"/>
        <w:bottom w:val="none" w:sz="0" w:space="0" w:color="auto"/>
        <w:right w:val="none" w:sz="0" w:space="0" w:color="auto"/>
      </w:divBdr>
      <w:divsChild>
        <w:div w:id="639113265">
          <w:marLeft w:val="0"/>
          <w:marRight w:val="0"/>
          <w:marTop w:val="0"/>
          <w:marBottom w:val="0"/>
          <w:divBdr>
            <w:top w:val="none" w:sz="0" w:space="0" w:color="auto"/>
            <w:left w:val="single" w:sz="36" w:space="6" w:color="FFFFFF"/>
            <w:bottom w:val="single" w:sz="36" w:space="6" w:color="FFFFFF"/>
            <w:right w:val="single" w:sz="36" w:space="6" w:color="FFFFFF"/>
          </w:divBdr>
          <w:divsChild>
            <w:div w:id="555164218">
              <w:marLeft w:val="0"/>
              <w:marRight w:val="0"/>
              <w:marTop w:val="0"/>
              <w:marBottom w:val="0"/>
              <w:divBdr>
                <w:top w:val="none" w:sz="0" w:space="0" w:color="auto"/>
                <w:left w:val="none" w:sz="0" w:space="0" w:color="auto"/>
                <w:bottom w:val="none" w:sz="0" w:space="0" w:color="auto"/>
                <w:right w:val="none" w:sz="0" w:space="0" w:color="auto"/>
              </w:divBdr>
              <w:divsChild>
                <w:div w:id="1131479645">
                  <w:marLeft w:val="0"/>
                  <w:marRight w:val="0"/>
                  <w:marTop w:val="0"/>
                  <w:marBottom w:val="0"/>
                  <w:divBdr>
                    <w:top w:val="none" w:sz="0" w:space="0" w:color="auto"/>
                    <w:left w:val="none" w:sz="0" w:space="0" w:color="auto"/>
                    <w:bottom w:val="none" w:sz="0" w:space="0" w:color="auto"/>
                    <w:right w:val="none" w:sz="0" w:space="0" w:color="auto"/>
                  </w:divBdr>
                  <w:divsChild>
                    <w:div w:id="1772511838">
                      <w:marLeft w:val="0"/>
                      <w:marRight w:val="105"/>
                      <w:marTop w:val="0"/>
                      <w:marBottom w:val="0"/>
                      <w:divBdr>
                        <w:top w:val="none" w:sz="0" w:space="0" w:color="auto"/>
                        <w:left w:val="none" w:sz="0" w:space="0" w:color="auto"/>
                        <w:bottom w:val="none" w:sz="0" w:space="0" w:color="auto"/>
                        <w:right w:val="none" w:sz="0" w:space="0" w:color="auto"/>
                      </w:divBdr>
                      <w:divsChild>
                        <w:div w:id="2096197569">
                          <w:marLeft w:val="0"/>
                          <w:marRight w:val="0"/>
                          <w:marTop w:val="0"/>
                          <w:marBottom w:val="105"/>
                          <w:divBdr>
                            <w:top w:val="none" w:sz="0" w:space="0" w:color="auto"/>
                            <w:left w:val="none" w:sz="0" w:space="0" w:color="auto"/>
                            <w:bottom w:val="none" w:sz="0" w:space="0" w:color="auto"/>
                            <w:right w:val="none" w:sz="0" w:space="0" w:color="auto"/>
                          </w:divBdr>
                          <w:divsChild>
                            <w:div w:id="1571579587">
                              <w:marLeft w:val="0"/>
                              <w:marRight w:val="0"/>
                              <w:marTop w:val="0"/>
                              <w:marBottom w:val="0"/>
                              <w:divBdr>
                                <w:top w:val="none" w:sz="0" w:space="0" w:color="auto"/>
                                <w:left w:val="none" w:sz="0" w:space="0" w:color="auto"/>
                                <w:bottom w:val="none" w:sz="0" w:space="0" w:color="auto"/>
                                <w:right w:val="none" w:sz="0" w:space="0" w:color="auto"/>
                              </w:divBdr>
                              <w:divsChild>
                                <w:div w:id="491718919">
                                  <w:marLeft w:val="0"/>
                                  <w:marRight w:val="0"/>
                                  <w:marTop w:val="0"/>
                                  <w:marBottom w:val="0"/>
                                  <w:divBdr>
                                    <w:top w:val="none" w:sz="0" w:space="0" w:color="auto"/>
                                    <w:left w:val="none" w:sz="0" w:space="0" w:color="auto"/>
                                    <w:bottom w:val="none" w:sz="0" w:space="0" w:color="auto"/>
                                    <w:right w:val="none" w:sz="0" w:space="0" w:color="auto"/>
                                  </w:divBdr>
                                  <w:divsChild>
                                    <w:div w:id="786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0225692">
      <w:bodyDiv w:val="1"/>
      <w:marLeft w:val="0"/>
      <w:marRight w:val="0"/>
      <w:marTop w:val="0"/>
      <w:marBottom w:val="0"/>
      <w:divBdr>
        <w:top w:val="none" w:sz="0" w:space="0" w:color="auto"/>
        <w:left w:val="none" w:sz="0" w:space="0" w:color="auto"/>
        <w:bottom w:val="none" w:sz="0" w:space="0" w:color="auto"/>
        <w:right w:val="none" w:sz="0" w:space="0" w:color="auto"/>
      </w:divBdr>
    </w:div>
    <w:div w:id="695348309">
      <w:bodyDiv w:val="1"/>
      <w:marLeft w:val="0"/>
      <w:marRight w:val="0"/>
      <w:marTop w:val="0"/>
      <w:marBottom w:val="0"/>
      <w:divBdr>
        <w:top w:val="none" w:sz="0" w:space="0" w:color="auto"/>
        <w:left w:val="none" w:sz="0" w:space="0" w:color="auto"/>
        <w:bottom w:val="none" w:sz="0" w:space="0" w:color="auto"/>
        <w:right w:val="none" w:sz="0" w:space="0" w:color="auto"/>
      </w:divBdr>
    </w:div>
    <w:div w:id="723604733">
      <w:bodyDiv w:val="1"/>
      <w:marLeft w:val="0"/>
      <w:marRight w:val="0"/>
      <w:marTop w:val="0"/>
      <w:marBottom w:val="0"/>
      <w:divBdr>
        <w:top w:val="none" w:sz="0" w:space="0" w:color="auto"/>
        <w:left w:val="none" w:sz="0" w:space="0" w:color="auto"/>
        <w:bottom w:val="none" w:sz="0" w:space="0" w:color="auto"/>
        <w:right w:val="none" w:sz="0" w:space="0" w:color="auto"/>
      </w:divBdr>
    </w:div>
    <w:div w:id="731319269">
      <w:bodyDiv w:val="1"/>
      <w:marLeft w:val="0"/>
      <w:marRight w:val="0"/>
      <w:marTop w:val="0"/>
      <w:marBottom w:val="0"/>
      <w:divBdr>
        <w:top w:val="none" w:sz="0" w:space="0" w:color="auto"/>
        <w:left w:val="none" w:sz="0" w:space="0" w:color="auto"/>
        <w:bottom w:val="none" w:sz="0" w:space="0" w:color="auto"/>
        <w:right w:val="none" w:sz="0" w:space="0" w:color="auto"/>
      </w:divBdr>
    </w:div>
    <w:div w:id="731924333">
      <w:bodyDiv w:val="1"/>
      <w:marLeft w:val="0"/>
      <w:marRight w:val="0"/>
      <w:marTop w:val="0"/>
      <w:marBottom w:val="0"/>
      <w:divBdr>
        <w:top w:val="none" w:sz="0" w:space="0" w:color="auto"/>
        <w:left w:val="none" w:sz="0" w:space="0" w:color="auto"/>
        <w:bottom w:val="none" w:sz="0" w:space="0" w:color="auto"/>
        <w:right w:val="none" w:sz="0" w:space="0" w:color="auto"/>
      </w:divBdr>
    </w:div>
    <w:div w:id="732391058">
      <w:bodyDiv w:val="1"/>
      <w:marLeft w:val="0"/>
      <w:marRight w:val="0"/>
      <w:marTop w:val="0"/>
      <w:marBottom w:val="0"/>
      <w:divBdr>
        <w:top w:val="none" w:sz="0" w:space="0" w:color="auto"/>
        <w:left w:val="none" w:sz="0" w:space="0" w:color="auto"/>
        <w:bottom w:val="none" w:sz="0" w:space="0" w:color="auto"/>
        <w:right w:val="none" w:sz="0" w:space="0" w:color="auto"/>
      </w:divBdr>
    </w:div>
    <w:div w:id="741025766">
      <w:bodyDiv w:val="1"/>
      <w:marLeft w:val="0"/>
      <w:marRight w:val="0"/>
      <w:marTop w:val="0"/>
      <w:marBottom w:val="0"/>
      <w:divBdr>
        <w:top w:val="none" w:sz="0" w:space="0" w:color="auto"/>
        <w:left w:val="none" w:sz="0" w:space="0" w:color="auto"/>
        <w:bottom w:val="none" w:sz="0" w:space="0" w:color="auto"/>
        <w:right w:val="none" w:sz="0" w:space="0" w:color="auto"/>
      </w:divBdr>
    </w:div>
    <w:div w:id="766388123">
      <w:bodyDiv w:val="1"/>
      <w:marLeft w:val="0"/>
      <w:marRight w:val="0"/>
      <w:marTop w:val="0"/>
      <w:marBottom w:val="0"/>
      <w:divBdr>
        <w:top w:val="none" w:sz="0" w:space="0" w:color="auto"/>
        <w:left w:val="none" w:sz="0" w:space="0" w:color="auto"/>
        <w:bottom w:val="none" w:sz="0" w:space="0" w:color="auto"/>
        <w:right w:val="none" w:sz="0" w:space="0" w:color="auto"/>
      </w:divBdr>
    </w:div>
    <w:div w:id="776944634">
      <w:bodyDiv w:val="1"/>
      <w:marLeft w:val="0"/>
      <w:marRight w:val="0"/>
      <w:marTop w:val="0"/>
      <w:marBottom w:val="0"/>
      <w:divBdr>
        <w:top w:val="none" w:sz="0" w:space="0" w:color="auto"/>
        <w:left w:val="none" w:sz="0" w:space="0" w:color="auto"/>
        <w:bottom w:val="none" w:sz="0" w:space="0" w:color="auto"/>
        <w:right w:val="none" w:sz="0" w:space="0" w:color="auto"/>
      </w:divBdr>
    </w:div>
    <w:div w:id="785124591">
      <w:bodyDiv w:val="1"/>
      <w:marLeft w:val="0"/>
      <w:marRight w:val="0"/>
      <w:marTop w:val="0"/>
      <w:marBottom w:val="0"/>
      <w:divBdr>
        <w:top w:val="none" w:sz="0" w:space="0" w:color="auto"/>
        <w:left w:val="none" w:sz="0" w:space="0" w:color="auto"/>
        <w:bottom w:val="none" w:sz="0" w:space="0" w:color="auto"/>
        <w:right w:val="none" w:sz="0" w:space="0" w:color="auto"/>
      </w:divBdr>
    </w:div>
    <w:div w:id="788814377">
      <w:bodyDiv w:val="1"/>
      <w:marLeft w:val="0"/>
      <w:marRight w:val="0"/>
      <w:marTop w:val="0"/>
      <w:marBottom w:val="0"/>
      <w:divBdr>
        <w:top w:val="none" w:sz="0" w:space="0" w:color="auto"/>
        <w:left w:val="none" w:sz="0" w:space="0" w:color="auto"/>
        <w:bottom w:val="none" w:sz="0" w:space="0" w:color="auto"/>
        <w:right w:val="none" w:sz="0" w:space="0" w:color="auto"/>
      </w:divBdr>
    </w:div>
    <w:div w:id="789325465">
      <w:bodyDiv w:val="1"/>
      <w:marLeft w:val="0"/>
      <w:marRight w:val="0"/>
      <w:marTop w:val="0"/>
      <w:marBottom w:val="0"/>
      <w:divBdr>
        <w:top w:val="none" w:sz="0" w:space="0" w:color="auto"/>
        <w:left w:val="none" w:sz="0" w:space="0" w:color="auto"/>
        <w:bottom w:val="none" w:sz="0" w:space="0" w:color="auto"/>
        <w:right w:val="none" w:sz="0" w:space="0" w:color="auto"/>
      </w:divBdr>
    </w:div>
    <w:div w:id="831990631">
      <w:bodyDiv w:val="1"/>
      <w:marLeft w:val="0"/>
      <w:marRight w:val="0"/>
      <w:marTop w:val="0"/>
      <w:marBottom w:val="0"/>
      <w:divBdr>
        <w:top w:val="none" w:sz="0" w:space="0" w:color="auto"/>
        <w:left w:val="none" w:sz="0" w:space="0" w:color="auto"/>
        <w:bottom w:val="none" w:sz="0" w:space="0" w:color="auto"/>
        <w:right w:val="none" w:sz="0" w:space="0" w:color="auto"/>
      </w:divBdr>
    </w:div>
    <w:div w:id="833957209">
      <w:bodyDiv w:val="1"/>
      <w:marLeft w:val="0"/>
      <w:marRight w:val="0"/>
      <w:marTop w:val="0"/>
      <w:marBottom w:val="0"/>
      <w:divBdr>
        <w:top w:val="none" w:sz="0" w:space="0" w:color="auto"/>
        <w:left w:val="none" w:sz="0" w:space="0" w:color="auto"/>
        <w:bottom w:val="none" w:sz="0" w:space="0" w:color="auto"/>
        <w:right w:val="none" w:sz="0" w:space="0" w:color="auto"/>
      </w:divBdr>
    </w:div>
    <w:div w:id="837960538">
      <w:bodyDiv w:val="1"/>
      <w:marLeft w:val="0"/>
      <w:marRight w:val="0"/>
      <w:marTop w:val="0"/>
      <w:marBottom w:val="0"/>
      <w:divBdr>
        <w:top w:val="none" w:sz="0" w:space="0" w:color="auto"/>
        <w:left w:val="none" w:sz="0" w:space="0" w:color="auto"/>
        <w:bottom w:val="none" w:sz="0" w:space="0" w:color="auto"/>
        <w:right w:val="none" w:sz="0" w:space="0" w:color="auto"/>
      </w:divBdr>
    </w:div>
    <w:div w:id="844591907">
      <w:bodyDiv w:val="1"/>
      <w:marLeft w:val="0"/>
      <w:marRight w:val="0"/>
      <w:marTop w:val="0"/>
      <w:marBottom w:val="0"/>
      <w:divBdr>
        <w:top w:val="none" w:sz="0" w:space="0" w:color="auto"/>
        <w:left w:val="none" w:sz="0" w:space="0" w:color="auto"/>
        <w:bottom w:val="none" w:sz="0" w:space="0" w:color="auto"/>
        <w:right w:val="none" w:sz="0" w:space="0" w:color="auto"/>
      </w:divBdr>
    </w:div>
    <w:div w:id="852492454">
      <w:bodyDiv w:val="1"/>
      <w:marLeft w:val="0"/>
      <w:marRight w:val="0"/>
      <w:marTop w:val="0"/>
      <w:marBottom w:val="0"/>
      <w:divBdr>
        <w:top w:val="none" w:sz="0" w:space="0" w:color="auto"/>
        <w:left w:val="none" w:sz="0" w:space="0" w:color="auto"/>
        <w:bottom w:val="none" w:sz="0" w:space="0" w:color="auto"/>
        <w:right w:val="none" w:sz="0" w:space="0" w:color="auto"/>
      </w:divBdr>
    </w:div>
    <w:div w:id="853810716">
      <w:bodyDiv w:val="1"/>
      <w:marLeft w:val="0"/>
      <w:marRight w:val="0"/>
      <w:marTop w:val="0"/>
      <w:marBottom w:val="0"/>
      <w:divBdr>
        <w:top w:val="none" w:sz="0" w:space="0" w:color="auto"/>
        <w:left w:val="none" w:sz="0" w:space="0" w:color="auto"/>
        <w:bottom w:val="none" w:sz="0" w:space="0" w:color="auto"/>
        <w:right w:val="none" w:sz="0" w:space="0" w:color="auto"/>
      </w:divBdr>
      <w:divsChild>
        <w:div w:id="135025464">
          <w:marLeft w:val="547"/>
          <w:marRight w:val="0"/>
          <w:marTop w:val="115"/>
          <w:marBottom w:val="0"/>
          <w:divBdr>
            <w:top w:val="none" w:sz="0" w:space="0" w:color="auto"/>
            <w:left w:val="none" w:sz="0" w:space="0" w:color="auto"/>
            <w:bottom w:val="none" w:sz="0" w:space="0" w:color="auto"/>
            <w:right w:val="none" w:sz="0" w:space="0" w:color="auto"/>
          </w:divBdr>
        </w:div>
        <w:div w:id="402335698">
          <w:marLeft w:val="547"/>
          <w:marRight w:val="0"/>
          <w:marTop w:val="115"/>
          <w:marBottom w:val="0"/>
          <w:divBdr>
            <w:top w:val="none" w:sz="0" w:space="0" w:color="auto"/>
            <w:left w:val="none" w:sz="0" w:space="0" w:color="auto"/>
            <w:bottom w:val="none" w:sz="0" w:space="0" w:color="auto"/>
            <w:right w:val="none" w:sz="0" w:space="0" w:color="auto"/>
          </w:divBdr>
        </w:div>
        <w:div w:id="624042146">
          <w:marLeft w:val="547"/>
          <w:marRight w:val="0"/>
          <w:marTop w:val="115"/>
          <w:marBottom w:val="0"/>
          <w:divBdr>
            <w:top w:val="none" w:sz="0" w:space="0" w:color="auto"/>
            <w:left w:val="none" w:sz="0" w:space="0" w:color="auto"/>
            <w:bottom w:val="none" w:sz="0" w:space="0" w:color="auto"/>
            <w:right w:val="none" w:sz="0" w:space="0" w:color="auto"/>
          </w:divBdr>
        </w:div>
        <w:div w:id="976842374">
          <w:marLeft w:val="547"/>
          <w:marRight w:val="0"/>
          <w:marTop w:val="115"/>
          <w:marBottom w:val="0"/>
          <w:divBdr>
            <w:top w:val="none" w:sz="0" w:space="0" w:color="auto"/>
            <w:left w:val="none" w:sz="0" w:space="0" w:color="auto"/>
            <w:bottom w:val="none" w:sz="0" w:space="0" w:color="auto"/>
            <w:right w:val="none" w:sz="0" w:space="0" w:color="auto"/>
          </w:divBdr>
        </w:div>
        <w:div w:id="1220744394">
          <w:marLeft w:val="547"/>
          <w:marRight w:val="0"/>
          <w:marTop w:val="115"/>
          <w:marBottom w:val="0"/>
          <w:divBdr>
            <w:top w:val="none" w:sz="0" w:space="0" w:color="auto"/>
            <w:left w:val="none" w:sz="0" w:space="0" w:color="auto"/>
            <w:bottom w:val="none" w:sz="0" w:space="0" w:color="auto"/>
            <w:right w:val="none" w:sz="0" w:space="0" w:color="auto"/>
          </w:divBdr>
        </w:div>
      </w:divsChild>
    </w:div>
    <w:div w:id="898782627">
      <w:bodyDiv w:val="1"/>
      <w:marLeft w:val="0"/>
      <w:marRight w:val="0"/>
      <w:marTop w:val="0"/>
      <w:marBottom w:val="0"/>
      <w:divBdr>
        <w:top w:val="none" w:sz="0" w:space="0" w:color="auto"/>
        <w:left w:val="none" w:sz="0" w:space="0" w:color="auto"/>
        <w:bottom w:val="none" w:sz="0" w:space="0" w:color="auto"/>
        <w:right w:val="none" w:sz="0" w:space="0" w:color="auto"/>
      </w:divBdr>
    </w:div>
    <w:div w:id="902107975">
      <w:bodyDiv w:val="1"/>
      <w:marLeft w:val="0"/>
      <w:marRight w:val="0"/>
      <w:marTop w:val="0"/>
      <w:marBottom w:val="0"/>
      <w:divBdr>
        <w:top w:val="none" w:sz="0" w:space="0" w:color="auto"/>
        <w:left w:val="none" w:sz="0" w:space="0" w:color="auto"/>
        <w:bottom w:val="none" w:sz="0" w:space="0" w:color="auto"/>
        <w:right w:val="none" w:sz="0" w:space="0" w:color="auto"/>
      </w:divBdr>
    </w:div>
    <w:div w:id="910385748">
      <w:bodyDiv w:val="1"/>
      <w:marLeft w:val="0"/>
      <w:marRight w:val="0"/>
      <w:marTop w:val="0"/>
      <w:marBottom w:val="0"/>
      <w:divBdr>
        <w:top w:val="none" w:sz="0" w:space="0" w:color="auto"/>
        <w:left w:val="none" w:sz="0" w:space="0" w:color="auto"/>
        <w:bottom w:val="none" w:sz="0" w:space="0" w:color="auto"/>
        <w:right w:val="none" w:sz="0" w:space="0" w:color="auto"/>
      </w:divBdr>
      <w:divsChild>
        <w:div w:id="1335378363">
          <w:marLeft w:val="0"/>
          <w:marRight w:val="0"/>
          <w:marTop w:val="100"/>
          <w:marBottom w:val="100"/>
          <w:divBdr>
            <w:top w:val="none" w:sz="0" w:space="0" w:color="auto"/>
            <w:left w:val="none" w:sz="0" w:space="0" w:color="auto"/>
            <w:bottom w:val="none" w:sz="0" w:space="0" w:color="auto"/>
            <w:right w:val="none" w:sz="0" w:space="0" w:color="auto"/>
          </w:divBdr>
          <w:divsChild>
            <w:div w:id="882061147">
              <w:marLeft w:val="0"/>
              <w:marRight w:val="0"/>
              <w:marTop w:val="0"/>
              <w:marBottom w:val="0"/>
              <w:divBdr>
                <w:top w:val="none" w:sz="0" w:space="0" w:color="auto"/>
                <w:left w:val="none" w:sz="0" w:space="0" w:color="auto"/>
                <w:bottom w:val="none" w:sz="0" w:space="0" w:color="auto"/>
                <w:right w:val="none" w:sz="0" w:space="0" w:color="auto"/>
              </w:divBdr>
              <w:divsChild>
                <w:div w:id="875313367">
                  <w:marLeft w:val="0"/>
                  <w:marRight w:val="0"/>
                  <w:marTop w:val="0"/>
                  <w:marBottom w:val="0"/>
                  <w:divBdr>
                    <w:top w:val="none" w:sz="0" w:space="0" w:color="auto"/>
                    <w:left w:val="none" w:sz="0" w:space="0" w:color="auto"/>
                    <w:bottom w:val="none" w:sz="0" w:space="0" w:color="auto"/>
                    <w:right w:val="none" w:sz="0" w:space="0" w:color="auto"/>
                  </w:divBdr>
                  <w:divsChild>
                    <w:div w:id="6294330">
                      <w:marLeft w:val="0"/>
                      <w:marRight w:val="0"/>
                      <w:marTop w:val="0"/>
                      <w:marBottom w:val="0"/>
                      <w:divBdr>
                        <w:top w:val="none" w:sz="0" w:space="0" w:color="auto"/>
                        <w:left w:val="none" w:sz="0" w:space="0" w:color="auto"/>
                        <w:bottom w:val="none" w:sz="0" w:space="0" w:color="auto"/>
                        <w:right w:val="none" w:sz="0" w:space="0" w:color="auto"/>
                      </w:divBdr>
                      <w:divsChild>
                        <w:div w:id="675763102">
                          <w:marLeft w:val="0"/>
                          <w:marRight w:val="0"/>
                          <w:marTop w:val="0"/>
                          <w:marBottom w:val="0"/>
                          <w:divBdr>
                            <w:top w:val="none" w:sz="0" w:space="0" w:color="auto"/>
                            <w:left w:val="none" w:sz="0" w:space="0" w:color="auto"/>
                            <w:bottom w:val="none" w:sz="0" w:space="0" w:color="auto"/>
                            <w:right w:val="none" w:sz="0" w:space="0" w:color="auto"/>
                          </w:divBdr>
                          <w:divsChild>
                            <w:div w:id="376467922">
                              <w:marLeft w:val="0"/>
                              <w:marRight w:val="0"/>
                              <w:marTop w:val="0"/>
                              <w:marBottom w:val="0"/>
                              <w:divBdr>
                                <w:top w:val="none" w:sz="0" w:space="0" w:color="auto"/>
                                <w:left w:val="none" w:sz="0" w:space="0" w:color="auto"/>
                                <w:bottom w:val="none" w:sz="0" w:space="0" w:color="auto"/>
                                <w:right w:val="none" w:sz="0" w:space="0" w:color="auto"/>
                              </w:divBdr>
                              <w:divsChild>
                                <w:div w:id="204029216">
                                  <w:marLeft w:val="0"/>
                                  <w:marRight w:val="0"/>
                                  <w:marTop w:val="0"/>
                                  <w:marBottom w:val="0"/>
                                  <w:divBdr>
                                    <w:top w:val="none" w:sz="0" w:space="0" w:color="auto"/>
                                    <w:left w:val="none" w:sz="0" w:space="0" w:color="auto"/>
                                    <w:bottom w:val="none" w:sz="0" w:space="0" w:color="auto"/>
                                    <w:right w:val="none" w:sz="0" w:space="0" w:color="auto"/>
                                  </w:divBdr>
                                  <w:divsChild>
                                    <w:div w:id="593167080">
                                      <w:marLeft w:val="0"/>
                                      <w:marRight w:val="0"/>
                                      <w:marTop w:val="0"/>
                                      <w:marBottom w:val="0"/>
                                      <w:divBdr>
                                        <w:top w:val="none" w:sz="0" w:space="0" w:color="auto"/>
                                        <w:left w:val="none" w:sz="0" w:space="0" w:color="auto"/>
                                        <w:bottom w:val="none" w:sz="0" w:space="0" w:color="auto"/>
                                        <w:right w:val="none" w:sz="0" w:space="0" w:color="auto"/>
                                      </w:divBdr>
                                      <w:divsChild>
                                        <w:div w:id="1835871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6011613">
      <w:bodyDiv w:val="1"/>
      <w:marLeft w:val="0"/>
      <w:marRight w:val="0"/>
      <w:marTop w:val="0"/>
      <w:marBottom w:val="0"/>
      <w:divBdr>
        <w:top w:val="none" w:sz="0" w:space="0" w:color="auto"/>
        <w:left w:val="none" w:sz="0" w:space="0" w:color="auto"/>
        <w:bottom w:val="none" w:sz="0" w:space="0" w:color="auto"/>
        <w:right w:val="none" w:sz="0" w:space="0" w:color="auto"/>
      </w:divBdr>
    </w:div>
    <w:div w:id="958100147">
      <w:bodyDiv w:val="1"/>
      <w:marLeft w:val="0"/>
      <w:marRight w:val="0"/>
      <w:marTop w:val="0"/>
      <w:marBottom w:val="0"/>
      <w:divBdr>
        <w:top w:val="none" w:sz="0" w:space="0" w:color="auto"/>
        <w:left w:val="none" w:sz="0" w:space="0" w:color="auto"/>
        <w:bottom w:val="none" w:sz="0" w:space="0" w:color="auto"/>
        <w:right w:val="none" w:sz="0" w:space="0" w:color="auto"/>
      </w:divBdr>
    </w:div>
    <w:div w:id="960457955">
      <w:bodyDiv w:val="1"/>
      <w:marLeft w:val="0"/>
      <w:marRight w:val="0"/>
      <w:marTop w:val="0"/>
      <w:marBottom w:val="0"/>
      <w:divBdr>
        <w:top w:val="none" w:sz="0" w:space="0" w:color="auto"/>
        <w:left w:val="none" w:sz="0" w:space="0" w:color="auto"/>
        <w:bottom w:val="none" w:sz="0" w:space="0" w:color="auto"/>
        <w:right w:val="none" w:sz="0" w:space="0" w:color="auto"/>
      </w:divBdr>
    </w:div>
    <w:div w:id="971986071">
      <w:bodyDiv w:val="1"/>
      <w:marLeft w:val="0"/>
      <w:marRight w:val="0"/>
      <w:marTop w:val="0"/>
      <w:marBottom w:val="0"/>
      <w:divBdr>
        <w:top w:val="none" w:sz="0" w:space="0" w:color="auto"/>
        <w:left w:val="none" w:sz="0" w:space="0" w:color="auto"/>
        <w:bottom w:val="none" w:sz="0" w:space="0" w:color="auto"/>
        <w:right w:val="none" w:sz="0" w:space="0" w:color="auto"/>
      </w:divBdr>
    </w:div>
    <w:div w:id="977148564">
      <w:bodyDiv w:val="1"/>
      <w:marLeft w:val="0"/>
      <w:marRight w:val="0"/>
      <w:marTop w:val="0"/>
      <w:marBottom w:val="0"/>
      <w:divBdr>
        <w:top w:val="none" w:sz="0" w:space="0" w:color="auto"/>
        <w:left w:val="none" w:sz="0" w:space="0" w:color="auto"/>
        <w:bottom w:val="none" w:sz="0" w:space="0" w:color="auto"/>
        <w:right w:val="none" w:sz="0" w:space="0" w:color="auto"/>
      </w:divBdr>
    </w:div>
    <w:div w:id="981277264">
      <w:bodyDiv w:val="1"/>
      <w:marLeft w:val="0"/>
      <w:marRight w:val="0"/>
      <w:marTop w:val="0"/>
      <w:marBottom w:val="0"/>
      <w:divBdr>
        <w:top w:val="none" w:sz="0" w:space="0" w:color="auto"/>
        <w:left w:val="none" w:sz="0" w:space="0" w:color="auto"/>
        <w:bottom w:val="none" w:sz="0" w:space="0" w:color="auto"/>
        <w:right w:val="none" w:sz="0" w:space="0" w:color="auto"/>
      </w:divBdr>
    </w:div>
    <w:div w:id="985283032">
      <w:bodyDiv w:val="1"/>
      <w:marLeft w:val="0"/>
      <w:marRight w:val="0"/>
      <w:marTop w:val="0"/>
      <w:marBottom w:val="0"/>
      <w:divBdr>
        <w:top w:val="none" w:sz="0" w:space="0" w:color="auto"/>
        <w:left w:val="none" w:sz="0" w:space="0" w:color="auto"/>
        <w:bottom w:val="none" w:sz="0" w:space="0" w:color="auto"/>
        <w:right w:val="none" w:sz="0" w:space="0" w:color="auto"/>
      </w:divBdr>
    </w:div>
    <w:div w:id="996616225">
      <w:bodyDiv w:val="1"/>
      <w:marLeft w:val="0"/>
      <w:marRight w:val="0"/>
      <w:marTop w:val="0"/>
      <w:marBottom w:val="0"/>
      <w:divBdr>
        <w:top w:val="none" w:sz="0" w:space="0" w:color="auto"/>
        <w:left w:val="none" w:sz="0" w:space="0" w:color="auto"/>
        <w:bottom w:val="none" w:sz="0" w:space="0" w:color="auto"/>
        <w:right w:val="none" w:sz="0" w:space="0" w:color="auto"/>
      </w:divBdr>
    </w:div>
    <w:div w:id="997196429">
      <w:bodyDiv w:val="1"/>
      <w:marLeft w:val="0"/>
      <w:marRight w:val="0"/>
      <w:marTop w:val="0"/>
      <w:marBottom w:val="0"/>
      <w:divBdr>
        <w:top w:val="none" w:sz="0" w:space="0" w:color="auto"/>
        <w:left w:val="none" w:sz="0" w:space="0" w:color="auto"/>
        <w:bottom w:val="none" w:sz="0" w:space="0" w:color="auto"/>
        <w:right w:val="none" w:sz="0" w:space="0" w:color="auto"/>
      </w:divBdr>
      <w:divsChild>
        <w:div w:id="1259486083">
          <w:marLeft w:val="0"/>
          <w:marRight w:val="0"/>
          <w:marTop w:val="0"/>
          <w:marBottom w:val="0"/>
          <w:divBdr>
            <w:top w:val="none" w:sz="0" w:space="0" w:color="auto"/>
            <w:left w:val="none" w:sz="0" w:space="0" w:color="auto"/>
            <w:bottom w:val="none" w:sz="0" w:space="0" w:color="auto"/>
            <w:right w:val="none" w:sz="0" w:space="0" w:color="auto"/>
          </w:divBdr>
          <w:divsChild>
            <w:div w:id="1106727460">
              <w:marLeft w:val="0"/>
              <w:marRight w:val="0"/>
              <w:marTop w:val="0"/>
              <w:marBottom w:val="0"/>
              <w:divBdr>
                <w:top w:val="none" w:sz="0" w:space="0" w:color="auto"/>
                <w:left w:val="none" w:sz="0" w:space="0" w:color="auto"/>
                <w:bottom w:val="none" w:sz="0" w:space="0" w:color="auto"/>
                <w:right w:val="none" w:sz="0" w:space="0" w:color="auto"/>
              </w:divBdr>
              <w:divsChild>
                <w:div w:id="1474130700">
                  <w:marLeft w:val="0"/>
                  <w:marRight w:val="0"/>
                  <w:marTop w:val="0"/>
                  <w:marBottom w:val="0"/>
                  <w:divBdr>
                    <w:top w:val="none" w:sz="0" w:space="0" w:color="auto"/>
                    <w:left w:val="none" w:sz="0" w:space="0" w:color="auto"/>
                    <w:bottom w:val="none" w:sz="0" w:space="0" w:color="auto"/>
                    <w:right w:val="none" w:sz="0" w:space="0" w:color="auto"/>
                  </w:divBdr>
                  <w:divsChild>
                    <w:div w:id="1126390402">
                      <w:marLeft w:val="0"/>
                      <w:marRight w:val="0"/>
                      <w:marTop w:val="0"/>
                      <w:marBottom w:val="0"/>
                      <w:divBdr>
                        <w:top w:val="none" w:sz="0" w:space="0" w:color="auto"/>
                        <w:left w:val="none" w:sz="0" w:space="0" w:color="auto"/>
                        <w:bottom w:val="none" w:sz="0" w:space="0" w:color="auto"/>
                        <w:right w:val="none" w:sz="0" w:space="0" w:color="auto"/>
                      </w:divBdr>
                      <w:divsChild>
                        <w:div w:id="1346908699">
                          <w:marLeft w:val="0"/>
                          <w:marRight w:val="0"/>
                          <w:marTop w:val="0"/>
                          <w:marBottom w:val="0"/>
                          <w:divBdr>
                            <w:top w:val="none" w:sz="0" w:space="0" w:color="auto"/>
                            <w:left w:val="none" w:sz="0" w:space="0" w:color="auto"/>
                            <w:bottom w:val="none" w:sz="0" w:space="0" w:color="auto"/>
                            <w:right w:val="none" w:sz="0" w:space="0" w:color="auto"/>
                          </w:divBdr>
                          <w:divsChild>
                            <w:div w:id="903491199">
                              <w:marLeft w:val="0"/>
                              <w:marRight w:val="0"/>
                              <w:marTop w:val="0"/>
                              <w:marBottom w:val="0"/>
                              <w:divBdr>
                                <w:top w:val="none" w:sz="0" w:space="0" w:color="auto"/>
                                <w:left w:val="none" w:sz="0" w:space="0" w:color="auto"/>
                                <w:bottom w:val="none" w:sz="0" w:space="0" w:color="auto"/>
                                <w:right w:val="none" w:sz="0" w:space="0" w:color="auto"/>
                              </w:divBdr>
                              <w:divsChild>
                                <w:div w:id="1433277463">
                                  <w:marLeft w:val="0"/>
                                  <w:marRight w:val="0"/>
                                  <w:marTop w:val="0"/>
                                  <w:marBottom w:val="0"/>
                                  <w:divBdr>
                                    <w:top w:val="none" w:sz="0" w:space="0" w:color="auto"/>
                                    <w:left w:val="none" w:sz="0" w:space="0" w:color="auto"/>
                                    <w:bottom w:val="none" w:sz="0" w:space="0" w:color="auto"/>
                                    <w:right w:val="none" w:sz="0" w:space="0" w:color="auto"/>
                                  </w:divBdr>
                                  <w:divsChild>
                                    <w:div w:id="2010403861">
                                      <w:marLeft w:val="0"/>
                                      <w:marRight w:val="0"/>
                                      <w:marTop w:val="0"/>
                                      <w:marBottom w:val="0"/>
                                      <w:divBdr>
                                        <w:top w:val="none" w:sz="0" w:space="0" w:color="auto"/>
                                        <w:left w:val="none" w:sz="0" w:space="0" w:color="auto"/>
                                        <w:bottom w:val="none" w:sz="0" w:space="0" w:color="auto"/>
                                        <w:right w:val="none" w:sz="0" w:space="0" w:color="auto"/>
                                      </w:divBdr>
                                      <w:divsChild>
                                        <w:div w:id="28800779">
                                          <w:marLeft w:val="0"/>
                                          <w:marRight w:val="0"/>
                                          <w:marTop w:val="0"/>
                                          <w:marBottom w:val="0"/>
                                          <w:divBdr>
                                            <w:top w:val="none" w:sz="0" w:space="0" w:color="auto"/>
                                            <w:left w:val="none" w:sz="0" w:space="0" w:color="auto"/>
                                            <w:bottom w:val="none" w:sz="0" w:space="0" w:color="auto"/>
                                            <w:right w:val="none" w:sz="0" w:space="0" w:color="auto"/>
                                          </w:divBdr>
                                          <w:divsChild>
                                            <w:div w:id="1094087785">
                                              <w:marLeft w:val="0"/>
                                              <w:marRight w:val="0"/>
                                              <w:marTop w:val="0"/>
                                              <w:marBottom w:val="0"/>
                                              <w:divBdr>
                                                <w:top w:val="none" w:sz="0" w:space="0" w:color="auto"/>
                                                <w:left w:val="none" w:sz="0" w:space="0" w:color="auto"/>
                                                <w:bottom w:val="none" w:sz="0" w:space="0" w:color="auto"/>
                                                <w:right w:val="none" w:sz="0" w:space="0" w:color="auto"/>
                                              </w:divBdr>
                                            </w:div>
                                          </w:divsChild>
                                        </w:div>
                                        <w:div w:id="870651662">
                                          <w:marLeft w:val="0"/>
                                          <w:marRight w:val="0"/>
                                          <w:marTop w:val="0"/>
                                          <w:marBottom w:val="0"/>
                                          <w:divBdr>
                                            <w:top w:val="none" w:sz="0" w:space="0" w:color="auto"/>
                                            <w:left w:val="none" w:sz="0" w:space="0" w:color="auto"/>
                                            <w:bottom w:val="none" w:sz="0" w:space="0" w:color="auto"/>
                                            <w:right w:val="none" w:sz="0" w:space="0" w:color="auto"/>
                                          </w:divBdr>
                                          <w:divsChild>
                                            <w:div w:id="539173888">
                                              <w:marLeft w:val="0"/>
                                              <w:marRight w:val="0"/>
                                              <w:marTop w:val="0"/>
                                              <w:marBottom w:val="0"/>
                                              <w:divBdr>
                                                <w:top w:val="none" w:sz="0" w:space="0" w:color="auto"/>
                                                <w:left w:val="none" w:sz="0" w:space="0" w:color="auto"/>
                                                <w:bottom w:val="none" w:sz="0" w:space="0" w:color="auto"/>
                                                <w:right w:val="none" w:sz="0" w:space="0" w:color="auto"/>
                                              </w:divBdr>
                                              <w:divsChild>
                                                <w:div w:id="473303322">
                                                  <w:marLeft w:val="0"/>
                                                  <w:marRight w:val="0"/>
                                                  <w:marTop w:val="0"/>
                                                  <w:marBottom w:val="0"/>
                                                  <w:divBdr>
                                                    <w:top w:val="none" w:sz="0" w:space="0" w:color="auto"/>
                                                    <w:left w:val="none" w:sz="0" w:space="0" w:color="auto"/>
                                                    <w:bottom w:val="none" w:sz="0" w:space="0" w:color="auto"/>
                                                    <w:right w:val="none" w:sz="0" w:space="0" w:color="auto"/>
                                                  </w:divBdr>
                                                </w:div>
                                                <w:div w:id="699470833">
                                                  <w:marLeft w:val="0"/>
                                                  <w:marRight w:val="0"/>
                                                  <w:marTop w:val="0"/>
                                                  <w:marBottom w:val="0"/>
                                                  <w:divBdr>
                                                    <w:top w:val="none" w:sz="0" w:space="0" w:color="auto"/>
                                                    <w:left w:val="none" w:sz="0" w:space="0" w:color="auto"/>
                                                    <w:bottom w:val="none" w:sz="0" w:space="0" w:color="auto"/>
                                                    <w:right w:val="none" w:sz="0" w:space="0" w:color="auto"/>
                                                  </w:divBdr>
                                                </w:div>
                                                <w:div w:id="1189099939">
                                                  <w:marLeft w:val="0"/>
                                                  <w:marRight w:val="0"/>
                                                  <w:marTop w:val="0"/>
                                                  <w:marBottom w:val="0"/>
                                                  <w:divBdr>
                                                    <w:top w:val="none" w:sz="0" w:space="0" w:color="auto"/>
                                                    <w:left w:val="none" w:sz="0" w:space="0" w:color="auto"/>
                                                    <w:bottom w:val="none" w:sz="0" w:space="0" w:color="auto"/>
                                                    <w:right w:val="none" w:sz="0" w:space="0" w:color="auto"/>
                                                  </w:divBdr>
                                                </w:div>
                                                <w:div w:id="1225602184">
                                                  <w:marLeft w:val="0"/>
                                                  <w:marRight w:val="0"/>
                                                  <w:marTop w:val="0"/>
                                                  <w:marBottom w:val="0"/>
                                                  <w:divBdr>
                                                    <w:top w:val="none" w:sz="0" w:space="0" w:color="auto"/>
                                                    <w:left w:val="none" w:sz="0" w:space="0" w:color="auto"/>
                                                    <w:bottom w:val="none" w:sz="0" w:space="0" w:color="auto"/>
                                                    <w:right w:val="none" w:sz="0" w:space="0" w:color="auto"/>
                                                  </w:divBdr>
                                                </w:div>
                                                <w:div w:id="1479034712">
                                                  <w:marLeft w:val="0"/>
                                                  <w:marRight w:val="0"/>
                                                  <w:marTop w:val="0"/>
                                                  <w:marBottom w:val="0"/>
                                                  <w:divBdr>
                                                    <w:top w:val="none" w:sz="0" w:space="0" w:color="auto"/>
                                                    <w:left w:val="none" w:sz="0" w:space="0" w:color="auto"/>
                                                    <w:bottom w:val="none" w:sz="0" w:space="0" w:color="auto"/>
                                                    <w:right w:val="none" w:sz="0" w:space="0" w:color="auto"/>
                                                  </w:divBdr>
                                                </w:div>
                                                <w:div w:id="1548253064">
                                                  <w:marLeft w:val="0"/>
                                                  <w:marRight w:val="0"/>
                                                  <w:marTop w:val="0"/>
                                                  <w:marBottom w:val="0"/>
                                                  <w:divBdr>
                                                    <w:top w:val="none" w:sz="0" w:space="0" w:color="auto"/>
                                                    <w:left w:val="none" w:sz="0" w:space="0" w:color="auto"/>
                                                    <w:bottom w:val="none" w:sz="0" w:space="0" w:color="auto"/>
                                                    <w:right w:val="none" w:sz="0" w:space="0" w:color="auto"/>
                                                  </w:divBdr>
                                                </w:div>
                                                <w:div w:id="2141682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00739602">
      <w:bodyDiv w:val="1"/>
      <w:marLeft w:val="0"/>
      <w:marRight w:val="0"/>
      <w:marTop w:val="0"/>
      <w:marBottom w:val="0"/>
      <w:divBdr>
        <w:top w:val="none" w:sz="0" w:space="0" w:color="auto"/>
        <w:left w:val="none" w:sz="0" w:space="0" w:color="auto"/>
        <w:bottom w:val="none" w:sz="0" w:space="0" w:color="auto"/>
        <w:right w:val="none" w:sz="0" w:space="0" w:color="auto"/>
      </w:divBdr>
      <w:divsChild>
        <w:div w:id="505748467">
          <w:marLeft w:val="360"/>
          <w:marRight w:val="0"/>
          <w:marTop w:val="200"/>
          <w:marBottom w:val="0"/>
          <w:divBdr>
            <w:top w:val="none" w:sz="0" w:space="0" w:color="auto"/>
            <w:left w:val="none" w:sz="0" w:space="0" w:color="auto"/>
            <w:bottom w:val="none" w:sz="0" w:space="0" w:color="auto"/>
            <w:right w:val="none" w:sz="0" w:space="0" w:color="auto"/>
          </w:divBdr>
        </w:div>
        <w:div w:id="572814689">
          <w:marLeft w:val="1080"/>
          <w:marRight w:val="0"/>
          <w:marTop w:val="100"/>
          <w:marBottom w:val="0"/>
          <w:divBdr>
            <w:top w:val="none" w:sz="0" w:space="0" w:color="auto"/>
            <w:left w:val="none" w:sz="0" w:space="0" w:color="auto"/>
            <w:bottom w:val="none" w:sz="0" w:space="0" w:color="auto"/>
            <w:right w:val="none" w:sz="0" w:space="0" w:color="auto"/>
          </w:divBdr>
        </w:div>
        <w:div w:id="910693624">
          <w:marLeft w:val="360"/>
          <w:marRight w:val="0"/>
          <w:marTop w:val="200"/>
          <w:marBottom w:val="0"/>
          <w:divBdr>
            <w:top w:val="none" w:sz="0" w:space="0" w:color="auto"/>
            <w:left w:val="none" w:sz="0" w:space="0" w:color="auto"/>
            <w:bottom w:val="none" w:sz="0" w:space="0" w:color="auto"/>
            <w:right w:val="none" w:sz="0" w:space="0" w:color="auto"/>
          </w:divBdr>
        </w:div>
        <w:div w:id="1300644037">
          <w:marLeft w:val="1080"/>
          <w:marRight w:val="0"/>
          <w:marTop w:val="100"/>
          <w:marBottom w:val="0"/>
          <w:divBdr>
            <w:top w:val="none" w:sz="0" w:space="0" w:color="auto"/>
            <w:left w:val="none" w:sz="0" w:space="0" w:color="auto"/>
            <w:bottom w:val="none" w:sz="0" w:space="0" w:color="auto"/>
            <w:right w:val="none" w:sz="0" w:space="0" w:color="auto"/>
          </w:divBdr>
        </w:div>
        <w:div w:id="1444567164">
          <w:marLeft w:val="1080"/>
          <w:marRight w:val="0"/>
          <w:marTop w:val="100"/>
          <w:marBottom w:val="0"/>
          <w:divBdr>
            <w:top w:val="none" w:sz="0" w:space="0" w:color="auto"/>
            <w:left w:val="none" w:sz="0" w:space="0" w:color="auto"/>
            <w:bottom w:val="none" w:sz="0" w:space="0" w:color="auto"/>
            <w:right w:val="none" w:sz="0" w:space="0" w:color="auto"/>
          </w:divBdr>
        </w:div>
        <w:div w:id="1572618685">
          <w:marLeft w:val="360"/>
          <w:marRight w:val="0"/>
          <w:marTop w:val="200"/>
          <w:marBottom w:val="0"/>
          <w:divBdr>
            <w:top w:val="none" w:sz="0" w:space="0" w:color="auto"/>
            <w:left w:val="none" w:sz="0" w:space="0" w:color="auto"/>
            <w:bottom w:val="none" w:sz="0" w:space="0" w:color="auto"/>
            <w:right w:val="none" w:sz="0" w:space="0" w:color="auto"/>
          </w:divBdr>
        </w:div>
        <w:div w:id="1998070679">
          <w:marLeft w:val="360"/>
          <w:marRight w:val="0"/>
          <w:marTop w:val="200"/>
          <w:marBottom w:val="0"/>
          <w:divBdr>
            <w:top w:val="none" w:sz="0" w:space="0" w:color="auto"/>
            <w:left w:val="none" w:sz="0" w:space="0" w:color="auto"/>
            <w:bottom w:val="none" w:sz="0" w:space="0" w:color="auto"/>
            <w:right w:val="none" w:sz="0" w:space="0" w:color="auto"/>
          </w:divBdr>
        </w:div>
      </w:divsChild>
    </w:div>
    <w:div w:id="1009714327">
      <w:bodyDiv w:val="1"/>
      <w:marLeft w:val="0"/>
      <w:marRight w:val="0"/>
      <w:marTop w:val="0"/>
      <w:marBottom w:val="0"/>
      <w:divBdr>
        <w:top w:val="none" w:sz="0" w:space="0" w:color="auto"/>
        <w:left w:val="none" w:sz="0" w:space="0" w:color="auto"/>
        <w:bottom w:val="none" w:sz="0" w:space="0" w:color="auto"/>
        <w:right w:val="none" w:sz="0" w:space="0" w:color="auto"/>
      </w:divBdr>
      <w:divsChild>
        <w:div w:id="1868716407">
          <w:marLeft w:val="360"/>
          <w:marRight w:val="0"/>
          <w:marTop w:val="200"/>
          <w:marBottom w:val="0"/>
          <w:divBdr>
            <w:top w:val="none" w:sz="0" w:space="0" w:color="auto"/>
            <w:left w:val="none" w:sz="0" w:space="0" w:color="auto"/>
            <w:bottom w:val="none" w:sz="0" w:space="0" w:color="auto"/>
            <w:right w:val="none" w:sz="0" w:space="0" w:color="auto"/>
          </w:divBdr>
        </w:div>
        <w:div w:id="1139885275">
          <w:marLeft w:val="360"/>
          <w:marRight w:val="0"/>
          <w:marTop w:val="200"/>
          <w:marBottom w:val="0"/>
          <w:divBdr>
            <w:top w:val="none" w:sz="0" w:space="0" w:color="auto"/>
            <w:left w:val="none" w:sz="0" w:space="0" w:color="auto"/>
            <w:bottom w:val="none" w:sz="0" w:space="0" w:color="auto"/>
            <w:right w:val="none" w:sz="0" w:space="0" w:color="auto"/>
          </w:divBdr>
        </w:div>
        <w:div w:id="896671337">
          <w:marLeft w:val="360"/>
          <w:marRight w:val="0"/>
          <w:marTop w:val="200"/>
          <w:marBottom w:val="0"/>
          <w:divBdr>
            <w:top w:val="none" w:sz="0" w:space="0" w:color="auto"/>
            <w:left w:val="none" w:sz="0" w:space="0" w:color="auto"/>
            <w:bottom w:val="none" w:sz="0" w:space="0" w:color="auto"/>
            <w:right w:val="none" w:sz="0" w:space="0" w:color="auto"/>
          </w:divBdr>
        </w:div>
      </w:divsChild>
    </w:div>
    <w:div w:id="1024135074">
      <w:bodyDiv w:val="1"/>
      <w:marLeft w:val="0"/>
      <w:marRight w:val="0"/>
      <w:marTop w:val="0"/>
      <w:marBottom w:val="0"/>
      <w:divBdr>
        <w:top w:val="none" w:sz="0" w:space="0" w:color="auto"/>
        <w:left w:val="none" w:sz="0" w:space="0" w:color="auto"/>
        <w:bottom w:val="none" w:sz="0" w:space="0" w:color="auto"/>
        <w:right w:val="none" w:sz="0" w:space="0" w:color="auto"/>
      </w:divBdr>
    </w:div>
    <w:div w:id="1038312955">
      <w:bodyDiv w:val="1"/>
      <w:marLeft w:val="0"/>
      <w:marRight w:val="0"/>
      <w:marTop w:val="0"/>
      <w:marBottom w:val="0"/>
      <w:divBdr>
        <w:top w:val="none" w:sz="0" w:space="0" w:color="auto"/>
        <w:left w:val="none" w:sz="0" w:space="0" w:color="auto"/>
        <w:bottom w:val="none" w:sz="0" w:space="0" w:color="auto"/>
        <w:right w:val="none" w:sz="0" w:space="0" w:color="auto"/>
      </w:divBdr>
    </w:div>
    <w:div w:id="1040740725">
      <w:bodyDiv w:val="1"/>
      <w:marLeft w:val="0"/>
      <w:marRight w:val="0"/>
      <w:marTop w:val="0"/>
      <w:marBottom w:val="0"/>
      <w:divBdr>
        <w:top w:val="none" w:sz="0" w:space="0" w:color="auto"/>
        <w:left w:val="none" w:sz="0" w:space="0" w:color="auto"/>
        <w:bottom w:val="none" w:sz="0" w:space="0" w:color="auto"/>
        <w:right w:val="none" w:sz="0" w:space="0" w:color="auto"/>
      </w:divBdr>
    </w:div>
    <w:div w:id="1050495562">
      <w:bodyDiv w:val="1"/>
      <w:marLeft w:val="0"/>
      <w:marRight w:val="0"/>
      <w:marTop w:val="0"/>
      <w:marBottom w:val="0"/>
      <w:divBdr>
        <w:top w:val="none" w:sz="0" w:space="0" w:color="auto"/>
        <w:left w:val="none" w:sz="0" w:space="0" w:color="auto"/>
        <w:bottom w:val="none" w:sz="0" w:space="0" w:color="auto"/>
        <w:right w:val="none" w:sz="0" w:space="0" w:color="auto"/>
      </w:divBdr>
    </w:div>
    <w:div w:id="1055007232">
      <w:bodyDiv w:val="1"/>
      <w:marLeft w:val="0"/>
      <w:marRight w:val="0"/>
      <w:marTop w:val="0"/>
      <w:marBottom w:val="0"/>
      <w:divBdr>
        <w:top w:val="none" w:sz="0" w:space="0" w:color="auto"/>
        <w:left w:val="none" w:sz="0" w:space="0" w:color="auto"/>
        <w:bottom w:val="none" w:sz="0" w:space="0" w:color="auto"/>
        <w:right w:val="none" w:sz="0" w:space="0" w:color="auto"/>
      </w:divBdr>
    </w:div>
    <w:div w:id="1055087242">
      <w:bodyDiv w:val="1"/>
      <w:marLeft w:val="0"/>
      <w:marRight w:val="0"/>
      <w:marTop w:val="0"/>
      <w:marBottom w:val="0"/>
      <w:divBdr>
        <w:top w:val="none" w:sz="0" w:space="0" w:color="auto"/>
        <w:left w:val="none" w:sz="0" w:space="0" w:color="auto"/>
        <w:bottom w:val="none" w:sz="0" w:space="0" w:color="auto"/>
        <w:right w:val="none" w:sz="0" w:space="0" w:color="auto"/>
      </w:divBdr>
    </w:div>
    <w:div w:id="1081172808">
      <w:bodyDiv w:val="1"/>
      <w:marLeft w:val="0"/>
      <w:marRight w:val="0"/>
      <w:marTop w:val="0"/>
      <w:marBottom w:val="0"/>
      <w:divBdr>
        <w:top w:val="none" w:sz="0" w:space="0" w:color="auto"/>
        <w:left w:val="none" w:sz="0" w:space="0" w:color="auto"/>
        <w:bottom w:val="none" w:sz="0" w:space="0" w:color="auto"/>
        <w:right w:val="none" w:sz="0" w:space="0" w:color="auto"/>
      </w:divBdr>
    </w:div>
    <w:div w:id="1088964718">
      <w:bodyDiv w:val="1"/>
      <w:marLeft w:val="0"/>
      <w:marRight w:val="0"/>
      <w:marTop w:val="0"/>
      <w:marBottom w:val="0"/>
      <w:divBdr>
        <w:top w:val="none" w:sz="0" w:space="0" w:color="auto"/>
        <w:left w:val="none" w:sz="0" w:space="0" w:color="auto"/>
        <w:bottom w:val="none" w:sz="0" w:space="0" w:color="auto"/>
        <w:right w:val="none" w:sz="0" w:space="0" w:color="auto"/>
      </w:divBdr>
    </w:div>
    <w:div w:id="1117718817">
      <w:bodyDiv w:val="1"/>
      <w:marLeft w:val="0"/>
      <w:marRight w:val="0"/>
      <w:marTop w:val="0"/>
      <w:marBottom w:val="0"/>
      <w:divBdr>
        <w:top w:val="none" w:sz="0" w:space="0" w:color="auto"/>
        <w:left w:val="none" w:sz="0" w:space="0" w:color="auto"/>
        <w:bottom w:val="none" w:sz="0" w:space="0" w:color="auto"/>
        <w:right w:val="none" w:sz="0" w:space="0" w:color="auto"/>
      </w:divBdr>
    </w:div>
    <w:div w:id="1155412930">
      <w:bodyDiv w:val="1"/>
      <w:marLeft w:val="0"/>
      <w:marRight w:val="0"/>
      <w:marTop w:val="0"/>
      <w:marBottom w:val="0"/>
      <w:divBdr>
        <w:top w:val="none" w:sz="0" w:space="0" w:color="auto"/>
        <w:left w:val="none" w:sz="0" w:space="0" w:color="auto"/>
        <w:bottom w:val="none" w:sz="0" w:space="0" w:color="auto"/>
        <w:right w:val="none" w:sz="0" w:space="0" w:color="auto"/>
      </w:divBdr>
    </w:div>
    <w:div w:id="1156915452">
      <w:bodyDiv w:val="1"/>
      <w:marLeft w:val="0"/>
      <w:marRight w:val="0"/>
      <w:marTop w:val="0"/>
      <w:marBottom w:val="0"/>
      <w:divBdr>
        <w:top w:val="none" w:sz="0" w:space="0" w:color="auto"/>
        <w:left w:val="none" w:sz="0" w:space="0" w:color="auto"/>
        <w:bottom w:val="none" w:sz="0" w:space="0" w:color="auto"/>
        <w:right w:val="none" w:sz="0" w:space="0" w:color="auto"/>
      </w:divBdr>
    </w:div>
    <w:div w:id="1195579647">
      <w:bodyDiv w:val="1"/>
      <w:marLeft w:val="0"/>
      <w:marRight w:val="0"/>
      <w:marTop w:val="0"/>
      <w:marBottom w:val="0"/>
      <w:divBdr>
        <w:top w:val="none" w:sz="0" w:space="0" w:color="auto"/>
        <w:left w:val="none" w:sz="0" w:space="0" w:color="auto"/>
        <w:bottom w:val="none" w:sz="0" w:space="0" w:color="auto"/>
        <w:right w:val="none" w:sz="0" w:space="0" w:color="auto"/>
      </w:divBdr>
    </w:div>
    <w:div w:id="1215504379">
      <w:bodyDiv w:val="1"/>
      <w:marLeft w:val="0"/>
      <w:marRight w:val="0"/>
      <w:marTop w:val="0"/>
      <w:marBottom w:val="0"/>
      <w:divBdr>
        <w:top w:val="none" w:sz="0" w:space="0" w:color="auto"/>
        <w:left w:val="none" w:sz="0" w:space="0" w:color="auto"/>
        <w:bottom w:val="none" w:sz="0" w:space="0" w:color="auto"/>
        <w:right w:val="none" w:sz="0" w:space="0" w:color="auto"/>
      </w:divBdr>
    </w:div>
    <w:div w:id="1219125799">
      <w:bodyDiv w:val="1"/>
      <w:marLeft w:val="0"/>
      <w:marRight w:val="0"/>
      <w:marTop w:val="0"/>
      <w:marBottom w:val="0"/>
      <w:divBdr>
        <w:top w:val="none" w:sz="0" w:space="0" w:color="auto"/>
        <w:left w:val="none" w:sz="0" w:space="0" w:color="auto"/>
        <w:bottom w:val="none" w:sz="0" w:space="0" w:color="auto"/>
        <w:right w:val="none" w:sz="0" w:space="0" w:color="auto"/>
      </w:divBdr>
    </w:div>
    <w:div w:id="1234583174">
      <w:bodyDiv w:val="1"/>
      <w:marLeft w:val="0"/>
      <w:marRight w:val="0"/>
      <w:marTop w:val="0"/>
      <w:marBottom w:val="0"/>
      <w:divBdr>
        <w:top w:val="none" w:sz="0" w:space="0" w:color="auto"/>
        <w:left w:val="none" w:sz="0" w:space="0" w:color="auto"/>
        <w:bottom w:val="none" w:sz="0" w:space="0" w:color="auto"/>
        <w:right w:val="none" w:sz="0" w:space="0" w:color="auto"/>
      </w:divBdr>
    </w:div>
    <w:div w:id="1258906417">
      <w:bodyDiv w:val="1"/>
      <w:marLeft w:val="0"/>
      <w:marRight w:val="0"/>
      <w:marTop w:val="0"/>
      <w:marBottom w:val="0"/>
      <w:divBdr>
        <w:top w:val="none" w:sz="0" w:space="0" w:color="auto"/>
        <w:left w:val="none" w:sz="0" w:space="0" w:color="auto"/>
        <w:bottom w:val="none" w:sz="0" w:space="0" w:color="auto"/>
        <w:right w:val="none" w:sz="0" w:space="0" w:color="auto"/>
      </w:divBdr>
      <w:divsChild>
        <w:div w:id="143160248">
          <w:marLeft w:val="547"/>
          <w:marRight w:val="0"/>
          <w:marTop w:val="115"/>
          <w:marBottom w:val="0"/>
          <w:divBdr>
            <w:top w:val="none" w:sz="0" w:space="0" w:color="auto"/>
            <w:left w:val="none" w:sz="0" w:space="0" w:color="auto"/>
            <w:bottom w:val="none" w:sz="0" w:space="0" w:color="auto"/>
            <w:right w:val="none" w:sz="0" w:space="0" w:color="auto"/>
          </w:divBdr>
        </w:div>
        <w:div w:id="218635828">
          <w:marLeft w:val="547"/>
          <w:marRight w:val="0"/>
          <w:marTop w:val="115"/>
          <w:marBottom w:val="0"/>
          <w:divBdr>
            <w:top w:val="none" w:sz="0" w:space="0" w:color="auto"/>
            <w:left w:val="none" w:sz="0" w:space="0" w:color="auto"/>
            <w:bottom w:val="none" w:sz="0" w:space="0" w:color="auto"/>
            <w:right w:val="none" w:sz="0" w:space="0" w:color="auto"/>
          </w:divBdr>
        </w:div>
        <w:div w:id="855077512">
          <w:marLeft w:val="547"/>
          <w:marRight w:val="0"/>
          <w:marTop w:val="115"/>
          <w:marBottom w:val="0"/>
          <w:divBdr>
            <w:top w:val="none" w:sz="0" w:space="0" w:color="auto"/>
            <w:left w:val="none" w:sz="0" w:space="0" w:color="auto"/>
            <w:bottom w:val="none" w:sz="0" w:space="0" w:color="auto"/>
            <w:right w:val="none" w:sz="0" w:space="0" w:color="auto"/>
          </w:divBdr>
        </w:div>
        <w:div w:id="1798375918">
          <w:marLeft w:val="547"/>
          <w:marRight w:val="0"/>
          <w:marTop w:val="115"/>
          <w:marBottom w:val="0"/>
          <w:divBdr>
            <w:top w:val="none" w:sz="0" w:space="0" w:color="auto"/>
            <w:left w:val="none" w:sz="0" w:space="0" w:color="auto"/>
            <w:bottom w:val="none" w:sz="0" w:space="0" w:color="auto"/>
            <w:right w:val="none" w:sz="0" w:space="0" w:color="auto"/>
          </w:divBdr>
        </w:div>
        <w:div w:id="2065130134">
          <w:marLeft w:val="547"/>
          <w:marRight w:val="0"/>
          <w:marTop w:val="115"/>
          <w:marBottom w:val="0"/>
          <w:divBdr>
            <w:top w:val="none" w:sz="0" w:space="0" w:color="auto"/>
            <w:left w:val="none" w:sz="0" w:space="0" w:color="auto"/>
            <w:bottom w:val="none" w:sz="0" w:space="0" w:color="auto"/>
            <w:right w:val="none" w:sz="0" w:space="0" w:color="auto"/>
          </w:divBdr>
        </w:div>
      </w:divsChild>
    </w:div>
    <w:div w:id="1268998837">
      <w:bodyDiv w:val="1"/>
      <w:marLeft w:val="0"/>
      <w:marRight w:val="0"/>
      <w:marTop w:val="0"/>
      <w:marBottom w:val="0"/>
      <w:divBdr>
        <w:top w:val="none" w:sz="0" w:space="0" w:color="auto"/>
        <w:left w:val="none" w:sz="0" w:space="0" w:color="auto"/>
        <w:bottom w:val="none" w:sz="0" w:space="0" w:color="auto"/>
        <w:right w:val="none" w:sz="0" w:space="0" w:color="auto"/>
      </w:divBdr>
    </w:div>
    <w:div w:id="1276670768">
      <w:bodyDiv w:val="1"/>
      <w:marLeft w:val="0"/>
      <w:marRight w:val="0"/>
      <w:marTop w:val="0"/>
      <w:marBottom w:val="0"/>
      <w:divBdr>
        <w:top w:val="none" w:sz="0" w:space="0" w:color="auto"/>
        <w:left w:val="none" w:sz="0" w:space="0" w:color="auto"/>
        <w:bottom w:val="none" w:sz="0" w:space="0" w:color="auto"/>
        <w:right w:val="none" w:sz="0" w:space="0" w:color="auto"/>
      </w:divBdr>
    </w:div>
    <w:div w:id="1300458035">
      <w:bodyDiv w:val="1"/>
      <w:marLeft w:val="0"/>
      <w:marRight w:val="0"/>
      <w:marTop w:val="0"/>
      <w:marBottom w:val="0"/>
      <w:divBdr>
        <w:top w:val="none" w:sz="0" w:space="0" w:color="auto"/>
        <w:left w:val="none" w:sz="0" w:space="0" w:color="auto"/>
        <w:bottom w:val="none" w:sz="0" w:space="0" w:color="auto"/>
        <w:right w:val="none" w:sz="0" w:space="0" w:color="auto"/>
      </w:divBdr>
    </w:div>
    <w:div w:id="1306282067">
      <w:bodyDiv w:val="1"/>
      <w:marLeft w:val="0"/>
      <w:marRight w:val="0"/>
      <w:marTop w:val="0"/>
      <w:marBottom w:val="0"/>
      <w:divBdr>
        <w:top w:val="none" w:sz="0" w:space="0" w:color="auto"/>
        <w:left w:val="none" w:sz="0" w:space="0" w:color="auto"/>
        <w:bottom w:val="none" w:sz="0" w:space="0" w:color="auto"/>
        <w:right w:val="none" w:sz="0" w:space="0" w:color="auto"/>
      </w:divBdr>
    </w:div>
    <w:div w:id="1323389981">
      <w:bodyDiv w:val="1"/>
      <w:marLeft w:val="0"/>
      <w:marRight w:val="0"/>
      <w:marTop w:val="0"/>
      <w:marBottom w:val="0"/>
      <w:divBdr>
        <w:top w:val="none" w:sz="0" w:space="0" w:color="auto"/>
        <w:left w:val="none" w:sz="0" w:space="0" w:color="auto"/>
        <w:bottom w:val="none" w:sz="0" w:space="0" w:color="auto"/>
        <w:right w:val="none" w:sz="0" w:space="0" w:color="auto"/>
      </w:divBdr>
    </w:div>
    <w:div w:id="1349329926">
      <w:bodyDiv w:val="1"/>
      <w:marLeft w:val="0"/>
      <w:marRight w:val="0"/>
      <w:marTop w:val="0"/>
      <w:marBottom w:val="0"/>
      <w:divBdr>
        <w:top w:val="none" w:sz="0" w:space="0" w:color="auto"/>
        <w:left w:val="none" w:sz="0" w:space="0" w:color="auto"/>
        <w:bottom w:val="none" w:sz="0" w:space="0" w:color="auto"/>
        <w:right w:val="none" w:sz="0" w:space="0" w:color="auto"/>
      </w:divBdr>
    </w:div>
    <w:div w:id="1355889020">
      <w:bodyDiv w:val="1"/>
      <w:marLeft w:val="0"/>
      <w:marRight w:val="0"/>
      <w:marTop w:val="0"/>
      <w:marBottom w:val="0"/>
      <w:divBdr>
        <w:top w:val="none" w:sz="0" w:space="0" w:color="auto"/>
        <w:left w:val="none" w:sz="0" w:space="0" w:color="auto"/>
        <w:bottom w:val="none" w:sz="0" w:space="0" w:color="auto"/>
        <w:right w:val="none" w:sz="0" w:space="0" w:color="auto"/>
      </w:divBdr>
    </w:div>
    <w:div w:id="1372261986">
      <w:bodyDiv w:val="1"/>
      <w:marLeft w:val="0"/>
      <w:marRight w:val="0"/>
      <w:marTop w:val="0"/>
      <w:marBottom w:val="0"/>
      <w:divBdr>
        <w:top w:val="none" w:sz="0" w:space="0" w:color="auto"/>
        <w:left w:val="none" w:sz="0" w:space="0" w:color="auto"/>
        <w:bottom w:val="none" w:sz="0" w:space="0" w:color="auto"/>
        <w:right w:val="none" w:sz="0" w:space="0" w:color="auto"/>
      </w:divBdr>
    </w:div>
    <w:div w:id="1387992653">
      <w:bodyDiv w:val="1"/>
      <w:marLeft w:val="0"/>
      <w:marRight w:val="0"/>
      <w:marTop w:val="0"/>
      <w:marBottom w:val="0"/>
      <w:divBdr>
        <w:top w:val="none" w:sz="0" w:space="0" w:color="auto"/>
        <w:left w:val="none" w:sz="0" w:space="0" w:color="auto"/>
        <w:bottom w:val="none" w:sz="0" w:space="0" w:color="auto"/>
        <w:right w:val="none" w:sz="0" w:space="0" w:color="auto"/>
      </w:divBdr>
    </w:div>
    <w:div w:id="1400716104">
      <w:bodyDiv w:val="1"/>
      <w:marLeft w:val="0"/>
      <w:marRight w:val="0"/>
      <w:marTop w:val="0"/>
      <w:marBottom w:val="0"/>
      <w:divBdr>
        <w:top w:val="none" w:sz="0" w:space="0" w:color="auto"/>
        <w:left w:val="none" w:sz="0" w:space="0" w:color="auto"/>
        <w:bottom w:val="none" w:sz="0" w:space="0" w:color="auto"/>
        <w:right w:val="none" w:sz="0" w:space="0" w:color="auto"/>
      </w:divBdr>
    </w:div>
    <w:div w:id="1402601626">
      <w:bodyDiv w:val="1"/>
      <w:marLeft w:val="0"/>
      <w:marRight w:val="0"/>
      <w:marTop w:val="0"/>
      <w:marBottom w:val="0"/>
      <w:divBdr>
        <w:top w:val="none" w:sz="0" w:space="0" w:color="auto"/>
        <w:left w:val="none" w:sz="0" w:space="0" w:color="auto"/>
        <w:bottom w:val="none" w:sz="0" w:space="0" w:color="auto"/>
        <w:right w:val="none" w:sz="0" w:space="0" w:color="auto"/>
      </w:divBdr>
    </w:div>
    <w:div w:id="1448892066">
      <w:bodyDiv w:val="1"/>
      <w:marLeft w:val="0"/>
      <w:marRight w:val="0"/>
      <w:marTop w:val="0"/>
      <w:marBottom w:val="0"/>
      <w:divBdr>
        <w:top w:val="none" w:sz="0" w:space="0" w:color="auto"/>
        <w:left w:val="none" w:sz="0" w:space="0" w:color="auto"/>
        <w:bottom w:val="none" w:sz="0" w:space="0" w:color="auto"/>
        <w:right w:val="none" w:sz="0" w:space="0" w:color="auto"/>
      </w:divBdr>
    </w:div>
    <w:div w:id="1459758046">
      <w:bodyDiv w:val="1"/>
      <w:marLeft w:val="0"/>
      <w:marRight w:val="0"/>
      <w:marTop w:val="0"/>
      <w:marBottom w:val="0"/>
      <w:divBdr>
        <w:top w:val="none" w:sz="0" w:space="0" w:color="auto"/>
        <w:left w:val="none" w:sz="0" w:space="0" w:color="auto"/>
        <w:bottom w:val="none" w:sz="0" w:space="0" w:color="auto"/>
        <w:right w:val="none" w:sz="0" w:space="0" w:color="auto"/>
      </w:divBdr>
    </w:div>
    <w:div w:id="1475290826">
      <w:bodyDiv w:val="1"/>
      <w:marLeft w:val="0"/>
      <w:marRight w:val="0"/>
      <w:marTop w:val="0"/>
      <w:marBottom w:val="0"/>
      <w:divBdr>
        <w:top w:val="none" w:sz="0" w:space="0" w:color="auto"/>
        <w:left w:val="none" w:sz="0" w:space="0" w:color="auto"/>
        <w:bottom w:val="none" w:sz="0" w:space="0" w:color="auto"/>
        <w:right w:val="none" w:sz="0" w:space="0" w:color="auto"/>
      </w:divBdr>
    </w:div>
    <w:div w:id="1484469245">
      <w:bodyDiv w:val="1"/>
      <w:marLeft w:val="0"/>
      <w:marRight w:val="0"/>
      <w:marTop w:val="0"/>
      <w:marBottom w:val="0"/>
      <w:divBdr>
        <w:top w:val="none" w:sz="0" w:space="0" w:color="auto"/>
        <w:left w:val="none" w:sz="0" w:space="0" w:color="auto"/>
        <w:bottom w:val="none" w:sz="0" w:space="0" w:color="auto"/>
        <w:right w:val="none" w:sz="0" w:space="0" w:color="auto"/>
      </w:divBdr>
    </w:div>
    <w:div w:id="1490707893">
      <w:bodyDiv w:val="1"/>
      <w:marLeft w:val="0"/>
      <w:marRight w:val="0"/>
      <w:marTop w:val="0"/>
      <w:marBottom w:val="0"/>
      <w:divBdr>
        <w:top w:val="none" w:sz="0" w:space="0" w:color="auto"/>
        <w:left w:val="none" w:sz="0" w:space="0" w:color="auto"/>
        <w:bottom w:val="none" w:sz="0" w:space="0" w:color="auto"/>
        <w:right w:val="none" w:sz="0" w:space="0" w:color="auto"/>
      </w:divBdr>
    </w:div>
    <w:div w:id="1501000026">
      <w:bodyDiv w:val="1"/>
      <w:marLeft w:val="0"/>
      <w:marRight w:val="0"/>
      <w:marTop w:val="0"/>
      <w:marBottom w:val="0"/>
      <w:divBdr>
        <w:top w:val="none" w:sz="0" w:space="0" w:color="auto"/>
        <w:left w:val="none" w:sz="0" w:space="0" w:color="auto"/>
        <w:bottom w:val="none" w:sz="0" w:space="0" w:color="auto"/>
        <w:right w:val="none" w:sz="0" w:space="0" w:color="auto"/>
      </w:divBdr>
    </w:div>
    <w:div w:id="1504125149">
      <w:bodyDiv w:val="1"/>
      <w:marLeft w:val="0"/>
      <w:marRight w:val="0"/>
      <w:marTop w:val="0"/>
      <w:marBottom w:val="0"/>
      <w:divBdr>
        <w:top w:val="none" w:sz="0" w:space="0" w:color="auto"/>
        <w:left w:val="none" w:sz="0" w:space="0" w:color="auto"/>
        <w:bottom w:val="none" w:sz="0" w:space="0" w:color="auto"/>
        <w:right w:val="none" w:sz="0" w:space="0" w:color="auto"/>
      </w:divBdr>
    </w:div>
    <w:div w:id="1546482017">
      <w:bodyDiv w:val="1"/>
      <w:marLeft w:val="0"/>
      <w:marRight w:val="0"/>
      <w:marTop w:val="0"/>
      <w:marBottom w:val="0"/>
      <w:divBdr>
        <w:top w:val="none" w:sz="0" w:space="0" w:color="auto"/>
        <w:left w:val="none" w:sz="0" w:space="0" w:color="auto"/>
        <w:bottom w:val="none" w:sz="0" w:space="0" w:color="auto"/>
        <w:right w:val="none" w:sz="0" w:space="0" w:color="auto"/>
      </w:divBdr>
    </w:div>
    <w:div w:id="1627811685">
      <w:bodyDiv w:val="1"/>
      <w:marLeft w:val="0"/>
      <w:marRight w:val="0"/>
      <w:marTop w:val="0"/>
      <w:marBottom w:val="0"/>
      <w:divBdr>
        <w:top w:val="none" w:sz="0" w:space="0" w:color="auto"/>
        <w:left w:val="none" w:sz="0" w:space="0" w:color="auto"/>
        <w:bottom w:val="none" w:sz="0" w:space="0" w:color="auto"/>
        <w:right w:val="none" w:sz="0" w:space="0" w:color="auto"/>
      </w:divBdr>
      <w:divsChild>
        <w:div w:id="105197352">
          <w:marLeft w:val="547"/>
          <w:marRight w:val="0"/>
          <w:marTop w:val="58"/>
          <w:marBottom w:val="0"/>
          <w:divBdr>
            <w:top w:val="none" w:sz="0" w:space="0" w:color="auto"/>
            <w:left w:val="none" w:sz="0" w:space="0" w:color="auto"/>
            <w:bottom w:val="none" w:sz="0" w:space="0" w:color="auto"/>
            <w:right w:val="none" w:sz="0" w:space="0" w:color="auto"/>
          </w:divBdr>
        </w:div>
        <w:div w:id="387072403">
          <w:marLeft w:val="547"/>
          <w:marRight w:val="0"/>
          <w:marTop w:val="58"/>
          <w:marBottom w:val="0"/>
          <w:divBdr>
            <w:top w:val="none" w:sz="0" w:space="0" w:color="auto"/>
            <w:left w:val="none" w:sz="0" w:space="0" w:color="auto"/>
            <w:bottom w:val="none" w:sz="0" w:space="0" w:color="auto"/>
            <w:right w:val="none" w:sz="0" w:space="0" w:color="auto"/>
          </w:divBdr>
        </w:div>
        <w:div w:id="604969770">
          <w:marLeft w:val="547"/>
          <w:marRight w:val="0"/>
          <w:marTop w:val="58"/>
          <w:marBottom w:val="0"/>
          <w:divBdr>
            <w:top w:val="none" w:sz="0" w:space="0" w:color="auto"/>
            <w:left w:val="none" w:sz="0" w:space="0" w:color="auto"/>
            <w:bottom w:val="none" w:sz="0" w:space="0" w:color="auto"/>
            <w:right w:val="none" w:sz="0" w:space="0" w:color="auto"/>
          </w:divBdr>
        </w:div>
        <w:div w:id="637036277">
          <w:marLeft w:val="547"/>
          <w:marRight w:val="0"/>
          <w:marTop w:val="58"/>
          <w:marBottom w:val="0"/>
          <w:divBdr>
            <w:top w:val="none" w:sz="0" w:space="0" w:color="auto"/>
            <w:left w:val="none" w:sz="0" w:space="0" w:color="auto"/>
            <w:bottom w:val="none" w:sz="0" w:space="0" w:color="auto"/>
            <w:right w:val="none" w:sz="0" w:space="0" w:color="auto"/>
          </w:divBdr>
        </w:div>
        <w:div w:id="829491268">
          <w:marLeft w:val="547"/>
          <w:marRight w:val="0"/>
          <w:marTop w:val="58"/>
          <w:marBottom w:val="0"/>
          <w:divBdr>
            <w:top w:val="none" w:sz="0" w:space="0" w:color="auto"/>
            <w:left w:val="none" w:sz="0" w:space="0" w:color="auto"/>
            <w:bottom w:val="none" w:sz="0" w:space="0" w:color="auto"/>
            <w:right w:val="none" w:sz="0" w:space="0" w:color="auto"/>
          </w:divBdr>
        </w:div>
        <w:div w:id="885944601">
          <w:marLeft w:val="547"/>
          <w:marRight w:val="0"/>
          <w:marTop w:val="58"/>
          <w:marBottom w:val="0"/>
          <w:divBdr>
            <w:top w:val="none" w:sz="0" w:space="0" w:color="auto"/>
            <w:left w:val="none" w:sz="0" w:space="0" w:color="auto"/>
            <w:bottom w:val="none" w:sz="0" w:space="0" w:color="auto"/>
            <w:right w:val="none" w:sz="0" w:space="0" w:color="auto"/>
          </w:divBdr>
        </w:div>
      </w:divsChild>
    </w:div>
    <w:div w:id="1631283759">
      <w:bodyDiv w:val="1"/>
      <w:marLeft w:val="0"/>
      <w:marRight w:val="0"/>
      <w:marTop w:val="0"/>
      <w:marBottom w:val="0"/>
      <w:divBdr>
        <w:top w:val="none" w:sz="0" w:space="0" w:color="auto"/>
        <w:left w:val="none" w:sz="0" w:space="0" w:color="auto"/>
        <w:bottom w:val="none" w:sz="0" w:space="0" w:color="auto"/>
        <w:right w:val="none" w:sz="0" w:space="0" w:color="auto"/>
      </w:divBdr>
      <w:divsChild>
        <w:div w:id="1592200734">
          <w:marLeft w:val="360"/>
          <w:marRight w:val="0"/>
          <w:marTop w:val="200"/>
          <w:marBottom w:val="0"/>
          <w:divBdr>
            <w:top w:val="none" w:sz="0" w:space="0" w:color="auto"/>
            <w:left w:val="none" w:sz="0" w:space="0" w:color="auto"/>
            <w:bottom w:val="none" w:sz="0" w:space="0" w:color="auto"/>
            <w:right w:val="none" w:sz="0" w:space="0" w:color="auto"/>
          </w:divBdr>
        </w:div>
        <w:div w:id="1505632062">
          <w:marLeft w:val="360"/>
          <w:marRight w:val="0"/>
          <w:marTop w:val="200"/>
          <w:marBottom w:val="0"/>
          <w:divBdr>
            <w:top w:val="none" w:sz="0" w:space="0" w:color="auto"/>
            <w:left w:val="none" w:sz="0" w:space="0" w:color="auto"/>
            <w:bottom w:val="none" w:sz="0" w:space="0" w:color="auto"/>
            <w:right w:val="none" w:sz="0" w:space="0" w:color="auto"/>
          </w:divBdr>
        </w:div>
        <w:div w:id="1418096672">
          <w:marLeft w:val="360"/>
          <w:marRight w:val="0"/>
          <w:marTop w:val="200"/>
          <w:marBottom w:val="0"/>
          <w:divBdr>
            <w:top w:val="none" w:sz="0" w:space="0" w:color="auto"/>
            <w:left w:val="none" w:sz="0" w:space="0" w:color="auto"/>
            <w:bottom w:val="none" w:sz="0" w:space="0" w:color="auto"/>
            <w:right w:val="none" w:sz="0" w:space="0" w:color="auto"/>
          </w:divBdr>
        </w:div>
        <w:div w:id="1610774706">
          <w:marLeft w:val="360"/>
          <w:marRight w:val="0"/>
          <w:marTop w:val="200"/>
          <w:marBottom w:val="0"/>
          <w:divBdr>
            <w:top w:val="none" w:sz="0" w:space="0" w:color="auto"/>
            <w:left w:val="none" w:sz="0" w:space="0" w:color="auto"/>
            <w:bottom w:val="none" w:sz="0" w:space="0" w:color="auto"/>
            <w:right w:val="none" w:sz="0" w:space="0" w:color="auto"/>
          </w:divBdr>
        </w:div>
      </w:divsChild>
    </w:div>
    <w:div w:id="1637644142">
      <w:bodyDiv w:val="1"/>
      <w:marLeft w:val="0"/>
      <w:marRight w:val="0"/>
      <w:marTop w:val="0"/>
      <w:marBottom w:val="0"/>
      <w:divBdr>
        <w:top w:val="none" w:sz="0" w:space="0" w:color="auto"/>
        <w:left w:val="none" w:sz="0" w:space="0" w:color="auto"/>
        <w:bottom w:val="none" w:sz="0" w:space="0" w:color="auto"/>
        <w:right w:val="none" w:sz="0" w:space="0" w:color="auto"/>
      </w:divBdr>
    </w:div>
    <w:div w:id="1646156400">
      <w:bodyDiv w:val="1"/>
      <w:marLeft w:val="0"/>
      <w:marRight w:val="0"/>
      <w:marTop w:val="0"/>
      <w:marBottom w:val="0"/>
      <w:divBdr>
        <w:top w:val="none" w:sz="0" w:space="0" w:color="auto"/>
        <w:left w:val="none" w:sz="0" w:space="0" w:color="auto"/>
        <w:bottom w:val="none" w:sz="0" w:space="0" w:color="auto"/>
        <w:right w:val="none" w:sz="0" w:space="0" w:color="auto"/>
      </w:divBdr>
    </w:div>
    <w:div w:id="1649476104">
      <w:bodyDiv w:val="1"/>
      <w:marLeft w:val="0"/>
      <w:marRight w:val="0"/>
      <w:marTop w:val="0"/>
      <w:marBottom w:val="0"/>
      <w:divBdr>
        <w:top w:val="none" w:sz="0" w:space="0" w:color="auto"/>
        <w:left w:val="none" w:sz="0" w:space="0" w:color="auto"/>
        <w:bottom w:val="none" w:sz="0" w:space="0" w:color="auto"/>
        <w:right w:val="none" w:sz="0" w:space="0" w:color="auto"/>
      </w:divBdr>
    </w:div>
    <w:div w:id="1654528920">
      <w:bodyDiv w:val="1"/>
      <w:marLeft w:val="0"/>
      <w:marRight w:val="0"/>
      <w:marTop w:val="0"/>
      <w:marBottom w:val="0"/>
      <w:divBdr>
        <w:top w:val="none" w:sz="0" w:space="0" w:color="auto"/>
        <w:left w:val="none" w:sz="0" w:space="0" w:color="auto"/>
        <w:bottom w:val="none" w:sz="0" w:space="0" w:color="auto"/>
        <w:right w:val="none" w:sz="0" w:space="0" w:color="auto"/>
      </w:divBdr>
      <w:divsChild>
        <w:div w:id="442264015">
          <w:marLeft w:val="547"/>
          <w:marRight w:val="0"/>
          <w:marTop w:val="134"/>
          <w:marBottom w:val="0"/>
          <w:divBdr>
            <w:top w:val="none" w:sz="0" w:space="0" w:color="auto"/>
            <w:left w:val="none" w:sz="0" w:space="0" w:color="auto"/>
            <w:bottom w:val="none" w:sz="0" w:space="0" w:color="auto"/>
            <w:right w:val="none" w:sz="0" w:space="0" w:color="auto"/>
          </w:divBdr>
        </w:div>
        <w:div w:id="791437644">
          <w:marLeft w:val="547"/>
          <w:marRight w:val="0"/>
          <w:marTop w:val="134"/>
          <w:marBottom w:val="0"/>
          <w:divBdr>
            <w:top w:val="none" w:sz="0" w:space="0" w:color="auto"/>
            <w:left w:val="none" w:sz="0" w:space="0" w:color="auto"/>
            <w:bottom w:val="none" w:sz="0" w:space="0" w:color="auto"/>
            <w:right w:val="none" w:sz="0" w:space="0" w:color="auto"/>
          </w:divBdr>
        </w:div>
        <w:div w:id="808664990">
          <w:marLeft w:val="547"/>
          <w:marRight w:val="0"/>
          <w:marTop w:val="134"/>
          <w:marBottom w:val="0"/>
          <w:divBdr>
            <w:top w:val="none" w:sz="0" w:space="0" w:color="auto"/>
            <w:left w:val="none" w:sz="0" w:space="0" w:color="auto"/>
            <w:bottom w:val="none" w:sz="0" w:space="0" w:color="auto"/>
            <w:right w:val="none" w:sz="0" w:space="0" w:color="auto"/>
          </w:divBdr>
        </w:div>
        <w:div w:id="1469515581">
          <w:marLeft w:val="547"/>
          <w:marRight w:val="0"/>
          <w:marTop w:val="134"/>
          <w:marBottom w:val="0"/>
          <w:divBdr>
            <w:top w:val="none" w:sz="0" w:space="0" w:color="auto"/>
            <w:left w:val="none" w:sz="0" w:space="0" w:color="auto"/>
            <w:bottom w:val="none" w:sz="0" w:space="0" w:color="auto"/>
            <w:right w:val="none" w:sz="0" w:space="0" w:color="auto"/>
          </w:divBdr>
        </w:div>
        <w:div w:id="1719208124">
          <w:marLeft w:val="547"/>
          <w:marRight w:val="0"/>
          <w:marTop w:val="134"/>
          <w:marBottom w:val="0"/>
          <w:divBdr>
            <w:top w:val="none" w:sz="0" w:space="0" w:color="auto"/>
            <w:left w:val="none" w:sz="0" w:space="0" w:color="auto"/>
            <w:bottom w:val="none" w:sz="0" w:space="0" w:color="auto"/>
            <w:right w:val="none" w:sz="0" w:space="0" w:color="auto"/>
          </w:divBdr>
        </w:div>
        <w:div w:id="1788698997">
          <w:marLeft w:val="547"/>
          <w:marRight w:val="0"/>
          <w:marTop w:val="134"/>
          <w:marBottom w:val="0"/>
          <w:divBdr>
            <w:top w:val="none" w:sz="0" w:space="0" w:color="auto"/>
            <w:left w:val="none" w:sz="0" w:space="0" w:color="auto"/>
            <w:bottom w:val="none" w:sz="0" w:space="0" w:color="auto"/>
            <w:right w:val="none" w:sz="0" w:space="0" w:color="auto"/>
          </w:divBdr>
        </w:div>
        <w:div w:id="1941066402">
          <w:marLeft w:val="547"/>
          <w:marRight w:val="0"/>
          <w:marTop w:val="134"/>
          <w:marBottom w:val="0"/>
          <w:divBdr>
            <w:top w:val="none" w:sz="0" w:space="0" w:color="auto"/>
            <w:left w:val="none" w:sz="0" w:space="0" w:color="auto"/>
            <w:bottom w:val="none" w:sz="0" w:space="0" w:color="auto"/>
            <w:right w:val="none" w:sz="0" w:space="0" w:color="auto"/>
          </w:divBdr>
        </w:div>
      </w:divsChild>
    </w:div>
    <w:div w:id="1669401407">
      <w:bodyDiv w:val="1"/>
      <w:marLeft w:val="0"/>
      <w:marRight w:val="0"/>
      <w:marTop w:val="0"/>
      <w:marBottom w:val="0"/>
      <w:divBdr>
        <w:top w:val="none" w:sz="0" w:space="0" w:color="auto"/>
        <w:left w:val="none" w:sz="0" w:space="0" w:color="auto"/>
        <w:bottom w:val="none" w:sz="0" w:space="0" w:color="auto"/>
        <w:right w:val="none" w:sz="0" w:space="0" w:color="auto"/>
      </w:divBdr>
    </w:div>
    <w:div w:id="1726828880">
      <w:bodyDiv w:val="1"/>
      <w:marLeft w:val="0"/>
      <w:marRight w:val="0"/>
      <w:marTop w:val="0"/>
      <w:marBottom w:val="0"/>
      <w:divBdr>
        <w:top w:val="none" w:sz="0" w:space="0" w:color="auto"/>
        <w:left w:val="none" w:sz="0" w:space="0" w:color="auto"/>
        <w:bottom w:val="none" w:sz="0" w:space="0" w:color="auto"/>
        <w:right w:val="none" w:sz="0" w:space="0" w:color="auto"/>
      </w:divBdr>
    </w:div>
    <w:div w:id="1761557167">
      <w:bodyDiv w:val="1"/>
      <w:marLeft w:val="0"/>
      <w:marRight w:val="0"/>
      <w:marTop w:val="0"/>
      <w:marBottom w:val="0"/>
      <w:divBdr>
        <w:top w:val="none" w:sz="0" w:space="0" w:color="auto"/>
        <w:left w:val="none" w:sz="0" w:space="0" w:color="auto"/>
        <w:bottom w:val="none" w:sz="0" w:space="0" w:color="auto"/>
        <w:right w:val="none" w:sz="0" w:space="0" w:color="auto"/>
      </w:divBdr>
    </w:div>
    <w:div w:id="1780484468">
      <w:bodyDiv w:val="1"/>
      <w:marLeft w:val="0"/>
      <w:marRight w:val="0"/>
      <w:marTop w:val="0"/>
      <w:marBottom w:val="0"/>
      <w:divBdr>
        <w:top w:val="none" w:sz="0" w:space="0" w:color="auto"/>
        <w:left w:val="none" w:sz="0" w:space="0" w:color="auto"/>
        <w:bottom w:val="none" w:sz="0" w:space="0" w:color="auto"/>
        <w:right w:val="none" w:sz="0" w:space="0" w:color="auto"/>
      </w:divBdr>
    </w:div>
    <w:div w:id="1782147035">
      <w:bodyDiv w:val="1"/>
      <w:marLeft w:val="0"/>
      <w:marRight w:val="0"/>
      <w:marTop w:val="0"/>
      <w:marBottom w:val="0"/>
      <w:divBdr>
        <w:top w:val="none" w:sz="0" w:space="0" w:color="auto"/>
        <w:left w:val="none" w:sz="0" w:space="0" w:color="auto"/>
        <w:bottom w:val="none" w:sz="0" w:space="0" w:color="auto"/>
        <w:right w:val="none" w:sz="0" w:space="0" w:color="auto"/>
      </w:divBdr>
      <w:divsChild>
        <w:div w:id="1715883323">
          <w:marLeft w:val="0"/>
          <w:marRight w:val="0"/>
          <w:marTop w:val="100"/>
          <w:marBottom w:val="100"/>
          <w:divBdr>
            <w:top w:val="none" w:sz="0" w:space="0" w:color="auto"/>
            <w:left w:val="none" w:sz="0" w:space="0" w:color="auto"/>
            <w:bottom w:val="none" w:sz="0" w:space="0" w:color="auto"/>
            <w:right w:val="none" w:sz="0" w:space="0" w:color="auto"/>
          </w:divBdr>
          <w:divsChild>
            <w:div w:id="529222380">
              <w:marLeft w:val="0"/>
              <w:marRight w:val="0"/>
              <w:marTop w:val="0"/>
              <w:marBottom w:val="0"/>
              <w:divBdr>
                <w:top w:val="none" w:sz="0" w:space="0" w:color="auto"/>
                <w:left w:val="none" w:sz="0" w:space="0" w:color="auto"/>
                <w:bottom w:val="none" w:sz="0" w:space="0" w:color="auto"/>
                <w:right w:val="none" w:sz="0" w:space="0" w:color="auto"/>
              </w:divBdr>
              <w:divsChild>
                <w:div w:id="701244673">
                  <w:marLeft w:val="150"/>
                  <w:marRight w:val="150"/>
                  <w:marTop w:val="0"/>
                  <w:marBottom w:val="0"/>
                  <w:divBdr>
                    <w:top w:val="none" w:sz="0" w:space="0" w:color="auto"/>
                    <w:left w:val="none" w:sz="0" w:space="0" w:color="auto"/>
                    <w:bottom w:val="none" w:sz="0" w:space="0" w:color="auto"/>
                    <w:right w:val="none" w:sz="0" w:space="0" w:color="auto"/>
                  </w:divBdr>
                  <w:divsChild>
                    <w:div w:id="456921721">
                      <w:marLeft w:val="0"/>
                      <w:marRight w:val="0"/>
                      <w:marTop w:val="0"/>
                      <w:marBottom w:val="0"/>
                      <w:divBdr>
                        <w:top w:val="none" w:sz="0" w:space="0" w:color="auto"/>
                        <w:left w:val="none" w:sz="0" w:space="0" w:color="auto"/>
                        <w:bottom w:val="none" w:sz="0" w:space="0" w:color="auto"/>
                        <w:right w:val="none" w:sz="0" w:space="0" w:color="auto"/>
                      </w:divBdr>
                      <w:divsChild>
                        <w:div w:id="1840273154">
                          <w:marLeft w:val="0"/>
                          <w:marRight w:val="0"/>
                          <w:marTop w:val="0"/>
                          <w:marBottom w:val="0"/>
                          <w:divBdr>
                            <w:top w:val="none" w:sz="0" w:space="0" w:color="auto"/>
                            <w:left w:val="none" w:sz="0" w:space="0" w:color="auto"/>
                            <w:bottom w:val="none" w:sz="0" w:space="0" w:color="auto"/>
                            <w:right w:val="none" w:sz="0" w:space="0" w:color="auto"/>
                          </w:divBdr>
                          <w:divsChild>
                            <w:div w:id="376899631">
                              <w:marLeft w:val="0"/>
                              <w:marRight w:val="0"/>
                              <w:marTop w:val="0"/>
                              <w:marBottom w:val="0"/>
                              <w:divBdr>
                                <w:top w:val="none" w:sz="0" w:space="0" w:color="auto"/>
                                <w:left w:val="none" w:sz="0" w:space="0" w:color="auto"/>
                                <w:bottom w:val="none" w:sz="0" w:space="0" w:color="auto"/>
                                <w:right w:val="none" w:sz="0" w:space="0" w:color="auto"/>
                              </w:divBdr>
                              <w:divsChild>
                                <w:div w:id="928349257">
                                  <w:marLeft w:val="0"/>
                                  <w:marRight w:val="0"/>
                                  <w:marTop w:val="0"/>
                                  <w:marBottom w:val="0"/>
                                  <w:divBdr>
                                    <w:top w:val="none" w:sz="0" w:space="0" w:color="auto"/>
                                    <w:left w:val="none" w:sz="0" w:space="0" w:color="auto"/>
                                    <w:bottom w:val="none" w:sz="0" w:space="0" w:color="auto"/>
                                    <w:right w:val="none" w:sz="0" w:space="0" w:color="auto"/>
                                  </w:divBdr>
                                  <w:divsChild>
                                    <w:div w:id="159127754">
                                      <w:marLeft w:val="0"/>
                                      <w:marRight w:val="0"/>
                                      <w:marTop w:val="0"/>
                                      <w:marBottom w:val="0"/>
                                      <w:divBdr>
                                        <w:top w:val="none" w:sz="0" w:space="0" w:color="auto"/>
                                        <w:left w:val="none" w:sz="0" w:space="0" w:color="auto"/>
                                        <w:bottom w:val="none" w:sz="0" w:space="0" w:color="auto"/>
                                        <w:right w:val="none" w:sz="0" w:space="0" w:color="auto"/>
                                      </w:divBdr>
                                    </w:div>
                                    <w:div w:id="977029986">
                                      <w:marLeft w:val="0"/>
                                      <w:marRight w:val="0"/>
                                      <w:marTop w:val="0"/>
                                      <w:marBottom w:val="0"/>
                                      <w:divBdr>
                                        <w:top w:val="none" w:sz="0" w:space="0" w:color="auto"/>
                                        <w:left w:val="none" w:sz="0" w:space="0" w:color="auto"/>
                                        <w:bottom w:val="none" w:sz="0" w:space="0" w:color="auto"/>
                                        <w:right w:val="none" w:sz="0" w:space="0" w:color="auto"/>
                                      </w:divBdr>
                                    </w:div>
                                    <w:div w:id="2126924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82727747">
      <w:bodyDiv w:val="1"/>
      <w:marLeft w:val="0"/>
      <w:marRight w:val="0"/>
      <w:marTop w:val="0"/>
      <w:marBottom w:val="0"/>
      <w:divBdr>
        <w:top w:val="none" w:sz="0" w:space="0" w:color="auto"/>
        <w:left w:val="none" w:sz="0" w:space="0" w:color="auto"/>
        <w:bottom w:val="none" w:sz="0" w:space="0" w:color="auto"/>
        <w:right w:val="none" w:sz="0" w:space="0" w:color="auto"/>
      </w:divBdr>
    </w:div>
    <w:div w:id="1794864216">
      <w:bodyDiv w:val="1"/>
      <w:marLeft w:val="0"/>
      <w:marRight w:val="0"/>
      <w:marTop w:val="0"/>
      <w:marBottom w:val="0"/>
      <w:divBdr>
        <w:top w:val="none" w:sz="0" w:space="0" w:color="auto"/>
        <w:left w:val="none" w:sz="0" w:space="0" w:color="auto"/>
        <w:bottom w:val="none" w:sz="0" w:space="0" w:color="auto"/>
        <w:right w:val="none" w:sz="0" w:space="0" w:color="auto"/>
      </w:divBdr>
    </w:div>
    <w:div w:id="1810436170">
      <w:bodyDiv w:val="1"/>
      <w:marLeft w:val="0"/>
      <w:marRight w:val="0"/>
      <w:marTop w:val="0"/>
      <w:marBottom w:val="0"/>
      <w:divBdr>
        <w:top w:val="none" w:sz="0" w:space="0" w:color="auto"/>
        <w:left w:val="none" w:sz="0" w:space="0" w:color="auto"/>
        <w:bottom w:val="none" w:sz="0" w:space="0" w:color="auto"/>
        <w:right w:val="none" w:sz="0" w:space="0" w:color="auto"/>
      </w:divBdr>
    </w:div>
    <w:div w:id="1823303248">
      <w:bodyDiv w:val="1"/>
      <w:marLeft w:val="0"/>
      <w:marRight w:val="0"/>
      <w:marTop w:val="0"/>
      <w:marBottom w:val="0"/>
      <w:divBdr>
        <w:top w:val="none" w:sz="0" w:space="0" w:color="auto"/>
        <w:left w:val="none" w:sz="0" w:space="0" w:color="auto"/>
        <w:bottom w:val="none" w:sz="0" w:space="0" w:color="auto"/>
        <w:right w:val="none" w:sz="0" w:space="0" w:color="auto"/>
      </w:divBdr>
    </w:div>
    <w:div w:id="1824545593">
      <w:bodyDiv w:val="1"/>
      <w:marLeft w:val="0"/>
      <w:marRight w:val="0"/>
      <w:marTop w:val="0"/>
      <w:marBottom w:val="0"/>
      <w:divBdr>
        <w:top w:val="none" w:sz="0" w:space="0" w:color="auto"/>
        <w:left w:val="none" w:sz="0" w:space="0" w:color="auto"/>
        <w:bottom w:val="none" w:sz="0" w:space="0" w:color="auto"/>
        <w:right w:val="none" w:sz="0" w:space="0" w:color="auto"/>
      </w:divBdr>
    </w:div>
    <w:div w:id="1831631508">
      <w:bodyDiv w:val="1"/>
      <w:marLeft w:val="0"/>
      <w:marRight w:val="0"/>
      <w:marTop w:val="0"/>
      <w:marBottom w:val="0"/>
      <w:divBdr>
        <w:top w:val="none" w:sz="0" w:space="0" w:color="auto"/>
        <w:left w:val="none" w:sz="0" w:space="0" w:color="auto"/>
        <w:bottom w:val="none" w:sz="0" w:space="0" w:color="auto"/>
        <w:right w:val="none" w:sz="0" w:space="0" w:color="auto"/>
      </w:divBdr>
      <w:divsChild>
        <w:div w:id="173766701">
          <w:marLeft w:val="547"/>
          <w:marRight w:val="0"/>
          <w:marTop w:val="96"/>
          <w:marBottom w:val="0"/>
          <w:divBdr>
            <w:top w:val="none" w:sz="0" w:space="0" w:color="auto"/>
            <w:left w:val="none" w:sz="0" w:space="0" w:color="auto"/>
            <w:bottom w:val="none" w:sz="0" w:space="0" w:color="auto"/>
            <w:right w:val="none" w:sz="0" w:space="0" w:color="auto"/>
          </w:divBdr>
        </w:div>
        <w:div w:id="610090164">
          <w:marLeft w:val="547"/>
          <w:marRight w:val="0"/>
          <w:marTop w:val="96"/>
          <w:marBottom w:val="0"/>
          <w:divBdr>
            <w:top w:val="none" w:sz="0" w:space="0" w:color="auto"/>
            <w:left w:val="none" w:sz="0" w:space="0" w:color="auto"/>
            <w:bottom w:val="none" w:sz="0" w:space="0" w:color="auto"/>
            <w:right w:val="none" w:sz="0" w:space="0" w:color="auto"/>
          </w:divBdr>
        </w:div>
        <w:div w:id="1016031025">
          <w:marLeft w:val="547"/>
          <w:marRight w:val="0"/>
          <w:marTop w:val="96"/>
          <w:marBottom w:val="0"/>
          <w:divBdr>
            <w:top w:val="none" w:sz="0" w:space="0" w:color="auto"/>
            <w:left w:val="none" w:sz="0" w:space="0" w:color="auto"/>
            <w:bottom w:val="none" w:sz="0" w:space="0" w:color="auto"/>
            <w:right w:val="none" w:sz="0" w:space="0" w:color="auto"/>
          </w:divBdr>
        </w:div>
        <w:div w:id="1655140992">
          <w:marLeft w:val="547"/>
          <w:marRight w:val="0"/>
          <w:marTop w:val="96"/>
          <w:marBottom w:val="0"/>
          <w:divBdr>
            <w:top w:val="none" w:sz="0" w:space="0" w:color="auto"/>
            <w:left w:val="none" w:sz="0" w:space="0" w:color="auto"/>
            <w:bottom w:val="none" w:sz="0" w:space="0" w:color="auto"/>
            <w:right w:val="none" w:sz="0" w:space="0" w:color="auto"/>
          </w:divBdr>
        </w:div>
        <w:div w:id="1980574690">
          <w:marLeft w:val="547"/>
          <w:marRight w:val="0"/>
          <w:marTop w:val="96"/>
          <w:marBottom w:val="0"/>
          <w:divBdr>
            <w:top w:val="none" w:sz="0" w:space="0" w:color="auto"/>
            <w:left w:val="none" w:sz="0" w:space="0" w:color="auto"/>
            <w:bottom w:val="none" w:sz="0" w:space="0" w:color="auto"/>
            <w:right w:val="none" w:sz="0" w:space="0" w:color="auto"/>
          </w:divBdr>
        </w:div>
      </w:divsChild>
    </w:div>
    <w:div w:id="1838569562">
      <w:bodyDiv w:val="1"/>
      <w:marLeft w:val="0"/>
      <w:marRight w:val="0"/>
      <w:marTop w:val="0"/>
      <w:marBottom w:val="0"/>
      <w:divBdr>
        <w:top w:val="none" w:sz="0" w:space="0" w:color="auto"/>
        <w:left w:val="none" w:sz="0" w:space="0" w:color="auto"/>
        <w:bottom w:val="none" w:sz="0" w:space="0" w:color="auto"/>
        <w:right w:val="none" w:sz="0" w:space="0" w:color="auto"/>
      </w:divBdr>
    </w:div>
    <w:div w:id="1839736487">
      <w:bodyDiv w:val="1"/>
      <w:marLeft w:val="0"/>
      <w:marRight w:val="0"/>
      <w:marTop w:val="0"/>
      <w:marBottom w:val="0"/>
      <w:divBdr>
        <w:top w:val="none" w:sz="0" w:space="0" w:color="auto"/>
        <w:left w:val="none" w:sz="0" w:space="0" w:color="auto"/>
        <w:bottom w:val="none" w:sz="0" w:space="0" w:color="auto"/>
        <w:right w:val="none" w:sz="0" w:space="0" w:color="auto"/>
      </w:divBdr>
    </w:div>
    <w:div w:id="1868525965">
      <w:bodyDiv w:val="1"/>
      <w:marLeft w:val="0"/>
      <w:marRight w:val="0"/>
      <w:marTop w:val="0"/>
      <w:marBottom w:val="0"/>
      <w:divBdr>
        <w:top w:val="none" w:sz="0" w:space="0" w:color="auto"/>
        <w:left w:val="none" w:sz="0" w:space="0" w:color="auto"/>
        <w:bottom w:val="none" w:sz="0" w:space="0" w:color="auto"/>
        <w:right w:val="none" w:sz="0" w:space="0" w:color="auto"/>
      </w:divBdr>
    </w:div>
    <w:div w:id="1911571852">
      <w:bodyDiv w:val="1"/>
      <w:marLeft w:val="0"/>
      <w:marRight w:val="0"/>
      <w:marTop w:val="0"/>
      <w:marBottom w:val="0"/>
      <w:divBdr>
        <w:top w:val="none" w:sz="0" w:space="0" w:color="auto"/>
        <w:left w:val="none" w:sz="0" w:space="0" w:color="auto"/>
        <w:bottom w:val="none" w:sz="0" w:space="0" w:color="auto"/>
        <w:right w:val="none" w:sz="0" w:space="0" w:color="auto"/>
      </w:divBdr>
    </w:div>
    <w:div w:id="1920600912">
      <w:bodyDiv w:val="1"/>
      <w:marLeft w:val="0"/>
      <w:marRight w:val="0"/>
      <w:marTop w:val="0"/>
      <w:marBottom w:val="0"/>
      <w:divBdr>
        <w:top w:val="none" w:sz="0" w:space="0" w:color="auto"/>
        <w:left w:val="none" w:sz="0" w:space="0" w:color="auto"/>
        <w:bottom w:val="none" w:sz="0" w:space="0" w:color="auto"/>
        <w:right w:val="none" w:sz="0" w:space="0" w:color="auto"/>
      </w:divBdr>
    </w:div>
    <w:div w:id="1922450866">
      <w:bodyDiv w:val="1"/>
      <w:marLeft w:val="0"/>
      <w:marRight w:val="0"/>
      <w:marTop w:val="0"/>
      <w:marBottom w:val="0"/>
      <w:divBdr>
        <w:top w:val="none" w:sz="0" w:space="0" w:color="auto"/>
        <w:left w:val="none" w:sz="0" w:space="0" w:color="auto"/>
        <w:bottom w:val="none" w:sz="0" w:space="0" w:color="auto"/>
        <w:right w:val="none" w:sz="0" w:space="0" w:color="auto"/>
      </w:divBdr>
    </w:div>
    <w:div w:id="1925141337">
      <w:bodyDiv w:val="1"/>
      <w:marLeft w:val="0"/>
      <w:marRight w:val="0"/>
      <w:marTop w:val="0"/>
      <w:marBottom w:val="0"/>
      <w:divBdr>
        <w:top w:val="none" w:sz="0" w:space="0" w:color="auto"/>
        <w:left w:val="none" w:sz="0" w:space="0" w:color="auto"/>
        <w:bottom w:val="none" w:sz="0" w:space="0" w:color="auto"/>
        <w:right w:val="none" w:sz="0" w:space="0" w:color="auto"/>
      </w:divBdr>
    </w:div>
    <w:div w:id="1928608038">
      <w:bodyDiv w:val="1"/>
      <w:marLeft w:val="0"/>
      <w:marRight w:val="0"/>
      <w:marTop w:val="0"/>
      <w:marBottom w:val="0"/>
      <w:divBdr>
        <w:top w:val="none" w:sz="0" w:space="0" w:color="auto"/>
        <w:left w:val="none" w:sz="0" w:space="0" w:color="auto"/>
        <w:bottom w:val="none" w:sz="0" w:space="0" w:color="auto"/>
        <w:right w:val="none" w:sz="0" w:space="0" w:color="auto"/>
      </w:divBdr>
    </w:div>
    <w:div w:id="1958024365">
      <w:bodyDiv w:val="1"/>
      <w:marLeft w:val="0"/>
      <w:marRight w:val="0"/>
      <w:marTop w:val="0"/>
      <w:marBottom w:val="0"/>
      <w:divBdr>
        <w:top w:val="none" w:sz="0" w:space="0" w:color="auto"/>
        <w:left w:val="none" w:sz="0" w:space="0" w:color="auto"/>
        <w:bottom w:val="none" w:sz="0" w:space="0" w:color="auto"/>
        <w:right w:val="none" w:sz="0" w:space="0" w:color="auto"/>
      </w:divBdr>
    </w:div>
    <w:div w:id="1981038161">
      <w:bodyDiv w:val="1"/>
      <w:marLeft w:val="0"/>
      <w:marRight w:val="0"/>
      <w:marTop w:val="0"/>
      <w:marBottom w:val="0"/>
      <w:divBdr>
        <w:top w:val="none" w:sz="0" w:space="0" w:color="auto"/>
        <w:left w:val="none" w:sz="0" w:space="0" w:color="auto"/>
        <w:bottom w:val="none" w:sz="0" w:space="0" w:color="auto"/>
        <w:right w:val="none" w:sz="0" w:space="0" w:color="auto"/>
      </w:divBdr>
    </w:div>
    <w:div w:id="2018580102">
      <w:bodyDiv w:val="1"/>
      <w:marLeft w:val="0"/>
      <w:marRight w:val="0"/>
      <w:marTop w:val="0"/>
      <w:marBottom w:val="0"/>
      <w:divBdr>
        <w:top w:val="none" w:sz="0" w:space="0" w:color="auto"/>
        <w:left w:val="none" w:sz="0" w:space="0" w:color="auto"/>
        <w:bottom w:val="none" w:sz="0" w:space="0" w:color="auto"/>
        <w:right w:val="none" w:sz="0" w:space="0" w:color="auto"/>
      </w:divBdr>
    </w:div>
    <w:div w:id="2034646965">
      <w:bodyDiv w:val="1"/>
      <w:marLeft w:val="0"/>
      <w:marRight w:val="0"/>
      <w:marTop w:val="0"/>
      <w:marBottom w:val="0"/>
      <w:divBdr>
        <w:top w:val="none" w:sz="0" w:space="0" w:color="auto"/>
        <w:left w:val="none" w:sz="0" w:space="0" w:color="auto"/>
        <w:bottom w:val="none" w:sz="0" w:space="0" w:color="auto"/>
        <w:right w:val="none" w:sz="0" w:space="0" w:color="auto"/>
      </w:divBdr>
    </w:div>
    <w:div w:id="2044554405">
      <w:bodyDiv w:val="1"/>
      <w:marLeft w:val="0"/>
      <w:marRight w:val="0"/>
      <w:marTop w:val="0"/>
      <w:marBottom w:val="0"/>
      <w:divBdr>
        <w:top w:val="none" w:sz="0" w:space="0" w:color="auto"/>
        <w:left w:val="none" w:sz="0" w:space="0" w:color="auto"/>
        <w:bottom w:val="none" w:sz="0" w:space="0" w:color="auto"/>
        <w:right w:val="none" w:sz="0" w:space="0" w:color="auto"/>
      </w:divBdr>
    </w:div>
    <w:div w:id="2061632495">
      <w:bodyDiv w:val="1"/>
      <w:marLeft w:val="0"/>
      <w:marRight w:val="0"/>
      <w:marTop w:val="0"/>
      <w:marBottom w:val="0"/>
      <w:divBdr>
        <w:top w:val="none" w:sz="0" w:space="0" w:color="auto"/>
        <w:left w:val="none" w:sz="0" w:space="0" w:color="auto"/>
        <w:bottom w:val="none" w:sz="0" w:space="0" w:color="auto"/>
        <w:right w:val="none" w:sz="0" w:space="0" w:color="auto"/>
      </w:divBdr>
    </w:div>
    <w:div w:id="2064868228">
      <w:bodyDiv w:val="1"/>
      <w:marLeft w:val="0"/>
      <w:marRight w:val="0"/>
      <w:marTop w:val="0"/>
      <w:marBottom w:val="0"/>
      <w:divBdr>
        <w:top w:val="none" w:sz="0" w:space="0" w:color="auto"/>
        <w:left w:val="none" w:sz="0" w:space="0" w:color="auto"/>
        <w:bottom w:val="none" w:sz="0" w:space="0" w:color="auto"/>
        <w:right w:val="none" w:sz="0" w:space="0" w:color="auto"/>
      </w:divBdr>
      <w:divsChild>
        <w:div w:id="2043706443">
          <w:marLeft w:val="0"/>
          <w:marRight w:val="0"/>
          <w:marTop w:val="100"/>
          <w:marBottom w:val="100"/>
          <w:divBdr>
            <w:top w:val="none" w:sz="0" w:space="0" w:color="auto"/>
            <w:left w:val="none" w:sz="0" w:space="0" w:color="auto"/>
            <w:bottom w:val="none" w:sz="0" w:space="0" w:color="auto"/>
            <w:right w:val="none" w:sz="0" w:space="0" w:color="auto"/>
          </w:divBdr>
          <w:divsChild>
            <w:div w:id="1361780931">
              <w:marLeft w:val="0"/>
              <w:marRight w:val="0"/>
              <w:marTop w:val="0"/>
              <w:marBottom w:val="0"/>
              <w:divBdr>
                <w:top w:val="none" w:sz="0" w:space="0" w:color="auto"/>
                <w:left w:val="none" w:sz="0" w:space="0" w:color="auto"/>
                <w:bottom w:val="none" w:sz="0" w:space="0" w:color="auto"/>
                <w:right w:val="none" w:sz="0" w:space="0" w:color="auto"/>
              </w:divBdr>
              <w:divsChild>
                <w:div w:id="1645887538">
                  <w:marLeft w:val="0"/>
                  <w:marRight w:val="0"/>
                  <w:marTop w:val="0"/>
                  <w:marBottom w:val="0"/>
                  <w:divBdr>
                    <w:top w:val="none" w:sz="0" w:space="0" w:color="auto"/>
                    <w:left w:val="none" w:sz="0" w:space="0" w:color="auto"/>
                    <w:bottom w:val="none" w:sz="0" w:space="0" w:color="auto"/>
                    <w:right w:val="none" w:sz="0" w:space="0" w:color="auto"/>
                  </w:divBdr>
                  <w:divsChild>
                    <w:div w:id="2146967266">
                      <w:marLeft w:val="0"/>
                      <w:marRight w:val="0"/>
                      <w:marTop w:val="0"/>
                      <w:marBottom w:val="0"/>
                      <w:divBdr>
                        <w:top w:val="none" w:sz="0" w:space="0" w:color="auto"/>
                        <w:left w:val="none" w:sz="0" w:space="0" w:color="auto"/>
                        <w:bottom w:val="none" w:sz="0" w:space="0" w:color="auto"/>
                        <w:right w:val="none" w:sz="0" w:space="0" w:color="auto"/>
                      </w:divBdr>
                      <w:divsChild>
                        <w:div w:id="1390302361">
                          <w:marLeft w:val="0"/>
                          <w:marRight w:val="0"/>
                          <w:marTop w:val="0"/>
                          <w:marBottom w:val="0"/>
                          <w:divBdr>
                            <w:top w:val="none" w:sz="0" w:space="0" w:color="auto"/>
                            <w:left w:val="none" w:sz="0" w:space="0" w:color="auto"/>
                            <w:bottom w:val="none" w:sz="0" w:space="0" w:color="auto"/>
                            <w:right w:val="none" w:sz="0" w:space="0" w:color="auto"/>
                          </w:divBdr>
                          <w:divsChild>
                            <w:div w:id="1582064402">
                              <w:marLeft w:val="0"/>
                              <w:marRight w:val="0"/>
                              <w:marTop w:val="0"/>
                              <w:marBottom w:val="0"/>
                              <w:divBdr>
                                <w:top w:val="none" w:sz="0" w:space="0" w:color="auto"/>
                                <w:left w:val="none" w:sz="0" w:space="0" w:color="auto"/>
                                <w:bottom w:val="none" w:sz="0" w:space="0" w:color="auto"/>
                                <w:right w:val="none" w:sz="0" w:space="0" w:color="auto"/>
                              </w:divBdr>
                              <w:divsChild>
                                <w:div w:id="645668435">
                                  <w:marLeft w:val="0"/>
                                  <w:marRight w:val="0"/>
                                  <w:marTop w:val="0"/>
                                  <w:marBottom w:val="0"/>
                                  <w:divBdr>
                                    <w:top w:val="none" w:sz="0" w:space="0" w:color="auto"/>
                                    <w:left w:val="none" w:sz="0" w:space="0" w:color="auto"/>
                                    <w:bottom w:val="none" w:sz="0" w:space="0" w:color="auto"/>
                                    <w:right w:val="none" w:sz="0" w:space="0" w:color="auto"/>
                                  </w:divBdr>
                                  <w:divsChild>
                                    <w:div w:id="735859545">
                                      <w:marLeft w:val="0"/>
                                      <w:marRight w:val="0"/>
                                      <w:marTop w:val="0"/>
                                      <w:marBottom w:val="0"/>
                                      <w:divBdr>
                                        <w:top w:val="none" w:sz="0" w:space="0" w:color="auto"/>
                                        <w:left w:val="none" w:sz="0" w:space="0" w:color="auto"/>
                                        <w:bottom w:val="none" w:sz="0" w:space="0" w:color="auto"/>
                                        <w:right w:val="none" w:sz="0" w:space="0" w:color="auto"/>
                                      </w:divBdr>
                                      <w:divsChild>
                                        <w:div w:id="30345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6462943">
      <w:bodyDiv w:val="1"/>
      <w:marLeft w:val="0"/>
      <w:marRight w:val="0"/>
      <w:marTop w:val="0"/>
      <w:marBottom w:val="0"/>
      <w:divBdr>
        <w:top w:val="none" w:sz="0" w:space="0" w:color="auto"/>
        <w:left w:val="none" w:sz="0" w:space="0" w:color="auto"/>
        <w:bottom w:val="none" w:sz="0" w:space="0" w:color="auto"/>
        <w:right w:val="none" w:sz="0" w:space="0" w:color="auto"/>
      </w:divBdr>
    </w:div>
    <w:div w:id="2080714764">
      <w:bodyDiv w:val="1"/>
      <w:marLeft w:val="0"/>
      <w:marRight w:val="0"/>
      <w:marTop w:val="0"/>
      <w:marBottom w:val="0"/>
      <w:divBdr>
        <w:top w:val="none" w:sz="0" w:space="0" w:color="auto"/>
        <w:left w:val="none" w:sz="0" w:space="0" w:color="auto"/>
        <w:bottom w:val="none" w:sz="0" w:space="0" w:color="auto"/>
        <w:right w:val="none" w:sz="0" w:space="0" w:color="auto"/>
      </w:divBdr>
      <w:divsChild>
        <w:div w:id="38432809">
          <w:marLeft w:val="806"/>
          <w:marRight w:val="0"/>
          <w:marTop w:val="106"/>
          <w:marBottom w:val="0"/>
          <w:divBdr>
            <w:top w:val="none" w:sz="0" w:space="0" w:color="auto"/>
            <w:left w:val="none" w:sz="0" w:space="0" w:color="auto"/>
            <w:bottom w:val="none" w:sz="0" w:space="0" w:color="auto"/>
            <w:right w:val="none" w:sz="0" w:space="0" w:color="auto"/>
          </w:divBdr>
        </w:div>
        <w:div w:id="64423555">
          <w:marLeft w:val="1440"/>
          <w:marRight w:val="0"/>
          <w:marTop w:val="106"/>
          <w:marBottom w:val="0"/>
          <w:divBdr>
            <w:top w:val="none" w:sz="0" w:space="0" w:color="auto"/>
            <w:left w:val="none" w:sz="0" w:space="0" w:color="auto"/>
            <w:bottom w:val="none" w:sz="0" w:space="0" w:color="auto"/>
            <w:right w:val="none" w:sz="0" w:space="0" w:color="auto"/>
          </w:divBdr>
        </w:div>
        <w:div w:id="252857473">
          <w:marLeft w:val="1440"/>
          <w:marRight w:val="0"/>
          <w:marTop w:val="106"/>
          <w:marBottom w:val="0"/>
          <w:divBdr>
            <w:top w:val="none" w:sz="0" w:space="0" w:color="auto"/>
            <w:left w:val="none" w:sz="0" w:space="0" w:color="auto"/>
            <w:bottom w:val="none" w:sz="0" w:space="0" w:color="auto"/>
            <w:right w:val="none" w:sz="0" w:space="0" w:color="auto"/>
          </w:divBdr>
        </w:div>
        <w:div w:id="305402524">
          <w:marLeft w:val="1440"/>
          <w:marRight w:val="0"/>
          <w:marTop w:val="106"/>
          <w:marBottom w:val="0"/>
          <w:divBdr>
            <w:top w:val="none" w:sz="0" w:space="0" w:color="auto"/>
            <w:left w:val="none" w:sz="0" w:space="0" w:color="auto"/>
            <w:bottom w:val="none" w:sz="0" w:space="0" w:color="auto"/>
            <w:right w:val="none" w:sz="0" w:space="0" w:color="auto"/>
          </w:divBdr>
        </w:div>
        <w:div w:id="319583489">
          <w:marLeft w:val="1440"/>
          <w:marRight w:val="0"/>
          <w:marTop w:val="106"/>
          <w:marBottom w:val="0"/>
          <w:divBdr>
            <w:top w:val="none" w:sz="0" w:space="0" w:color="auto"/>
            <w:left w:val="none" w:sz="0" w:space="0" w:color="auto"/>
            <w:bottom w:val="none" w:sz="0" w:space="0" w:color="auto"/>
            <w:right w:val="none" w:sz="0" w:space="0" w:color="auto"/>
          </w:divBdr>
        </w:div>
        <w:div w:id="359742175">
          <w:marLeft w:val="806"/>
          <w:marRight w:val="0"/>
          <w:marTop w:val="106"/>
          <w:marBottom w:val="0"/>
          <w:divBdr>
            <w:top w:val="none" w:sz="0" w:space="0" w:color="auto"/>
            <w:left w:val="none" w:sz="0" w:space="0" w:color="auto"/>
            <w:bottom w:val="none" w:sz="0" w:space="0" w:color="auto"/>
            <w:right w:val="none" w:sz="0" w:space="0" w:color="auto"/>
          </w:divBdr>
        </w:div>
        <w:div w:id="519121536">
          <w:marLeft w:val="806"/>
          <w:marRight w:val="0"/>
          <w:marTop w:val="106"/>
          <w:marBottom w:val="0"/>
          <w:divBdr>
            <w:top w:val="none" w:sz="0" w:space="0" w:color="auto"/>
            <w:left w:val="none" w:sz="0" w:space="0" w:color="auto"/>
            <w:bottom w:val="none" w:sz="0" w:space="0" w:color="auto"/>
            <w:right w:val="none" w:sz="0" w:space="0" w:color="auto"/>
          </w:divBdr>
        </w:div>
        <w:div w:id="682509695">
          <w:marLeft w:val="1440"/>
          <w:marRight w:val="0"/>
          <w:marTop w:val="106"/>
          <w:marBottom w:val="0"/>
          <w:divBdr>
            <w:top w:val="none" w:sz="0" w:space="0" w:color="auto"/>
            <w:left w:val="none" w:sz="0" w:space="0" w:color="auto"/>
            <w:bottom w:val="none" w:sz="0" w:space="0" w:color="auto"/>
            <w:right w:val="none" w:sz="0" w:space="0" w:color="auto"/>
          </w:divBdr>
        </w:div>
        <w:div w:id="903418377">
          <w:marLeft w:val="1440"/>
          <w:marRight w:val="0"/>
          <w:marTop w:val="106"/>
          <w:marBottom w:val="0"/>
          <w:divBdr>
            <w:top w:val="none" w:sz="0" w:space="0" w:color="auto"/>
            <w:left w:val="none" w:sz="0" w:space="0" w:color="auto"/>
            <w:bottom w:val="none" w:sz="0" w:space="0" w:color="auto"/>
            <w:right w:val="none" w:sz="0" w:space="0" w:color="auto"/>
          </w:divBdr>
        </w:div>
        <w:div w:id="1236861752">
          <w:marLeft w:val="1440"/>
          <w:marRight w:val="0"/>
          <w:marTop w:val="106"/>
          <w:marBottom w:val="0"/>
          <w:divBdr>
            <w:top w:val="none" w:sz="0" w:space="0" w:color="auto"/>
            <w:left w:val="none" w:sz="0" w:space="0" w:color="auto"/>
            <w:bottom w:val="none" w:sz="0" w:space="0" w:color="auto"/>
            <w:right w:val="none" w:sz="0" w:space="0" w:color="auto"/>
          </w:divBdr>
        </w:div>
        <w:div w:id="1650937415">
          <w:marLeft w:val="1440"/>
          <w:marRight w:val="0"/>
          <w:marTop w:val="106"/>
          <w:marBottom w:val="0"/>
          <w:divBdr>
            <w:top w:val="none" w:sz="0" w:space="0" w:color="auto"/>
            <w:left w:val="none" w:sz="0" w:space="0" w:color="auto"/>
            <w:bottom w:val="none" w:sz="0" w:space="0" w:color="auto"/>
            <w:right w:val="none" w:sz="0" w:space="0" w:color="auto"/>
          </w:divBdr>
        </w:div>
      </w:divsChild>
    </w:div>
    <w:div w:id="2083596530">
      <w:bodyDiv w:val="1"/>
      <w:marLeft w:val="0"/>
      <w:marRight w:val="0"/>
      <w:marTop w:val="0"/>
      <w:marBottom w:val="0"/>
      <w:divBdr>
        <w:top w:val="none" w:sz="0" w:space="0" w:color="auto"/>
        <w:left w:val="none" w:sz="0" w:space="0" w:color="auto"/>
        <w:bottom w:val="none" w:sz="0" w:space="0" w:color="auto"/>
        <w:right w:val="none" w:sz="0" w:space="0" w:color="auto"/>
      </w:divBdr>
    </w:div>
    <w:div w:id="2119254018">
      <w:bodyDiv w:val="1"/>
      <w:marLeft w:val="0"/>
      <w:marRight w:val="0"/>
      <w:marTop w:val="0"/>
      <w:marBottom w:val="0"/>
      <w:divBdr>
        <w:top w:val="none" w:sz="0" w:space="0" w:color="auto"/>
        <w:left w:val="none" w:sz="0" w:space="0" w:color="auto"/>
        <w:bottom w:val="none" w:sz="0" w:space="0" w:color="auto"/>
        <w:right w:val="none" w:sz="0" w:space="0" w:color="auto"/>
      </w:divBdr>
    </w:div>
    <w:div w:id="2144080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4.xml"/><Relationship Id="rId21" Type="http://schemas.openxmlformats.org/officeDocument/2006/relationships/image" Target="media/image8.png"/><Relationship Id="rId42" Type="http://schemas.openxmlformats.org/officeDocument/2006/relationships/image" Target="media/image22.png"/><Relationship Id="rId47" Type="http://schemas.openxmlformats.org/officeDocument/2006/relationships/image" Target="media/image25.png"/><Relationship Id="rId63" Type="http://schemas.openxmlformats.org/officeDocument/2006/relationships/image" Target="media/image35.png"/><Relationship Id="rId68" Type="http://schemas.openxmlformats.org/officeDocument/2006/relationships/hyperlink" Target="https://gov.wales/docs/dhss/publications/170928whc028en.pdf" TargetMode="External"/><Relationship Id="rId84" Type="http://schemas.openxmlformats.org/officeDocument/2006/relationships/diagramData" Target="diagrams/data3.xml"/><Relationship Id="rId89" Type="http://schemas.openxmlformats.org/officeDocument/2006/relationships/image" Target="media/image43.png"/><Relationship Id="rId16" Type="http://schemas.openxmlformats.org/officeDocument/2006/relationships/header" Target="header3.xml"/><Relationship Id="rId107" Type="http://schemas.openxmlformats.org/officeDocument/2006/relationships/fontTable" Target="fontTable.xml"/><Relationship Id="rId11" Type="http://schemas.openxmlformats.org/officeDocument/2006/relationships/image" Target="media/image4.png"/><Relationship Id="rId32" Type="http://schemas.openxmlformats.org/officeDocument/2006/relationships/image" Target="media/image13.png"/><Relationship Id="rId37" Type="http://schemas.openxmlformats.org/officeDocument/2006/relationships/image" Target="media/image18.png"/><Relationship Id="rId53" Type="http://schemas.openxmlformats.org/officeDocument/2006/relationships/hyperlink" Target="http://cwmtaf.wales/Docs/Annual%20Reports/42403%20PHW%20Fifth%20Wave%20Annual%20Report%20FINAL%20ENGLISH%2020170920.pdf" TargetMode="External"/><Relationship Id="rId58" Type="http://schemas.openxmlformats.org/officeDocument/2006/relationships/image" Target="media/image34.png"/><Relationship Id="rId74" Type="http://schemas.openxmlformats.org/officeDocument/2006/relationships/diagramLayout" Target="diagrams/layout1.xml"/><Relationship Id="rId79" Type="http://schemas.openxmlformats.org/officeDocument/2006/relationships/diagramLayout" Target="diagrams/layout2.xml"/><Relationship Id="rId102" Type="http://schemas.openxmlformats.org/officeDocument/2006/relationships/image" Target="media/image50.emf"/><Relationship Id="rId5" Type="http://schemas.openxmlformats.org/officeDocument/2006/relationships/webSettings" Target="webSettings.xml"/><Relationship Id="rId90" Type="http://schemas.openxmlformats.org/officeDocument/2006/relationships/diagramData" Target="diagrams/data4.xml"/><Relationship Id="rId95" Type="http://schemas.openxmlformats.org/officeDocument/2006/relationships/image" Target="media/image44.png"/><Relationship Id="rId22" Type="http://schemas.openxmlformats.org/officeDocument/2006/relationships/image" Target="media/image9.png"/><Relationship Id="rId27" Type="http://schemas.openxmlformats.org/officeDocument/2006/relationships/header" Target="header5.xml"/><Relationship Id="rId43" Type="http://schemas.openxmlformats.org/officeDocument/2006/relationships/image" Target="media/image23.png"/><Relationship Id="rId48" Type="http://schemas.openxmlformats.org/officeDocument/2006/relationships/image" Target="media/image26.jpeg"/><Relationship Id="rId64" Type="http://schemas.openxmlformats.org/officeDocument/2006/relationships/image" Target="media/image36.png"/><Relationship Id="rId69" Type="http://schemas.openxmlformats.org/officeDocument/2006/relationships/image" Target="media/image37.jpeg"/><Relationship Id="rId80" Type="http://schemas.openxmlformats.org/officeDocument/2006/relationships/diagramQuickStyle" Target="diagrams/quickStyle2.xml"/><Relationship Id="rId85" Type="http://schemas.openxmlformats.org/officeDocument/2006/relationships/diagramLayout" Target="diagrams/layout3.xml"/><Relationship Id="rId12" Type="http://schemas.openxmlformats.org/officeDocument/2006/relationships/header" Target="header1.xml"/><Relationship Id="rId17" Type="http://schemas.openxmlformats.org/officeDocument/2006/relationships/footer" Target="footer3.xml"/><Relationship Id="rId33" Type="http://schemas.openxmlformats.org/officeDocument/2006/relationships/image" Target="media/image14.png"/><Relationship Id="rId38" Type="http://schemas.openxmlformats.org/officeDocument/2006/relationships/image" Target="media/image19.png"/><Relationship Id="rId59" Type="http://schemas.openxmlformats.org/officeDocument/2006/relationships/hyperlink" Target="https://gov.wales/sites/default/files/publications/2019-10/wales-crisis-care-concordat-national-action-plan-2019-2022.pdf" TargetMode="External"/><Relationship Id="rId103" Type="http://schemas.openxmlformats.org/officeDocument/2006/relationships/header" Target="header7.xml"/><Relationship Id="rId108" Type="http://schemas.openxmlformats.org/officeDocument/2006/relationships/theme" Target="theme/theme1.xml"/><Relationship Id="rId20" Type="http://schemas.openxmlformats.org/officeDocument/2006/relationships/image" Target="media/image7.png"/><Relationship Id="rId41" Type="http://schemas.openxmlformats.org/officeDocument/2006/relationships/image" Target="media/image21.png"/><Relationship Id="rId54" Type="http://schemas.openxmlformats.org/officeDocument/2006/relationships/image" Target="media/image31.jpeg"/><Relationship Id="rId62" Type="http://schemas.openxmlformats.org/officeDocument/2006/relationships/hyperlink" Target="https://www.pybhealth.com/" TargetMode="External"/><Relationship Id="rId70" Type="http://schemas.openxmlformats.org/officeDocument/2006/relationships/image" Target="media/image38.png"/><Relationship Id="rId75" Type="http://schemas.openxmlformats.org/officeDocument/2006/relationships/diagramQuickStyle" Target="diagrams/quickStyle1.xml"/><Relationship Id="rId83" Type="http://schemas.openxmlformats.org/officeDocument/2006/relationships/image" Target="media/image42.png"/><Relationship Id="rId88" Type="http://schemas.microsoft.com/office/2007/relationships/diagramDrawing" Target="diagrams/drawing3.xml"/><Relationship Id="rId91" Type="http://schemas.openxmlformats.org/officeDocument/2006/relationships/diagramLayout" Target="diagrams/layout4.xml"/><Relationship Id="rId96" Type="http://schemas.openxmlformats.org/officeDocument/2006/relationships/hyperlink" Target="http://www.valuing-your-talent-framework.com/framework-detail.htm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2.xml"/><Relationship Id="rId23" Type="http://schemas.openxmlformats.org/officeDocument/2006/relationships/image" Target="media/image10.png"/><Relationship Id="rId28" Type="http://schemas.openxmlformats.org/officeDocument/2006/relationships/header" Target="header6.xml"/><Relationship Id="rId36" Type="http://schemas.openxmlformats.org/officeDocument/2006/relationships/image" Target="media/image17.png"/><Relationship Id="rId49" Type="http://schemas.openxmlformats.org/officeDocument/2006/relationships/image" Target="media/image27.jpeg"/><Relationship Id="rId57" Type="http://schemas.openxmlformats.org/officeDocument/2006/relationships/image" Target="media/image33.png"/><Relationship Id="rId106" Type="http://schemas.openxmlformats.org/officeDocument/2006/relationships/footer" Target="footer5.xml"/><Relationship Id="rId10" Type="http://schemas.openxmlformats.org/officeDocument/2006/relationships/image" Target="media/image3.png"/><Relationship Id="rId31" Type="http://schemas.openxmlformats.org/officeDocument/2006/relationships/hyperlink" Target="https://gov.wales/docs/dhss/publications/nhs-wales-delivery-framework-and-reporting-guidance-2018-2019.pdf" TargetMode="External"/><Relationship Id="rId44" Type="http://schemas.openxmlformats.org/officeDocument/2006/relationships/image" Target="media/image24.png"/><Relationship Id="rId52" Type="http://schemas.openxmlformats.org/officeDocument/2006/relationships/image" Target="media/image30.jpeg"/><Relationship Id="rId60" Type="http://schemas.openxmlformats.org/officeDocument/2006/relationships/hyperlink" Target="http://www.primarycareone.wales.nhs.uk/sitesplus/documents/1191/Strategic%20Programme%20for%20Primary%20Care.pdf" TargetMode="External"/><Relationship Id="rId65" Type="http://schemas.openxmlformats.org/officeDocument/2006/relationships/image" Target="cid:image001.png@01D59659.74741CC0" TargetMode="External"/><Relationship Id="rId73" Type="http://schemas.openxmlformats.org/officeDocument/2006/relationships/diagramData" Target="diagrams/data1.xml"/><Relationship Id="rId78" Type="http://schemas.openxmlformats.org/officeDocument/2006/relationships/diagramData" Target="diagrams/data2.xml"/><Relationship Id="rId81" Type="http://schemas.openxmlformats.org/officeDocument/2006/relationships/diagramColors" Target="diagrams/colors2.xml"/><Relationship Id="rId86" Type="http://schemas.openxmlformats.org/officeDocument/2006/relationships/diagramQuickStyle" Target="diagrams/quickStyle3.xml"/><Relationship Id="rId94" Type="http://schemas.microsoft.com/office/2007/relationships/diagramDrawing" Target="diagrams/drawing4.xml"/><Relationship Id="rId99" Type="http://schemas.openxmlformats.org/officeDocument/2006/relationships/image" Target="media/image47.emf"/><Relationship Id="rId101" Type="http://schemas.openxmlformats.org/officeDocument/2006/relationships/image" Target="media/image49.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eader" Target="header2.xml"/><Relationship Id="rId18" Type="http://schemas.openxmlformats.org/officeDocument/2006/relationships/image" Target="media/image5.JPG"/><Relationship Id="rId39" Type="http://schemas.openxmlformats.org/officeDocument/2006/relationships/hyperlink" Target="http://cwmtaf.wales/Docs/Annual%20Reports/42403%20PHW%20Fifth%20Wave%20Annual%20Report%20FINAL%20ENGLISH%2020170920.pdf" TargetMode="External"/><Relationship Id="rId34" Type="http://schemas.openxmlformats.org/officeDocument/2006/relationships/image" Target="media/image15.png"/><Relationship Id="rId50" Type="http://schemas.openxmlformats.org/officeDocument/2006/relationships/image" Target="media/image28.jpeg"/><Relationship Id="rId55" Type="http://schemas.openxmlformats.org/officeDocument/2006/relationships/hyperlink" Target="http://www.wales.nhs.uk/sitesplus/888/news/41957" TargetMode="External"/><Relationship Id="rId76" Type="http://schemas.openxmlformats.org/officeDocument/2006/relationships/diagramColors" Target="diagrams/colors1.xml"/><Relationship Id="rId97" Type="http://schemas.openxmlformats.org/officeDocument/2006/relationships/image" Target="media/image45.emf"/><Relationship Id="rId104" Type="http://schemas.openxmlformats.org/officeDocument/2006/relationships/header" Target="header8.xml"/><Relationship Id="rId7" Type="http://schemas.openxmlformats.org/officeDocument/2006/relationships/endnotes" Target="endnotes.xml"/><Relationship Id="rId71" Type="http://schemas.openxmlformats.org/officeDocument/2006/relationships/image" Target="media/image39.png"/><Relationship Id="rId92" Type="http://schemas.openxmlformats.org/officeDocument/2006/relationships/diagramQuickStyle" Target="diagrams/quickStyle4.xml"/><Relationship Id="rId2" Type="http://schemas.openxmlformats.org/officeDocument/2006/relationships/numbering" Target="numbering.xml"/><Relationship Id="rId29" Type="http://schemas.openxmlformats.org/officeDocument/2006/relationships/footer" Target="footer4.xml"/><Relationship Id="rId24" Type="http://schemas.openxmlformats.org/officeDocument/2006/relationships/image" Target="media/image11.png"/><Relationship Id="rId40" Type="http://schemas.openxmlformats.org/officeDocument/2006/relationships/image" Target="media/image20.png"/><Relationship Id="rId45" Type="http://schemas.openxmlformats.org/officeDocument/2006/relationships/hyperlink" Target="http://www.ourcwmtaf.wales/SharedFiles/Download.aspx?pageid=286&amp;mid=613&amp;fileid=210" TargetMode="External"/><Relationship Id="rId66" Type="http://schemas.openxmlformats.org/officeDocument/2006/relationships/hyperlink" Target="http://cwmtaf.wales/Docs/Plans/Winter%20Plan%202018%20-%2019.pdf" TargetMode="External"/><Relationship Id="rId87" Type="http://schemas.openxmlformats.org/officeDocument/2006/relationships/diagramColors" Target="diagrams/colors3.xml"/><Relationship Id="rId61" Type="http://schemas.openxmlformats.org/officeDocument/2006/relationships/hyperlink" Target="https://www.pybhealth.com/" TargetMode="External"/><Relationship Id="rId82" Type="http://schemas.microsoft.com/office/2007/relationships/diagramDrawing" Target="diagrams/drawing2.xml"/><Relationship Id="rId19" Type="http://schemas.openxmlformats.org/officeDocument/2006/relationships/image" Target="media/image6.jpeg"/><Relationship Id="rId14" Type="http://schemas.openxmlformats.org/officeDocument/2006/relationships/footer" Target="footer1.xml"/><Relationship Id="rId30" Type="http://schemas.openxmlformats.org/officeDocument/2006/relationships/hyperlink" Target="http://cwmtaf.wales/services/" TargetMode="External"/><Relationship Id="rId35" Type="http://schemas.openxmlformats.org/officeDocument/2006/relationships/image" Target="media/image16.png"/><Relationship Id="rId56" Type="http://schemas.openxmlformats.org/officeDocument/2006/relationships/image" Target="media/image32.jpeg"/><Relationship Id="rId77" Type="http://schemas.microsoft.com/office/2007/relationships/diagramDrawing" Target="diagrams/drawing1.xml"/><Relationship Id="rId100" Type="http://schemas.openxmlformats.org/officeDocument/2006/relationships/image" Target="media/image48.png"/><Relationship Id="rId105" Type="http://schemas.openxmlformats.org/officeDocument/2006/relationships/header" Target="header9.xml"/><Relationship Id="rId8" Type="http://schemas.openxmlformats.org/officeDocument/2006/relationships/image" Target="media/image1.png"/><Relationship Id="rId51" Type="http://schemas.openxmlformats.org/officeDocument/2006/relationships/image" Target="media/image29.jpeg"/><Relationship Id="rId72" Type="http://schemas.openxmlformats.org/officeDocument/2006/relationships/image" Target="media/image40.png"/><Relationship Id="rId93" Type="http://schemas.openxmlformats.org/officeDocument/2006/relationships/diagramColors" Target="diagrams/colors4.xml"/><Relationship Id="rId98" Type="http://schemas.openxmlformats.org/officeDocument/2006/relationships/image" Target="media/image46.emf"/><Relationship Id="rId3" Type="http://schemas.openxmlformats.org/officeDocument/2006/relationships/styles" Target="styles.xml"/><Relationship Id="rId25" Type="http://schemas.openxmlformats.org/officeDocument/2006/relationships/image" Target="media/image12.png"/><Relationship Id="rId46" Type="http://schemas.openxmlformats.org/officeDocument/2006/relationships/hyperlink" Target="https://www.bridgend.gov.uk/media/3657/bridgend-wellbeing-bps-plan-e-0518.pdf" TargetMode="External"/><Relationship Id="rId67"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file:///\\7A5B3SRVDFS0002.CYMRU.NHS.UK\fileshare-pch\Business%20and%20Planning\Programme%20Management%20Office\EPVB\Overall%20Programme\Programme%20Development%202019\AD%20meetings\Monitoring\Copy%20of%20IMTP%20EPV%20Programme%2014th%20November.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Scheme</a:t>
            </a:r>
            <a:r>
              <a:rPr lang="en-GB" baseline="0"/>
              <a:t> Analysis By Category</a:t>
            </a:r>
            <a:endParaRPr lang="en-GB"/>
          </a:p>
        </c:rich>
      </c:tx>
      <c:layout/>
      <c:overlay val="0"/>
      <c:spPr>
        <a:noFill/>
        <a:ln w="25400">
          <a:noFill/>
        </a:ln>
      </c:spPr>
    </c:title>
    <c:autoTitleDeleted val="0"/>
    <c:plotArea>
      <c:layout/>
      <c:barChart>
        <c:barDir val="bar"/>
        <c:grouping val="clustered"/>
        <c:varyColors val="0"/>
        <c:ser>
          <c:idx val="0"/>
          <c:order val="0"/>
          <c:spPr>
            <a:solidFill>
              <a:srgbClr val="5B9BD5"/>
            </a:solidFill>
            <a:ln w="25400">
              <a:noFill/>
            </a:ln>
          </c:spPr>
          <c:invertIfNegative val="0"/>
          <c:cat>
            <c:strRef>
              <c:f>Charts!$B$4:$B$13</c:f>
              <c:strCache>
                <c:ptCount val="10"/>
                <c:pt idx="0">
                  <c:v>Reconfiguration or re-design</c:v>
                </c:pt>
                <c:pt idx="1">
                  <c:v>Productivity</c:v>
                </c:pt>
                <c:pt idx="2">
                  <c:v>Workforce management &amp; efficiency (Medical)</c:v>
                </c:pt>
                <c:pt idx="3">
                  <c:v>Workforce management &amp; efficiency (Nursing)</c:v>
                </c:pt>
                <c:pt idx="4">
                  <c:v>Workforce management &amp; efficiency (PCA)</c:v>
                </c:pt>
                <c:pt idx="5">
                  <c:v>Workforce management &amp; efficiency (Other)</c:v>
                </c:pt>
                <c:pt idx="6">
                  <c:v>Non-pay (Procurement)</c:v>
                </c:pt>
                <c:pt idx="7">
                  <c:v>Non-pay (CHC)</c:v>
                </c:pt>
                <c:pt idx="8">
                  <c:v>Non-pay (Prescribing)</c:v>
                </c:pt>
                <c:pt idx="9">
                  <c:v>Non-pay (Other)</c:v>
                </c:pt>
              </c:strCache>
            </c:strRef>
          </c:cat>
          <c:val>
            <c:numRef>
              <c:f>Charts!$C$4:$C$13</c:f>
              <c:numCache>
                <c:formatCode>General</c:formatCode>
                <c:ptCount val="10"/>
                <c:pt idx="0">
                  <c:v>26</c:v>
                </c:pt>
                <c:pt idx="1">
                  <c:v>18</c:v>
                </c:pt>
                <c:pt idx="2">
                  <c:v>10</c:v>
                </c:pt>
                <c:pt idx="3">
                  <c:v>7</c:v>
                </c:pt>
                <c:pt idx="4">
                  <c:v>7</c:v>
                </c:pt>
                <c:pt idx="5">
                  <c:v>3</c:v>
                </c:pt>
                <c:pt idx="6">
                  <c:v>5</c:v>
                </c:pt>
                <c:pt idx="7">
                  <c:v>2</c:v>
                </c:pt>
                <c:pt idx="8">
                  <c:v>1</c:v>
                </c:pt>
                <c:pt idx="9">
                  <c:v>2</c:v>
                </c:pt>
              </c:numCache>
            </c:numRef>
          </c:val>
        </c:ser>
        <c:dLbls>
          <c:showLegendKey val="0"/>
          <c:showVal val="0"/>
          <c:showCatName val="0"/>
          <c:showSerName val="0"/>
          <c:showPercent val="0"/>
          <c:showBubbleSize val="0"/>
        </c:dLbls>
        <c:gapWidth val="182"/>
        <c:axId val="848236160"/>
        <c:axId val="848245952"/>
      </c:barChart>
      <c:catAx>
        <c:axId val="84823616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8245952"/>
        <c:crosses val="autoZero"/>
        <c:auto val="1"/>
        <c:lblAlgn val="ctr"/>
        <c:lblOffset val="100"/>
        <c:noMultiLvlLbl val="0"/>
      </c:catAx>
      <c:valAx>
        <c:axId val="84824595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8236160"/>
        <c:crosses val="autoZero"/>
        <c:crossBetween val="between"/>
      </c:valAx>
      <c:spPr>
        <a:noFill/>
        <a:ln w="25400">
          <a:noFill/>
        </a:ln>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1">
    <c:autoUpdate val="0"/>
  </c:externalData>
</c:chartSpace>
</file>

<file path=word/diagrams/_rels/data1.xml.rels><?xml version="1.0" encoding="UTF-8" standalone="yes"?>
<Relationships xmlns="http://schemas.openxmlformats.org/package/2006/relationships"><Relationship Id="rId1" Type="http://schemas.openxmlformats.org/officeDocument/2006/relationships/image" Target="../media/image41.png"/></Relationships>
</file>

<file path=word/diagrams/_rels/data2.xml.rels><?xml version="1.0" encoding="UTF-8" standalone="yes"?>
<Relationships xmlns="http://schemas.openxmlformats.org/package/2006/relationships"><Relationship Id="rId1" Type="http://schemas.openxmlformats.org/officeDocument/2006/relationships/image" Target="../media/image41.png"/></Relationships>
</file>

<file path=word/diagrams/_rels/data3.xml.rels><?xml version="1.0" encoding="UTF-8" standalone="yes"?>
<Relationships xmlns="http://schemas.openxmlformats.org/package/2006/relationships"><Relationship Id="rId1" Type="http://schemas.openxmlformats.org/officeDocument/2006/relationships/image" Target="../media/image41.png"/></Relationships>
</file>

<file path=word/diagrams/_rels/data4.xml.rels><?xml version="1.0" encoding="UTF-8" standalone="yes"?>
<Relationships xmlns="http://schemas.openxmlformats.org/package/2006/relationships"><Relationship Id="rId1" Type="http://schemas.openxmlformats.org/officeDocument/2006/relationships/image" Target="../media/image41.png"/></Relationships>
</file>

<file path=word/diagrams/_rels/drawing1.xml.rels><?xml version="1.0" encoding="UTF-8" standalone="yes"?>
<Relationships xmlns="http://schemas.openxmlformats.org/package/2006/relationships"><Relationship Id="rId1" Type="http://schemas.openxmlformats.org/officeDocument/2006/relationships/image" Target="../media/image41.png"/></Relationships>
</file>

<file path=word/diagrams/_rels/drawing2.xml.rels><?xml version="1.0" encoding="UTF-8" standalone="yes"?>
<Relationships xmlns="http://schemas.openxmlformats.org/package/2006/relationships"><Relationship Id="rId1" Type="http://schemas.openxmlformats.org/officeDocument/2006/relationships/image" Target="../media/image41.png"/></Relationships>
</file>

<file path=word/diagrams/_rels/drawing3.xml.rels><?xml version="1.0" encoding="UTF-8" standalone="yes"?>
<Relationships xmlns="http://schemas.openxmlformats.org/package/2006/relationships"><Relationship Id="rId1" Type="http://schemas.openxmlformats.org/officeDocument/2006/relationships/image" Target="../media/image41.png"/></Relationships>
</file>

<file path=word/diagrams/_rels/drawing4.xml.rels><?xml version="1.0" encoding="UTF-8" standalone="yes"?>
<Relationships xmlns="http://schemas.openxmlformats.org/package/2006/relationships"><Relationship Id="rId1" Type="http://schemas.openxmlformats.org/officeDocument/2006/relationships/image" Target="../media/image41.png"/></Relationships>
</file>

<file path=word/diagrams/colors1.xml><?xml version="1.0" encoding="utf-8"?>
<dgm:colorsDef xmlns:dgm="http://schemas.openxmlformats.org/drawingml/2006/diagram" xmlns:a="http://schemas.openxmlformats.org/drawingml/2006/main" uniqueId="urn:microsoft.com/office/officeart/2005/8/colors/accent5_2">
  <dgm:title val=""/>
  <dgm:desc val=""/>
  <dgm:catLst>
    <dgm:cat type="accent5" pri="11200"/>
  </dgm:catLst>
  <dgm:styleLbl name="node0">
    <dgm:fillClrLst meth="repeat">
      <a:schemeClr val="accent5"/>
    </dgm:fillClrLst>
    <dgm:linClrLst meth="repeat">
      <a:schemeClr val="lt1"/>
    </dgm:linClrLst>
    <dgm:effectClrLst/>
    <dgm:txLinClrLst/>
    <dgm:txFillClrLst/>
    <dgm:txEffectClrLst/>
  </dgm:styleLbl>
  <dgm:styleLbl name="node1">
    <dgm:fillClrLst meth="repeat">
      <a:schemeClr val="accent5"/>
    </dgm:fillClrLst>
    <dgm:linClrLst meth="repeat">
      <a:schemeClr val="lt1"/>
    </dgm:linClrLst>
    <dgm:effectClrLst/>
    <dgm:txLinClrLst/>
    <dgm:txFillClrLst/>
    <dgm:txEffectClrLst/>
  </dgm:styleLbl>
  <dgm:styleLbl name="alignNode1">
    <dgm:fillClrLst meth="repeat">
      <a:schemeClr val="accent5"/>
    </dgm:fillClrLst>
    <dgm:linClrLst meth="repeat">
      <a:schemeClr val="accent5"/>
    </dgm:linClrLst>
    <dgm:effectClrLst/>
    <dgm:txLinClrLst/>
    <dgm:txFillClrLst/>
    <dgm:txEffectClrLst/>
  </dgm:styleLbl>
  <dgm:styleLbl name="lnNode1">
    <dgm:fillClrLst meth="repeat">
      <a:schemeClr val="accent5"/>
    </dgm:fillClrLst>
    <dgm:linClrLst meth="repeat">
      <a:schemeClr val="lt1"/>
    </dgm:linClrLst>
    <dgm:effectClrLst/>
    <dgm:txLinClrLst/>
    <dgm:txFillClrLst/>
    <dgm:txEffectClrLst/>
  </dgm:styleLbl>
  <dgm:styleLbl name="vennNode1">
    <dgm:fillClrLst meth="repeat">
      <a:schemeClr val="accent5">
        <a:alpha val="50000"/>
      </a:schemeClr>
    </dgm:fillClrLst>
    <dgm:linClrLst meth="repeat">
      <a:schemeClr val="lt1"/>
    </dgm:linClrLst>
    <dgm:effectClrLst/>
    <dgm:txLinClrLst/>
    <dgm:txFillClrLst/>
    <dgm:txEffectClrLst/>
  </dgm:styleLbl>
  <dgm:styleLbl name="node2">
    <dgm:fillClrLst meth="repeat">
      <a:schemeClr val="accent5"/>
    </dgm:fillClrLst>
    <dgm:linClrLst meth="repeat">
      <a:schemeClr val="lt1"/>
    </dgm:linClrLst>
    <dgm:effectClrLst/>
    <dgm:txLinClrLst/>
    <dgm:txFillClrLst/>
    <dgm:txEffectClrLst/>
  </dgm:styleLbl>
  <dgm:styleLbl name="node3">
    <dgm:fillClrLst meth="repeat">
      <a:schemeClr val="accent5"/>
    </dgm:fillClrLst>
    <dgm:linClrLst meth="repeat">
      <a:schemeClr val="lt1"/>
    </dgm:linClrLst>
    <dgm:effectClrLst/>
    <dgm:txLinClrLst/>
    <dgm:txFillClrLst/>
    <dgm:txEffectClrLst/>
  </dgm:styleLbl>
  <dgm:styleLbl name="node4">
    <dgm:fillClrLst meth="repeat">
      <a:schemeClr val="accent5"/>
    </dgm:fillClrLst>
    <dgm:linClrLst meth="repeat">
      <a:schemeClr val="lt1"/>
    </dgm:linClrLst>
    <dgm:effectClrLst/>
    <dgm:txLinClrLst/>
    <dgm:txFillClrLst/>
    <dgm:txEffectClrLst/>
  </dgm:styleLbl>
  <dgm:styleLbl name="fg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5">
        <a:tint val="60000"/>
      </a:schemeClr>
    </dgm:fillClrLst>
    <dgm:linClrLst meth="repeat">
      <a:schemeClr val="accent5">
        <a:tint val="60000"/>
      </a:schemeClr>
    </dgm:linClrLst>
    <dgm:effectClrLst/>
    <dgm:txLinClrLst/>
    <dgm:txFillClrLst/>
    <dgm:txEffectClrLst/>
  </dgm:styleLbl>
  <dgm:styleLbl name="fgSibTrans2D1">
    <dgm:fillClrLst meth="repeat">
      <a:schemeClr val="accent5">
        <a:tint val="60000"/>
      </a:schemeClr>
    </dgm:fillClrLst>
    <dgm:linClrLst meth="repeat">
      <a:schemeClr val="accent5">
        <a:tint val="60000"/>
      </a:schemeClr>
    </dgm:linClrLst>
    <dgm:effectClrLst/>
    <dgm:txLinClrLst/>
    <dgm:txFillClrLst/>
    <dgm:txEffectClrLst/>
  </dgm:styleLbl>
  <dgm:styleLbl name="bgSibTrans2D1">
    <dgm:fillClrLst meth="repeat">
      <a:schemeClr val="accent5">
        <a:tint val="60000"/>
      </a:schemeClr>
    </dgm:fillClrLst>
    <dgm:linClrLst meth="repeat">
      <a:schemeClr val="accent5">
        <a:tint val="60000"/>
      </a:schemeClr>
    </dgm:linClrLst>
    <dgm:effectClrLst/>
    <dgm:txLinClrLst/>
    <dgm:txFillClrLst/>
    <dgm:txEffectClrLst/>
  </dgm:styleLbl>
  <dgm:styleLbl name="sibTrans1D1">
    <dgm:fillClrLst meth="repeat">
      <a:schemeClr val="accent5"/>
    </dgm:fillClrLst>
    <dgm:linClrLst meth="repeat">
      <a:schemeClr val="accent5"/>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dgm:linClrLst>
    <dgm:effectClrLst/>
    <dgm:txLinClrLst/>
    <dgm:txFillClrLst/>
    <dgm:txEffectClrLst/>
  </dgm:styleLbl>
  <dgm:styleLbl name="asst1">
    <dgm:fillClrLst meth="repeat">
      <a:schemeClr val="accent5"/>
    </dgm:fillClrLst>
    <dgm:linClrLst meth="repeat">
      <a:schemeClr val="lt1"/>
    </dgm:linClrLst>
    <dgm:effectClrLst/>
    <dgm:txLinClrLst/>
    <dgm:txFillClrLst/>
    <dgm:txEffectClrLst/>
  </dgm:styleLbl>
  <dgm:styleLbl name="asst2">
    <dgm:fillClrLst meth="repeat">
      <a:schemeClr val="accent5"/>
    </dgm:fillClrLst>
    <dgm:linClrLst meth="repeat">
      <a:schemeClr val="lt1"/>
    </dgm:linClrLst>
    <dgm:effectClrLst/>
    <dgm:txLinClrLst/>
    <dgm:txFillClrLst/>
    <dgm:txEffectClrLst/>
  </dgm:styleLbl>
  <dgm:styleLbl name="asst3">
    <dgm:fillClrLst meth="repeat">
      <a:schemeClr val="accent5"/>
    </dgm:fillClrLst>
    <dgm:linClrLst meth="repeat">
      <a:schemeClr val="lt1"/>
    </dgm:linClrLst>
    <dgm:effectClrLst/>
    <dgm:txLinClrLst/>
    <dgm:txFillClrLst/>
    <dgm:txEffectClrLst/>
  </dgm:styleLbl>
  <dgm:styleLbl name="asst4">
    <dgm:fillClrLst meth="repeat">
      <a:schemeClr val="accent5"/>
    </dgm:fillClrLst>
    <dgm:linClrLst meth="repeat">
      <a:schemeClr val="lt1"/>
    </dgm:linClrLst>
    <dgm:effectClrLst/>
    <dgm:txLinClrLst/>
    <dgm:txFillClrLst/>
    <dgm:txEffectClrLst/>
  </dgm:styleLbl>
  <dgm:styleLbl name="parChTrans2D1">
    <dgm:fillClrLst meth="repeat">
      <a:schemeClr val="accent5">
        <a:tint val="60000"/>
      </a:schemeClr>
    </dgm:fillClrLst>
    <dgm:linClrLst meth="repeat">
      <a:schemeClr val="accent5">
        <a:tint val="60000"/>
      </a:schemeClr>
    </dgm:linClrLst>
    <dgm:effectClrLst/>
    <dgm:txLinClrLst/>
    <dgm:txFillClrLst meth="repeat">
      <a:schemeClr val="lt1"/>
    </dgm:txFillClrLst>
    <dgm:txEffectClrLst/>
  </dgm:styleLbl>
  <dgm:styleLbl name="parChTrans2D2">
    <dgm:fillClrLst meth="repeat">
      <a:schemeClr val="accent5"/>
    </dgm:fillClrLst>
    <dgm:linClrLst meth="repeat">
      <a:schemeClr val="accent5"/>
    </dgm:linClrLst>
    <dgm:effectClrLst/>
    <dgm:txLinClrLst/>
    <dgm:txFillClrLst meth="repeat">
      <a:schemeClr val="lt1"/>
    </dgm:txFillClrLst>
    <dgm:txEffectClrLst/>
  </dgm:styleLbl>
  <dgm:styleLbl name="parChTrans2D3">
    <dgm:fillClrLst meth="repeat">
      <a:schemeClr val="accent5"/>
    </dgm:fillClrLst>
    <dgm:linClrLst meth="repeat">
      <a:schemeClr val="accent5"/>
    </dgm:linClrLst>
    <dgm:effectClrLst/>
    <dgm:txLinClrLst/>
    <dgm:txFillClrLst meth="repeat">
      <a:schemeClr val="lt1"/>
    </dgm:txFillClrLst>
    <dgm:txEffectClrLst/>
  </dgm:styleLbl>
  <dgm:styleLbl name="parChTrans2D4">
    <dgm:fillClrLst meth="repeat">
      <a:schemeClr val="accent5"/>
    </dgm:fillClrLst>
    <dgm:linClrLst meth="repeat">
      <a:schemeClr val="accent5"/>
    </dgm:linClrLst>
    <dgm:effectClrLst/>
    <dgm:txLinClrLst/>
    <dgm:txFillClrLst meth="repeat">
      <a:schemeClr val="lt1"/>
    </dgm:txFillClrLst>
    <dgm:txEffectClrLst/>
  </dgm:styleLbl>
  <dgm:styleLbl name="parChTrans1D1">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2">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3">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parChTrans1D4">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solidFgAcc1">
    <dgm:fillClrLst meth="repeat">
      <a:schemeClr val="lt1"/>
    </dgm:fillClrLst>
    <dgm:linClrLst meth="repeat">
      <a:schemeClr val="accent5"/>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align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bg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accent5"/>
    </dgm:linClrLst>
    <dgm:effectClrLst/>
    <dgm:txLinClrLst/>
    <dgm:txFillClrLst meth="repeat">
      <a:schemeClr val="dk1"/>
    </dgm:txFillClrLst>
    <dgm:txEffectClrLst/>
  </dgm:styleLbl>
  <dgm:styleLbl name="dkBgShp">
    <dgm:fillClrLst meth="repeat">
      <a:schemeClr val="accent5">
        <a:shade val="80000"/>
      </a:schemeClr>
    </dgm:fillClrLst>
    <dgm:linClrLst meth="repeat">
      <a:schemeClr val="accent5"/>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6_5">
  <dgm:title val=""/>
  <dgm:desc val=""/>
  <dgm:catLst>
    <dgm:cat type="accent6" pri="11500"/>
  </dgm:catLst>
  <dgm:styleLbl name="node0">
    <dgm:fillClrLst meth="cycle">
      <a:schemeClr val="accent6">
        <a:alpha val="80000"/>
      </a:schemeClr>
    </dgm:fillClrLst>
    <dgm:linClrLst meth="repeat">
      <a:schemeClr val="lt1"/>
    </dgm:linClrLst>
    <dgm:effectClrLst/>
    <dgm:txLinClrLst/>
    <dgm:txFillClrLst/>
    <dgm:txEffectClrLst/>
  </dgm:styleLbl>
  <dgm:styleLbl name="alignNode1">
    <dgm:fillClrLst>
      <a:schemeClr val="accent6">
        <a:alpha val="90000"/>
      </a:schemeClr>
      <a:schemeClr val="accent6">
        <a:alpha val="50000"/>
      </a:schemeClr>
    </dgm:fillClrLst>
    <dgm:linClrLst>
      <a:schemeClr val="accent6">
        <a:alpha val="90000"/>
      </a:schemeClr>
      <a:schemeClr val="accent6">
        <a:alpha val="50000"/>
      </a:schemeClr>
    </dgm:linClrLst>
    <dgm:effectClrLst/>
    <dgm:txLinClrLst/>
    <dgm:txFillClrLst/>
    <dgm:txEffectClrLst/>
  </dgm:styleLbl>
  <dgm:styleLbl name="node1">
    <dgm:fillClrLst>
      <a:schemeClr val="accent6">
        <a:alpha val="90000"/>
      </a:schemeClr>
      <a:schemeClr val="accent6">
        <a:alpha val="50000"/>
      </a:schemeClr>
    </dgm:fillClrLst>
    <dgm:linClrLst meth="repeat">
      <a:schemeClr val="lt1"/>
    </dgm:linClrLst>
    <dgm:effectClrLst/>
    <dgm:txLinClrLst/>
    <dgm:txFillClrLst/>
    <dgm:txEffectClrLst/>
  </dgm:styleLbl>
  <dgm:styleLbl name="lnNode1">
    <dgm:fillClrLst>
      <a:schemeClr val="accent6">
        <a:shade val="90000"/>
      </a:schemeClr>
      <a:schemeClr val="accent6">
        <a:tint val="50000"/>
        <a:alpha val="50000"/>
      </a:schemeClr>
    </dgm:fillClrLst>
    <dgm:linClrLst meth="repeat">
      <a:schemeClr val="lt1"/>
    </dgm:linClrLst>
    <dgm:effectClrLst/>
    <dgm:txLinClrLst/>
    <dgm:txFillClrLst/>
    <dgm:txEffectClrLst/>
  </dgm:styleLbl>
  <dgm:styleLbl name="vennNode1">
    <dgm:fillClrLst>
      <a:schemeClr val="accent6">
        <a:shade val="80000"/>
        <a:alpha val="50000"/>
      </a:schemeClr>
      <a:schemeClr val="accent6">
        <a:alpha val="80000"/>
      </a:schemeClr>
    </dgm:fillClrLst>
    <dgm:linClrLst meth="repeat">
      <a:schemeClr val="lt1"/>
    </dgm:linClrLst>
    <dgm:effectClrLst/>
    <dgm:txLinClrLst/>
    <dgm:txFillClrLst/>
    <dgm:txEffectClrLst/>
  </dgm:styleLbl>
  <dgm:styleLbl name="node2">
    <dgm:fillClrLst>
      <a:schemeClr val="accent6">
        <a:alpha val="70000"/>
      </a:schemeClr>
    </dgm:fillClrLst>
    <dgm:linClrLst meth="repeat">
      <a:schemeClr val="lt1"/>
    </dgm:linClrLst>
    <dgm:effectClrLst/>
    <dgm:txLinClrLst/>
    <dgm:txFillClrLst/>
    <dgm:txEffectClrLst/>
  </dgm:styleLbl>
  <dgm:styleLbl name="node3">
    <dgm:fillClrLst>
      <a:schemeClr val="accent6">
        <a:alpha val="50000"/>
      </a:schemeClr>
    </dgm:fillClrLst>
    <dgm:linClrLst meth="repeat">
      <a:schemeClr val="lt1"/>
    </dgm:linClrLst>
    <dgm:effectClrLst/>
    <dgm:txLinClrLst/>
    <dgm:txFillClrLst/>
    <dgm:txEffectClrLst/>
  </dgm:styleLbl>
  <dgm:styleLbl name="node4">
    <dgm:fillClrLst>
      <a:schemeClr val="accent6">
        <a:alpha val="30000"/>
      </a:schemeClr>
    </dgm:fillClrLst>
    <dgm:linClrLst meth="repeat">
      <a:schemeClr val="lt1"/>
    </dgm:linClrLst>
    <dgm:effectClrLst/>
    <dgm:txLinClrLst/>
    <dgm:txFillClrLst/>
    <dgm:txEffectClrLst/>
  </dgm:styleLbl>
  <dgm:styleLbl name="fgImgPlace1">
    <dgm:fillClrLst>
      <a:schemeClr val="accent6">
        <a:tint val="50000"/>
        <a:alpha val="90000"/>
      </a:schemeClr>
      <a:schemeClr val="accent6">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fg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bg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sibTrans1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accent6">
        <a:alpha val="90000"/>
      </a:schemeClr>
    </dgm:fillClrLst>
    <dgm:linClrLst meth="repeat">
      <a:schemeClr val="lt1"/>
    </dgm:linClrLst>
    <dgm:effectClrLst/>
    <dgm:txLinClrLst/>
    <dgm:txFillClrLst/>
    <dgm:txEffectClrLst/>
  </dgm:styleLbl>
  <dgm:styleLbl name="asst1">
    <dgm:fillClrLst meth="repeat">
      <a:schemeClr val="accent6">
        <a:alpha val="90000"/>
      </a:schemeClr>
    </dgm:fillClrLst>
    <dgm:linClrLst meth="repeat">
      <a:schemeClr val="lt1"/>
    </dgm:linClrLst>
    <dgm:effectClrLst/>
    <dgm:txLinClrLst/>
    <dgm:txFillClrLst/>
    <dgm:txEffectClrLst/>
  </dgm:styleLbl>
  <dgm:styleLbl name="asst2">
    <dgm:fillClrLst>
      <a:schemeClr val="accent6">
        <a:alpha val="90000"/>
      </a:schemeClr>
    </dgm:fillClrLst>
    <dgm:linClrLst meth="repeat">
      <a:schemeClr val="lt1"/>
    </dgm:linClrLst>
    <dgm:effectClrLst/>
    <dgm:txLinClrLst/>
    <dgm:txFillClrLst/>
    <dgm:txEffectClrLst/>
  </dgm:styleLbl>
  <dgm:styleLbl name="asst3">
    <dgm:fillClrLst>
      <a:schemeClr val="accent6">
        <a:alpha val="70000"/>
      </a:schemeClr>
    </dgm:fillClrLst>
    <dgm:linClrLst meth="repeat">
      <a:schemeClr val="lt1"/>
    </dgm:linClrLst>
    <dgm:effectClrLst/>
    <dgm:txLinClrLst/>
    <dgm:txFillClrLst/>
    <dgm:txEffectClrLst/>
  </dgm:styleLbl>
  <dgm:styleLbl name="asst4">
    <dgm:fillClrLst>
      <a:schemeClr val="accent6">
        <a:alpha val="50000"/>
      </a:schemeClr>
    </dgm:fillClrLst>
    <dgm:linClrLst meth="repeat">
      <a:schemeClr val="lt1"/>
    </dgm:linClrLst>
    <dgm:effectClrLst/>
    <dgm:txLinClrLst/>
    <dgm:txFillClrLst/>
    <dgm:txEffectClrLst/>
  </dgm:styleLbl>
  <dgm:styleLbl name="parChTrans2D1">
    <dgm:fillClrLst meth="repeat">
      <a:schemeClr val="accent6">
        <a:shade val="80000"/>
      </a:schemeClr>
    </dgm:fillClrLst>
    <dgm:linClrLst meth="repeat">
      <a:schemeClr val="accent6">
        <a:shade val="80000"/>
      </a:schemeClr>
    </dgm:linClrLst>
    <dgm:effectClrLst/>
    <dgm:txLinClrLst/>
    <dgm:txFillClrLst/>
    <dgm:txEffectClrLst/>
  </dgm:styleLbl>
  <dgm:styleLbl name="parChTrans2D2">
    <dgm:fillClrLst meth="repeat">
      <a:schemeClr val="accent6">
        <a:tint val="90000"/>
      </a:schemeClr>
    </dgm:fillClrLst>
    <dgm:linClrLst meth="repeat">
      <a:schemeClr val="accent6">
        <a:tint val="90000"/>
      </a:schemeClr>
    </dgm:linClrLst>
    <dgm:effectClrLst/>
    <dgm:txLinClrLst/>
    <dgm:txFillClrLst/>
    <dgm:txEffectClrLst/>
  </dgm:styleLbl>
  <dgm:styleLbl name="parChTrans2D3">
    <dgm:fillClrLst meth="repeat">
      <a:schemeClr val="accent6">
        <a:tint val="70000"/>
      </a:schemeClr>
    </dgm:fillClrLst>
    <dgm:linClrLst meth="repeat">
      <a:schemeClr val="accent6">
        <a:tint val="70000"/>
      </a:schemeClr>
    </dgm:linClrLst>
    <dgm:effectClrLst/>
    <dgm:txLinClrLst/>
    <dgm:txFillClrLst/>
    <dgm:txEffectClrLst/>
  </dgm:styleLbl>
  <dgm:styleLbl name="parChTrans2D4">
    <dgm:fillClrLst meth="repeat">
      <a:schemeClr val="accent6">
        <a:tint val="50000"/>
      </a:schemeClr>
    </dgm:fillClrLst>
    <dgm:linClrLst meth="repeat">
      <a:schemeClr val="accent6">
        <a:tint val="50000"/>
      </a:schemeClr>
    </dgm:linClrLst>
    <dgm:effectClrLst/>
    <dgm:txLinClrLst/>
    <dgm:txFillClrLst meth="repeat">
      <a:schemeClr val="dk1"/>
    </dgm:txFillClrLst>
    <dgm:txEffectClrLst/>
  </dgm:styleLbl>
  <dgm:styleLbl name="parChTrans1D1">
    <dgm:fillClrLst meth="repeat">
      <a:schemeClr val="accent6">
        <a:shade val="80000"/>
      </a:schemeClr>
    </dgm:fillClrLst>
    <dgm:linClrLst meth="repeat">
      <a:schemeClr val="accent6">
        <a:shade val="80000"/>
      </a:schemeClr>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a:tint val="90000"/>
      </a:schemeClr>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6">
        <a:tint val="70000"/>
      </a:schemeClr>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6">
        <a:alpha val="90000"/>
      </a:schemeClr>
      <a:schemeClr val="accent6">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a:schemeClr val="accent6">
        <a:alpha val="90000"/>
        <a:tint val="40000"/>
      </a:schemeClr>
      <a:schemeClr val="accent6">
        <a:alpha val="5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a:tint val="50000"/>
      </a:schemeClr>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6">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2_5">
  <dgm:title val=""/>
  <dgm:desc val=""/>
  <dgm:catLst>
    <dgm:cat type="accent2" pri="11500"/>
  </dgm:catLst>
  <dgm:styleLbl name="node0">
    <dgm:fillClrLst meth="cycle">
      <a:schemeClr val="accent2">
        <a:alpha val="80000"/>
      </a:schemeClr>
    </dgm:fillClrLst>
    <dgm:linClrLst meth="repeat">
      <a:schemeClr val="lt1"/>
    </dgm:linClrLst>
    <dgm:effectClrLst/>
    <dgm:txLinClrLst/>
    <dgm:txFillClrLst/>
    <dgm:txEffectClrLst/>
  </dgm:styleLbl>
  <dgm:styleLbl name="node1">
    <dgm:fillClrLst>
      <a:schemeClr val="accent2">
        <a:alpha val="90000"/>
      </a:schemeClr>
      <a:schemeClr val="accent2">
        <a:alpha val="50000"/>
      </a:schemeClr>
    </dgm:fillClrLst>
    <dgm:linClrLst meth="repeat">
      <a:schemeClr val="lt1"/>
    </dgm:linClrLst>
    <dgm:effectClrLst/>
    <dgm:txLinClrLst/>
    <dgm:txFillClrLst/>
    <dgm:txEffectClrLst/>
  </dgm:styleLbl>
  <dgm:styleLbl name="alignNode1">
    <dgm:fillClrLst>
      <a:schemeClr val="accent2">
        <a:alpha val="90000"/>
      </a:schemeClr>
      <a:schemeClr val="accent2">
        <a:alpha val="50000"/>
      </a:schemeClr>
    </dgm:fillClrLst>
    <dgm:linClrLst>
      <a:schemeClr val="accent2">
        <a:alpha val="90000"/>
      </a:schemeClr>
      <a:schemeClr val="accent2">
        <a:alpha val="50000"/>
      </a:schemeClr>
    </dgm:linClrLst>
    <dgm:effectClrLst/>
    <dgm:txLinClrLst/>
    <dgm:txFillClrLst/>
    <dgm:txEffectClrLst/>
  </dgm:styleLbl>
  <dgm:styleLbl name="lnNode1">
    <dgm:fillClrLst>
      <a:schemeClr val="accent2">
        <a:shade val="90000"/>
      </a:schemeClr>
      <a:schemeClr val="accent2">
        <a:alpha val="50000"/>
        <a:tint val="50000"/>
      </a:schemeClr>
    </dgm:fillClrLst>
    <dgm:linClrLst meth="repeat">
      <a:schemeClr val="lt1"/>
    </dgm:linClrLst>
    <dgm:effectClrLst/>
    <dgm:txLinClrLst/>
    <dgm:txFillClrLst/>
    <dgm:txEffectClrLst/>
  </dgm:styleLbl>
  <dgm:styleLbl name="vennNode1">
    <dgm:fillClrLst>
      <a:schemeClr val="accent2">
        <a:shade val="80000"/>
        <a:alpha val="50000"/>
      </a:schemeClr>
      <a:schemeClr val="accent2">
        <a:alpha val="20000"/>
      </a:schemeClr>
    </dgm:fillClrLst>
    <dgm:linClrLst meth="repeat">
      <a:schemeClr val="lt1"/>
    </dgm:linClrLst>
    <dgm:effectClrLst/>
    <dgm:txLinClrLst/>
    <dgm:txFillClrLst/>
    <dgm:txEffectClrLst/>
  </dgm:styleLbl>
  <dgm:styleLbl name="node2">
    <dgm:fillClrLst>
      <a:schemeClr val="accent2">
        <a:alpha val="70000"/>
      </a:schemeClr>
    </dgm:fillClrLst>
    <dgm:linClrLst meth="repeat">
      <a:schemeClr val="lt1"/>
    </dgm:linClrLst>
    <dgm:effectClrLst/>
    <dgm:txLinClrLst/>
    <dgm:txFillClrLst/>
    <dgm:txEffectClrLst/>
  </dgm:styleLbl>
  <dgm:styleLbl name="node3">
    <dgm:fillClrLst>
      <a:schemeClr val="accent2">
        <a:alpha val="50000"/>
      </a:schemeClr>
    </dgm:fillClrLst>
    <dgm:linClrLst meth="repeat">
      <a:schemeClr val="lt1"/>
    </dgm:linClrLst>
    <dgm:effectClrLst/>
    <dgm:txLinClrLst/>
    <dgm:txFillClrLst/>
    <dgm:txEffectClrLst/>
  </dgm:styleLbl>
  <dgm:styleLbl name="node4">
    <dgm:fillClrLst>
      <a:schemeClr val="accent2">
        <a:alpha val="30000"/>
      </a:schemeClr>
    </dgm:fillClrLst>
    <dgm:linClrLst meth="repeat">
      <a:schemeClr val="lt1"/>
    </dgm:linClrLst>
    <dgm:effectClrLst/>
    <dgm:txLinClrLst/>
    <dgm:txFillClrLst/>
    <dgm:txEffectClrLst/>
  </dgm:styleLbl>
  <dgm:styleLbl name="fgImgPlace1">
    <dgm:fillClrLst>
      <a:schemeClr val="accent2">
        <a:tint val="50000"/>
        <a:alpha val="90000"/>
      </a:schemeClr>
      <a:schemeClr val="accent2">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fg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bg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sibTrans1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alpha val="90000"/>
      </a:schemeClr>
    </dgm:fillClrLst>
    <dgm:linClrLst meth="repeat">
      <a:schemeClr val="lt1"/>
    </dgm:linClrLst>
    <dgm:effectClrLst/>
    <dgm:txLinClrLst/>
    <dgm:txFillClrLst/>
    <dgm:txEffectClrLst/>
  </dgm:styleLbl>
  <dgm:styleLbl name="asst1">
    <dgm:fillClrLst meth="repeat">
      <a:schemeClr val="accent2">
        <a:alpha val="90000"/>
      </a:schemeClr>
    </dgm:fillClrLst>
    <dgm:linClrLst meth="repeat">
      <a:schemeClr val="lt1"/>
    </dgm:linClrLst>
    <dgm:effectClrLst/>
    <dgm:txLinClrLst/>
    <dgm:txFillClrLst/>
    <dgm:txEffectClrLst/>
  </dgm:styleLbl>
  <dgm:styleLbl name="asst2">
    <dgm:fillClrLst>
      <a:schemeClr val="accent2">
        <a:alpha val="90000"/>
      </a:schemeClr>
    </dgm:fillClrLst>
    <dgm:linClrLst meth="repeat">
      <a:schemeClr val="lt1"/>
    </dgm:linClrLst>
    <dgm:effectClrLst/>
    <dgm:txLinClrLst/>
    <dgm:txFillClrLst/>
    <dgm:txEffectClrLst/>
  </dgm:styleLbl>
  <dgm:styleLbl name="asst3">
    <dgm:fillClrLst>
      <a:schemeClr val="accent2">
        <a:alpha val="70000"/>
      </a:schemeClr>
    </dgm:fillClrLst>
    <dgm:linClrLst meth="repeat">
      <a:schemeClr val="lt1"/>
    </dgm:linClrLst>
    <dgm:effectClrLst/>
    <dgm:txLinClrLst/>
    <dgm:txFillClrLst/>
    <dgm:txEffectClrLst/>
  </dgm:styleLbl>
  <dgm:styleLbl name="asst4">
    <dgm:fillClrLst>
      <a:schemeClr val="accent2">
        <a:alpha val="50000"/>
      </a:schemeClr>
    </dgm:fillClrLst>
    <dgm:linClrLst meth="repeat">
      <a:schemeClr val="lt1"/>
    </dgm:linClrLst>
    <dgm:effectClrLst/>
    <dgm:txLinClrLst/>
    <dgm:txFillClrLst/>
    <dgm:txEffectClrLst/>
  </dgm:styleLbl>
  <dgm:styleLbl name="parChTrans2D1">
    <dgm:fillClrLst meth="repeat">
      <a:schemeClr val="accent2">
        <a:shade val="8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2">
        <a:alpha val="90000"/>
      </a:schemeClr>
      <a:schemeClr val="accent2">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a:schemeClr val="accent2">
        <a:alpha val="90000"/>
        <a:tint val="40000"/>
      </a:schemeClr>
      <a:schemeClr val="accent2">
        <a:alpha val="5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4_5">
  <dgm:title val=""/>
  <dgm:desc val=""/>
  <dgm:catLst>
    <dgm:cat type="accent4" pri="11500"/>
  </dgm:catLst>
  <dgm:styleLbl name="node0">
    <dgm:fillClrLst meth="cycle">
      <a:schemeClr val="accent4">
        <a:alpha val="80000"/>
      </a:schemeClr>
    </dgm:fillClrLst>
    <dgm:linClrLst meth="repeat">
      <a:schemeClr val="lt1"/>
    </dgm:linClrLst>
    <dgm:effectClrLst/>
    <dgm:txLinClrLst/>
    <dgm:txFillClrLst/>
    <dgm:txEffectClrLst/>
  </dgm:styleLbl>
  <dgm:styleLbl name="node1">
    <dgm:fillClrLst>
      <a:schemeClr val="accent4">
        <a:alpha val="90000"/>
      </a:schemeClr>
      <a:schemeClr val="accent4">
        <a:alpha val="50000"/>
      </a:schemeClr>
    </dgm:fillClrLst>
    <dgm:linClrLst meth="repeat">
      <a:schemeClr val="lt1"/>
    </dgm:linClrLst>
    <dgm:effectClrLst/>
    <dgm:txLinClrLst/>
    <dgm:txFillClrLst/>
    <dgm:txEffectClrLst/>
  </dgm:styleLbl>
  <dgm:styleLbl name="alignNode1">
    <dgm:fillClrLst>
      <a:schemeClr val="accent4">
        <a:alpha val="90000"/>
      </a:schemeClr>
      <a:schemeClr val="accent4">
        <a:alpha val="50000"/>
      </a:schemeClr>
    </dgm:fillClrLst>
    <dgm:linClrLst>
      <a:schemeClr val="accent4">
        <a:alpha val="90000"/>
      </a:schemeClr>
      <a:schemeClr val="accent4">
        <a:alpha val="50000"/>
      </a:schemeClr>
    </dgm:linClrLst>
    <dgm:effectClrLst/>
    <dgm:txLinClrLst/>
    <dgm:txFillClrLst/>
    <dgm:txEffectClrLst/>
  </dgm:styleLbl>
  <dgm:styleLbl name="lnNode1">
    <dgm:fillClrLst>
      <a:schemeClr val="accent4">
        <a:shade val="90000"/>
      </a:schemeClr>
      <a:schemeClr val="accent4">
        <a:alpha val="50000"/>
        <a:tint val="50000"/>
      </a:schemeClr>
    </dgm:fillClrLst>
    <dgm:linClrLst meth="repeat">
      <a:schemeClr val="lt1"/>
    </dgm:linClrLst>
    <dgm:effectClrLst/>
    <dgm:txLinClrLst/>
    <dgm:txFillClrLst/>
    <dgm:txEffectClrLst/>
  </dgm:styleLbl>
  <dgm:styleLbl name="vennNode1">
    <dgm:fillClrLst>
      <a:schemeClr val="accent4">
        <a:shade val="80000"/>
        <a:alpha val="50000"/>
      </a:schemeClr>
      <a:schemeClr val="accent4">
        <a:alpha val="80000"/>
      </a:schemeClr>
    </dgm:fillClrLst>
    <dgm:linClrLst meth="repeat">
      <a:schemeClr val="lt1"/>
    </dgm:linClrLst>
    <dgm:effectClrLst/>
    <dgm:txLinClrLst/>
    <dgm:txFillClrLst/>
    <dgm:txEffectClrLst/>
  </dgm:styleLbl>
  <dgm:styleLbl name="node2">
    <dgm:fillClrLst>
      <a:schemeClr val="accent4">
        <a:alpha val="70000"/>
      </a:schemeClr>
    </dgm:fillClrLst>
    <dgm:linClrLst meth="repeat">
      <a:schemeClr val="lt1"/>
    </dgm:linClrLst>
    <dgm:effectClrLst/>
    <dgm:txLinClrLst/>
    <dgm:txFillClrLst/>
    <dgm:txEffectClrLst/>
  </dgm:styleLbl>
  <dgm:styleLbl name="node3">
    <dgm:fillClrLst>
      <a:schemeClr val="accent4">
        <a:alpha val="50000"/>
      </a:schemeClr>
    </dgm:fillClrLst>
    <dgm:linClrLst meth="repeat">
      <a:schemeClr val="lt1"/>
    </dgm:linClrLst>
    <dgm:effectClrLst/>
    <dgm:txLinClrLst/>
    <dgm:txFillClrLst/>
    <dgm:txEffectClrLst/>
  </dgm:styleLbl>
  <dgm:styleLbl name="node4">
    <dgm:fillClrLst>
      <a:schemeClr val="accent4">
        <a:alpha val="30000"/>
      </a:schemeClr>
    </dgm:fillClrLst>
    <dgm:linClrLst meth="repeat">
      <a:schemeClr val="lt1"/>
    </dgm:linClrLst>
    <dgm:effectClrLst/>
    <dgm:txLinClrLst/>
    <dgm:txFillClrLst/>
    <dgm:txEffectClrLst/>
  </dgm:styleLbl>
  <dgm:styleLbl name="fgImgPlace1">
    <dgm:fillClrLst>
      <a:schemeClr val="accent4">
        <a:tint val="50000"/>
        <a:alpha val="90000"/>
      </a:schemeClr>
      <a:schemeClr val="accent4">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hade val="90000"/>
      </a:schemeClr>
      <a:schemeClr val="accent4">
        <a:tint val="50000"/>
      </a:schemeClr>
    </dgm:fillClrLst>
    <dgm:linClrLst>
      <a:schemeClr val="accent4">
        <a:shade val="90000"/>
      </a:schemeClr>
      <a:schemeClr val="accent4">
        <a:tint val="50000"/>
      </a:schemeClr>
    </dgm:linClrLst>
    <dgm:effectClrLst/>
    <dgm:txLinClrLst/>
    <dgm:txFillClrLst/>
    <dgm:txEffectClrLst/>
  </dgm:styleLbl>
  <dgm:styleLbl name="fgSibTrans2D1">
    <dgm:fillClrLst>
      <a:schemeClr val="accent4">
        <a:shade val="90000"/>
      </a:schemeClr>
      <a:schemeClr val="accent4">
        <a:tint val="50000"/>
      </a:schemeClr>
    </dgm:fillClrLst>
    <dgm:linClrLst>
      <a:schemeClr val="accent4">
        <a:shade val="90000"/>
      </a:schemeClr>
      <a:schemeClr val="accent4">
        <a:tint val="50000"/>
      </a:schemeClr>
    </dgm:linClrLst>
    <dgm:effectClrLst/>
    <dgm:txLinClrLst/>
    <dgm:txFillClrLst/>
    <dgm:txEffectClrLst/>
  </dgm:styleLbl>
  <dgm:styleLbl name="bgSibTrans2D1">
    <dgm:fillClrLst>
      <a:schemeClr val="accent4">
        <a:shade val="90000"/>
      </a:schemeClr>
      <a:schemeClr val="accent4">
        <a:tint val="50000"/>
      </a:schemeClr>
    </dgm:fillClrLst>
    <dgm:linClrLst>
      <a:schemeClr val="accent4">
        <a:shade val="90000"/>
      </a:schemeClr>
      <a:schemeClr val="accent4">
        <a:tint val="50000"/>
      </a:schemeClr>
    </dgm:linClrLst>
    <dgm:effectClrLst/>
    <dgm:txLinClrLst/>
    <dgm:txFillClrLst/>
    <dgm:txEffectClrLst/>
  </dgm:styleLbl>
  <dgm:styleLbl name="sibTrans1D1">
    <dgm:fillClrLst>
      <a:schemeClr val="accent4">
        <a:shade val="90000"/>
      </a:schemeClr>
      <a:schemeClr val="accent4">
        <a:tint val="50000"/>
      </a:schemeClr>
    </dgm:fillClrLst>
    <dgm:linClrLst>
      <a:schemeClr val="accent4">
        <a:shade val="90000"/>
      </a:schemeClr>
      <a:schemeClr val="accent4">
        <a:tint val="50000"/>
      </a:schemeClr>
    </dgm:linClrLst>
    <dgm:effectClrLst/>
    <dgm:txLinClrLst/>
    <dgm:txFillClrLst meth="repeat">
      <a:schemeClr val="tx1"/>
    </dgm:txFillClrLst>
    <dgm:txEffectClrLst/>
  </dgm:styleLbl>
  <dgm:styleLbl name="callout">
    <dgm:fillClrLst meth="repeat">
      <a:schemeClr val="accent4"/>
    </dgm:fillClrLst>
    <dgm:linClrLst meth="repeat">
      <a:schemeClr val="accent4"/>
    </dgm:linClrLst>
    <dgm:effectClrLst/>
    <dgm:txLinClrLst/>
    <dgm:txFillClrLst meth="repeat">
      <a:schemeClr val="tx1"/>
    </dgm:txFillClrLst>
    <dgm:txEffectClrLst/>
  </dgm:styleLbl>
  <dgm:styleLbl name="asst0">
    <dgm:fillClrLst meth="repeat">
      <a:schemeClr val="accent4">
        <a:alpha val="90000"/>
      </a:schemeClr>
    </dgm:fillClrLst>
    <dgm:linClrLst meth="repeat">
      <a:schemeClr val="lt1"/>
    </dgm:linClrLst>
    <dgm:effectClrLst/>
    <dgm:txLinClrLst/>
    <dgm:txFillClrLst/>
    <dgm:txEffectClrLst/>
  </dgm:styleLbl>
  <dgm:styleLbl name="asst1">
    <dgm:fillClrLst meth="repeat">
      <a:schemeClr val="accent4">
        <a:alpha val="90000"/>
      </a:schemeClr>
    </dgm:fillClrLst>
    <dgm:linClrLst meth="repeat">
      <a:schemeClr val="lt1"/>
    </dgm:linClrLst>
    <dgm:effectClrLst/>
    <dgm:txLinClrLst/>
    <dgm:txFillClrLst/>
    <dgm:txEffectClrLst/>
  </dgm:styleLbl>
  <dgm:styleLbl name="asst2">
    <dgm:fillClrLst>
      <a:schemeClr val="accent4">
        <a:alpha val="90000"/>
      </a:schemeClr>
    </dgm:fillClrLst>
    <dgm:linClrLst meth="repeat">
      <a:schemeClr val="lt1"/>
    </dgm:linClrLst>
    <dgm:effectClrLst/>
    <dgm:txLinClrLst/>
    <dgm:txFillClrLst/>
    <dgm:txEffectClrLst/>
  </dgm:styleLbl>
  <dgm:styleLbl name="asst3">
    <dgm:fillClrLst>
      <a:schemeClr val="accent4">
        <a:alpha val="70000"/>
      </a:schemeClr>
    </dgm:fillClrLst>
    <dgm:linClrLst meth="repeat">
      <a:schemeClr val="lt1"/>
    </dgm:linClrLst>
    <dgm:effectClrLst/>
    <dgm:txLinClrLst/>
    <dgm:txFillClrLst/>
    <dgm:txEffectClrLst/>
  </dgm:styleLbl>
  <dgm:styleLbl name="asst4">
    <dgm:fillClrLst>
      <a:schemeClr val="accent4">
        <a:alpha val="50000"/>
      </a:schemeClr>
    </dgm:fillClrLst>
    <dgm:linClrLst meth="repeat">
      <a:schemeClr val="lt1"/>
    </dgm:linClrLst>
    <dgm:effectClrLst/>
    <dgm:txLinClrLst/>
    <dgm:txFillClrLst/>
    <dgm:txEffectClrLst/>
  </dgm:styleLbl>
  <dgm:styleLbl name="parChTrans2D1">
    <dgm:fillClrLst meth="repeat">
      <a:schemeClr val="accent4">
        <a:shade val="80000"/>
      </a:schemeClr>
    </dgm:fillClrLst>
    <dgm:linClrLst meth="repeat">
      <a:schemeClr val="accent4">
        <a:shade val="80000"/>
      </a:schemeClr>
    </dgm:linClrLst>
    <dgm:effectClrLst/>
    <dgm:txLinClrLst/>
    <dgm:txFillClrLst/>
    <dgm:txEffectClrLst/>
  </dgm:styleLbl>
  <dgm:styleLbl name="parChTrans2D2">
    <dgm:fillClrLst meth="repeat">
      <a:schemeClr val="accent4">
        <a:tint val="90000"/>
      </a:schemeClr>
    </dgm:fillClrLst>
    <dgm:linClrLst meth="repeat">
      <a:schemeClr val="accent4">
        <a:tint val="90000"/>
      </a:schemeClr>
    </dgm:linClrLst>
    <dgm:effectClrLst/>
    <dgm:txLinClrLst/>
    <dgm:txFillClrLst/>
    <dgm:txEffectClrLst/>
  </dgm:styleLbl>
  <dgm:styleLbl name="parChTrans2D3">
    <dgm:fillClrLst meth="repeat">
      <a:schemeClr val="accent4">
        <a:tint val="70000"/>
      </a:schemeClr>
    </dgm:fillClrLst>
    <dgm:linClrLst meth="repeat">
      <a:schemeClr val="accent4">
        <a:tint val="70000"/>
      </a:schemeClr>
    </dgm:linClrLst>
    <dgm:effectClrLst/>
    <dgm:txLinClrLst/>
    <dgm:txFillClrLst/>
    <dgm:txEffectClrLst/>
  </dgm:styleLbl>
  <dgm:styleLbl name="parChTrans2D4">
    <dgm:fillClrLst meth="repeat">
      <a:schemeClr val="accent4">
        <a:tint val="50000"/>
      </a:schemeClr>
    </dgm:fillClrLst>
    <dgm:linClrLst meth="repeat">
      <a:schemeClr val="accent4">
        <a:tint val="50000"/>
      </a:schemeClr>
    </dgm:linClrLst>
    <dgm:effectClrLst/>
    <dgm:txLinClrLst/>
    <dgm:txFillClrLst meth="repeat">
      <a:schemeClr val="dk1"/>
    </dgm:txFillClrLst>
    <dgm:txEffectClrLst/>
  </dgm:styleLbl>
  <dgm:styleLbl name="parChTrans1D1">
    <dgm:fillClrLst meth="repeat">
      <a:schemeClr val="accent4">
        <a:shade val="80000"/>
      </a:schemeClr>
    </dgm:fillClrLst>
    <dgm:linClrLst meth="repeat">
      <a:schemeClr val="accent4">
        <a:shade val="80000"/>
      </a:schemeClr>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4">
        <a:tint val="90000"/>
      </a:schemeClr>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4">
        <a:tint val="70000"/>
      </a:schemeClr>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4">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4">
        <a:alpha val="90000"/>
      </a:schemeClr>
      <a:schemeClr val="accent4">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alpha val="90000"/>
      </a:schemeClr>
      <a:schemeClr val="accent4">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alpha val="90000"/>
      </a:schemeClr>
      <a:schemeClr val="accent4">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4">
        <a:alpha val="90000"/>
      </a:schemeClr>
      <a:schemeClr val="accent4">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4">
        <a:alpha val="90000"/>
      </a:schemeClr>
      <a:schemeClr val="accent4">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4">
        <a:alpha val="90000"/>
      </a:schemeClr>
      <a:schemeClr val="accent4">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a:schemeClr val="accent4">
        <a:alpha val="90000"/>
        <a:tint val="40000"/>
      </a:schemeClr>
      <a:schemeClr val="accent4">
        <a:alpha val="5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align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bgAccFollowNode1">
    <dgm:fillClrLst meth="repeat">
      <a:schemeClr val="accent4">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4">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4">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4">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4">
        <a:tint val="50000"/>
      </a:schemeClr>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14CFD9A-B6F4-4E5C-BB03-D4AF4795213E}" type="doc">
      <dgm:prSet loTypeId="urn:microsoft.com/office/officeart/2005/8/layout/vList4" loCatId="picture" qsTypeId="urn:microsoft.com/office/officeart/2005/8/quickstyle/simple3" qsCatId="simple" csTypeId="urn:microsoft.com/office/officeart/2005/8/colors/accent5_2" csCatId="accent5" phldr="1"/>
      <dgm:spPr/>
      <dgm:t>
        <a:bodyPr/>
        <a:lstStyle/>
        <a:p>
          <a:endParaRPr lang="en-GB"/>
        </a:p>
      </dgm:t>
    </dgm:pt>
    <dgm:pt modelId="{D91C0C43-27B0-46BC-8B3B-F135A7A5C4B3}">
      <dgm:prSet phldrT="[Text]"/>
      <dgm:spPr>
        <a:xfrm>
          <a:off x="0" y="0"/>
          <a:ext cx="5756910" cy="881380"/>
        </a:xfrm>
        <a:solidFill>
          <a:schemeClr val="accent1">
            <a:lumMod val="20000"/>
            <a:lumOff val="80000"/>
          </a:schemeClr>
        </a:solidFill>
        <a:ln>
          <a:solidFill>
            <a:schemeClr val="accent1">
              <a:lumMod val="20000"/>
              <a:lumOff val="80000"/>
            </a:schemeClr>
          </a:solidFill>
        </a:ln>
      </dgm:spPr>
      <dgm:t>
        <a:bodyPr/>
        <a:lstStyle/>
        <a:p>
          <a:endParaRPr lang="en-GB">
            <a:solidFill>
              <a:sysClr val="window" lastClr="FFFFFF"/>
            </a:solidFill>
            <a:latin typeface="Calibri" panose="020F0502020204030204"/>
            <a:ea typeface="+mn-ea"/>
            <a:cs typeface="+mn-cs"/>
          </a:endParaRPr>
        </a:p>
      </dgm:t>
    </dgm:pt>
    <dgm:pt modelId="{6EC30BAE-2C94-4101-9D18-AE6FF68A5CB0}">
      <dgm:prSet phldrT="[Text]"/>
      <dgm:spPr>
        <a:xfrm>
          <a:off x="0" y="0"/>
          <a:ext cx="5756910" cy="881380"/>
        </a:xfrm>
        <a:solidFill>
          <a:schemeClr val="accent1">
            <a:lumMod val="20000"/>
            <a:lumOff val="80000"/>
          </a:schemeClr>
        </a:solidFill>
        <a:ln>
          <a:solidFill>
            <a:schemeClr val="accent1">
              <a:lumMod val="20000"/>
              <a:lumOff val="80000"/>
            </a:schemeClr>
          </a:solidFill>
        </a:ln>
      </dgm:spPr>
      <dgm:t>
        <a:bodyPr/>
        <a:lstStyle/>
        <a:p>
          <a:endParaRPr lang="en-GB">
            <a:solidFill>
              <a:sysClr val="window" lastClr="FFFFFF"/>
            </a:solidFill>
            <a:latin typeface="Calibri" panose="020F0502020204030204"/>
            <a:ea typeface="+mn-ea"/>
            <a:cs typeface="+mn-cs"/>
          </a:endParaRPr>
        </a:p>
      </dgm:t>
    </dgm:pt>
    <dgm:pt modelId="{18D71B48-4B39-46DF-BDC8-9F37B782574D}">
      <dgm:prSet phldrT="[Text]"/>
      <dgm:spPr>
        <a:xfrm>
          <a:off x="0" y="0"/>
          <a:ext cx="5756910" cy="881380"/>
        </a:xfrm>
        <a:solidFill>
          <a:schemeClr val="accent1">
            <a:lumMod val="20000"/>
            <a:lumOff val="80000"/>
          </a:schemeClr>
        </a:solidFill>
        <a:ln>
          <a:solidFill>
            <a:schemeClr val="accent1">
              <a:lumMod val="20000"/>
              <a:lumOff val="80000"/>
            </a:schemeClr>
          </a:solidFill>
        </a:ln>
      </dgm:spPr>
      <dgm:t>
        <a:bodyPr/>
        <a:lstStyle/>
        <a:p>
          <a:endParaRPr lang="en-GB">
            <a:solidFill>
              <a:sysClr val="window" lastClr="FFFFFF"/>
            </a:solidFill>
            <a:latin typeface="Calibri" panose="020F0502020204030204"/>
            <a:ea typeface="+mn-ea"/>
            <a:cs typeface="+mn-cs"/>
          </a:endParaRPr>
        </a:p>
      </dgm:t>
    </dgm:pt>
    <dgm:pt modelId="{3BF7CBAA-C6B7-4D02-A2D6-3A2E86F592F8}" type="sibTrans" cxnId="{FC204AFD-8462-4FF2-A698-3D75FE3B32C3}">
      <dgm:prSet/>
      <dgm:spPr/>
      <dgm:t>
        <a:bodyPr/>
        <a:lstStyle/>
        <a:p>
          <a:endParaRPr lang="en-GB"/>
        </a:p>
      </dgm:t>
    </dgm:pt>
    <dgm:pt modelId="{4B92FB9B-8A98-4C7E-8DA4-24DB135C6A40}" type="parTrans" cxnId="{FC204AFD-8462-4FF2-A698-3D75FE3B32C3}">
      <dgm:prSet/>
      <dgm:spPr/>
      <dgm:t>
        <a:bodyPr/>
        <a:lstStyle/>
        <a:p>
          <a:endParaRPr lang="en-GB"/>
        </a:p>
      </dgm:t>
    </dgm:pt>
    <dgm:pt modelId="{C4619D34-8050-4C95-BF02-86516B599865}" type="sibTrans" cxnId="{E6CB9B41-6AA9-4C6B-B931-94CDBF25170A}">
      <dgm:prSet/>
      <dgm:spPr/>
      <dgm:t>
        <a:bodyPr/>
        <a:lstStyle/>
        <a:p>
          <a:endParaRPr lang="en-GB"/>
        </a:p>
      </dgm:t>
    </dgm:pt>
    <dgm:pt modelId="{6571E426-0E3D-4CAF-8C94-86F3B76DA7F4}" type="parTrans" cxnId="{E6CB9B41-6AA9-4C6B-B931-94CDBF25170A}">
      <dgm:prSet/>
      <dgm:spPr/>
      <dgm:t>
        <a:bodyPr/>
        <a:lstStyle/>
        <a:p>
          <a:endParaRPr lang="en-GB"/>
        </a:p>
      </dgm:t>
    </dgm:pt>
    <dgm:pt modelId="{ABF6EDAE-C6AD-42C2-BA37-17C7FE171CE8}" type="sibTrans" cxnId="{211B26EF-73DA-410B-9587-553CEC89F71C}">
      <dgm:prSet/>
      <dgm:spPr/>
      <dgm:t>
        <a:bodyPr/>
        <a:lstStyle/>
        <a:p>
          <a:endParaRPr lang="en-GB"/>
        </a:p>
      </dgm:t>
    </dgm:pt>
    <dgm:pt modelId="{D684D99C-085A-43E6-91E9-06A1EF8BB389}" type="parTrans" cxnId="{211B26EF-73DA-410B-9587-553CEC89F71C}">
      <dgm:prSet/>
      <dgm:spPr/>
      <dgm:t>
        <a:bodyPr/>
        <a:lstStyle/>
        <a:p>
          <a:endParaRPr lang="en-GB"/>
        </a:p>
      </dgm:t>
    </dgm:pt>
    <dgm:pt modelId="{7DD8815F-910D-4A64-A9ED-A036E8A1AF4C}" type="pres">
      <dgm:prSet presAssocID="{D14CFD9A-B6F4-4E5C-BB03-D4AF4795213E}" presName="linear" presStyleCnt="0">
        <dgm:presLayoutVars>
          <dgm:dir/>
          <dgm:resizeHandles val="exact"/>
        </dgm:presLayoutVars>
      </dgm:prSet>
      <dgm:spPr/>
      <dgm:t>
        <a:bodyPr/>
        <a:lstStyle/>
        <a:p>
          <a:endParaRPr lang="en-GB"/>
        </a:p>
      </dgm:t>
    </dgm:pt>
    <dgm:pt modelId="{97A81786-8215-4745-81E3-31F418AFD96C}" type="pres">
      <dgm:prSet presAssocID="{18D71B48-4B39-46DF-BDC8-9F37B782574D}" presName="comp" presStyleCnt="0"/>
      <dgm:spPr/>
      <dgm:t>
        <a:bodyPr/>
        <a:lstStyle/>
        <a:p>
          <a:endParaRPr lang="en-GB"/>
        </a:p>
      </dgm:t>
    </dgm:pt>
    <dgm:pt modelId="{51A4B47B-3153-442A-A5B6-2749A607058F}" type="pres">
      <dgm:prSet presAssocID="{18D71B48-4B39-46DF-BDC8-9F37B782574D}" presName="box" presStyleLbl="node1" presStyleIdx="0" presStyleCnt="1" custLinFactNeighborX="-74" custLinFactNeighborY="-1164"/>
      <dgm:spPr>
        <a:prstGeom prst="roundRect">
          <a:avLst>
            <a:gd name="adj" fmla="val 10000"/>
          </a:avLst>
        </a:prstGeom>
      </dgm:spPr>
      <dgm:t>
        <a:bodyPr/>
        <a:lstStyle/>
        <a:p>
          <a:endParaRPr lang="en-GB"/>
        </a:p>
      </dgm:t>
    </dgm:pt>
    <dgm:pt modelId="{F41DFD0A-300B-4DD7-9382-7E308AE05550}" type="pres">
      <dgm:prSet presAssocID="{18D71B48-4B39-46DF-BDC8-9F37B782574D}" presName="img" presStyleLbl="fgImgPlace1" presStyleIdx="0" presStyleCnt="1" custLinFactNeighborX="-1890" custLinFactNeighborY="1558"/>
      <dgm:spPr>
        <a:xfrm>
          <a:off x="66376" y="99123"/>
          <a:ext cx="1151382" cy="705104"/>
        </a:xfrm>
        <a:prstGeom prst="roundRect">
          <a:avLst>
            <a:gd name="adj" fmla="val 10000"/>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l="-9000" r="-9000"/>
          </a:stretch>
        </a:blipFill>
      </dgm:spPr>
      <dgm:t>
        <a:bodyPr/>
        <a:lstStyle/>
        <a:p>
          <a:endParaRPr lang="en-GB"/>
        </a:p>
      </dgm:t>
    </dgm:pt>
    <dgm:pt modelId="{1C7B07FA-7902-44CF-8DBC-5983A85B9109}" type="pres">
      <dgm:prSet presAssocID="{18D71B48-4B39-46DF-BDC8-9F37B782574D}" presName="text" presStyleLbl="node1" presStyleIdx="0" presStyleCnt="1">
        <dgm:presLayoutVars>
          <dgm:bulletEnabled val="1"/>
        </dgm:presLayoutVars>
      </dgm:prSet>
      <dgm:spPr/>
      <dgm:t>
        <a:bodyPr/>
        <a:lstStyle/>
        <a:p>
          <a:endParaRPr lang="en-GB"/>
        </a:p>
      </dgm:t>
    </dgm:pt>
  </dgm:ptLst>
  <dgm:cxnLst>
    <dgm:cxn modelId="{A08AFD26-116E-456B-99CA-620682113477}" type="presOf" srcId="{18D71B48-4B39-46DF-BDC8-9F37B782574D}" destId="{1C7B07FA-7902-44CF-8DBC-5983A85B9109}" srcOrd="1" destOrd="0" presId="urn:microsoft.com/office/officeart/2005/8/layout/vList4"/>
    <dgm:cxn modelId="{B4A02BD6-40E9-4EF8-A260-1EAE5D5A17EA}" type="presOf" srcId="{6EC30BAE-2C94-4101-9D18-AE6FF68A5CB0}" destId="{51A4B47B-3153-442A-A5B6-2749A607058F}" srcOrd="0" destOrd="1" presId="urn:microsoft.com/office/officeart/2005/8/layout/vList4"/>
    <dgm:cxn modelId="{E6CB9B41-6AA9-4C6B-B931-94CDBF25170A}" srcId="{18D71B48-4B39-46DF-BDC8-9F37B782574D}" destId="{D91C0C43-27B0-46BC-8B3B-F135A7A5C4B3}" srcOrd="1" destOrd="0" parTransId="{6571E426-0E3D-4CAF-8C94-86F3B76DA7F4}" sibTransId="{C4619D34-8050-4C95-BF02-86516B599865}"/>
    <dgm:cxn modelId="{FC204AFD-8462-4FF2-A698-3D75FE3B32C3}" srcId="{D14CFD9A-B6F4-4E5C-BB03-D4AF4795213E}" destId="{18D71B48-4B39-46DF-BDC8-9F37B782574D}" srcOrd="0" destOrd="0" parTransId="{4B92FB9B-8A98-4C7E-8DA4-24DB135C6A40}" sibTransId="{3BF7CBAA-C6B7-4D02-A2D6-3A2E86F592F8}"/>
    <dgm:cxn modelId="{B879AABC-7952-4E46-BBBB-E2D5DDD8F691}" type="presOf" srcId="{18D71B48-4B39-46DF-BDC8-9F37B782574D}" destId="{51A4B47B-3153-442A-A5B6-2749A607058F}" srcOrd="0" destOrd="0" presId="urn:microsoft.com/office/officeart/2005/8/layout/vList4"/>
    <dgm:cxn modelId="{A89CF665-F201-494F-8479-F28AADDE9F7C}" type="presOf" srcId="{D91C0C43-27B0-46BC-8B3B-F135A7A5C4B3}" destId="{1C7B07FA-7902-44CF-8DBC-5983A85B9109}" srcOrd="1" destOrd="2" presId="urn:microsoft.com/office/officeart/2005/8/layout/vList4"/>
    <dgm:cxn modelId="{489D99E4-DBBD-4574-9501-6F2FB0AC7A91}" type="presOf" srcId="{D14CFD9A-B6F4-4E5C-BB03-D4AF4795213E}" destId="{7DD8815F-910D-4A64-A9ED-A036E8A1AF4C}" srcOrd="0" destOrd="0" presId="urn:microsoft.com/office/officeart/2005/8/layout/vList4"/>
    <dgm:cxn modelId="{C113A034-BD0C-4697-8E07-817BD2DDF8DE}" type="presOf" srcId="{6EC30BAE-2C94-4101-9D18-AE6FF68A5CB0}" destId="{1C7B07FA-7902-44CF-8DBC-5983A85B9109}" srcOrd="1" destOrd="1" presId="urn:microsoft.com/office/officeart/2005/8/layout/vList4"/>
    <dgm:cxn modelId="{211B26EF-73DA-410B-9587-553CEC89F71C}" srcId="{18D71B48-4B39-46DF-BDC8-9F37B782574D}" destId="{6EC30BAE-2C94-4101-9D18-AE6FF68A5CB0}" srcOrd="0" destOrd="0" parTransId="{D684D99C-085A-43E6-91E9-06A1EF8BB389}" sibTransId="{ABF6EDAE-C6AD-42C2-BA37-17C7FE171CE8}"/>
    <dgm:cxn modelId="{CBF41E8A-1839-47E8-B8F8-6D3BC52D8829}" type="presOf" srcId="{D91C0C43-27B0-46BC-8B3B-F135A7A5C4B3}" destId="{51A4B47B-3153-442A-A5B6-2749A607058F}" srcOrd="0" destOrd="2" presId="urn:microsoft.com/office/officeart/2005/8/layout/vList4"/>
    <dgm:cxn modelId="{E9E1D8EB-5603-4088-A6DD-F849867879DA}" type="presParOf" srcId="{7DD8815F-910D-4A64-A9ED-A036E8A1AF4C}" destId="{97A81786-8215-4745-81E3-31F418AFD96C}" srcOrd="0" destOrd="0" presId="urn:microsoft.com/office/officeart/2005/8/layout/vList4"/>
    <dgm:cxn modelId="{A89909A5-49AE-4C86-B697-83C1E3DB0ED8}" type="presParOf" srcId="{97A81786-8215-4745-81E3-31F418AFD96C}" destId="{51A4B47B-3153-442A-A5B6-2749A607058F}" srcOrd="0" destOrd="0" presId="urn:microsoft.com/office/officeart/2005/8/layout/vList4"/>
    <dgm:cxn modelId="{E48E1FCC-AD50-4CC9-93EE-B609DC0F5472}" type="presParOf" srcId="{97A81786-8215-4745-81E3-31F418AFD96C}" destId="{F41DFD0A-300B-4DD7-9382-7E308AE05550}" srcOrd="1" destOrd="0" presId="urn:microsoft.com/office/officeart/2005/8/layout/vList4"/>
    <dgm:cxn modelId="{2F3CFC64-41FD-41DE-922E-45E8DE04B70B}" type="presParOf" srcId="{97A81786-8215-4745-81E3-31F418AFD96C}" destId="{1C7B07FA-7902-44CF-8DBC-5983A85B9109}" srcOrd="2" destOrd="0" presId="urn:microsoft.com/office/officeart/2005/8/layout/vList4"/>
  </dgm:cxnLst>
  <dgm:bg/>
  <dgm:whole/>
  <dgm:extLst>
    <a:ext uri="http://schemas.microsoft.com/office/drawing/2008/diagram">
      <dsp:dataModelExt xmlns:dsp="http://schemas.microsoft.com/office/drawing/2008/diagram" relId="rId7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14CFD9A-B6F4-4E5C-BB03-D4AF4795213E}" type="doc">
      <dgm:prSet loTypeId="urn:microsoft.com/office/officeart/2005/8/layout/vList4" loCatId="picture" qsTypeId="urn:microsoft.com/office/officeart/2005/8/quickstyle/simple1" qsCatId="simple" csTypeId="urn:microsoft.com/office/officeart/2005/8/colors/accent6_5" csCatId="accent6" phldr="1"/>
      <dgm:spPr/>
      <dgm:t>
        <a:bodyPr/>
        <a:lstStyle/>
        <a:p>
          <a:endParaRPr lang="en-GB"/>
        </a:p>
      </dgm:t>
    </dgm:pt>
    <dgm:pt modelId="{D91C0C43-27B0-46BC-8B3B-F135A7A5C4B3}">
      <dgm:prSet phldrT="[Text]">
        <dgm:style>
          <a:lnRef idx="0">
            <a:schemeClr val="accent3"/>
          </a:lnRef>
          <a:fillRef idx="3">
            <a:schemeClr val="accent3"/>
          </a:fillRef>
          <a:effectRef idx="3">
            <a:schemeClr val="accent3"/>
          </a:effectRef>
          <a:fontRef idx="minor">
            <a:schemeClr val="lt1"/>
          </a:fontRef>
        </dgm:style>
      </dgm:prSet>
      <dgm:spPr>
        <a:xfrm>
          <a:off x="0" y="0"/>
          <a:ext cx="5895975" cy="1057275"/>
        </a:xfrm>
      </dgm:spPr>
      <dgm:t>
        <a:bodyPr/>
        <a:lstStyle/>
        <a:p>
          <a:endParaRPr lang="en-GB">
            <a:solidFill>
              <a:sysClr val="window" lastClr="FFFFFF"/>
            </a:solidFill>
            <a:latin typeface="Calibri" panose="020F0502020204030204"/>
            <a:ea typeface="+mn-ea"/>
            <a:cs typeface="+mn-cs"/>
          </a:endParaRPr>
        </a:p>
      </dgm:t>
    </dgm:pt>
    <dgm:pt modelId="{6EC30BAE-2C94-4101-9D18-AE6FF68A5CB0}">
      <dgm:prSet phldrT="[Text]">
        <dgm:style>
          <a:lnRef idx="0">
            <a:schemeClr val="accent3"/>
          </a:lnRef>
          <a:fillRef idx="3">
            <a:schemeClr val="accent3"/>
          </a:fillRef>
          <a:effectRef idx="3">
            <a:schemeClr val="accent3"/>
          </a:effectRef>
          <a:fontRef idx="minor">
            <a:schemeClr val="lt1"/>
          </a:fontRef>
        </dgm:style>
      </dgm:prSet>
      <dgm:spPr>
        <a:xfrm>
          <a:off x="0" y="0"/>
          <a:ext cx="5895975" cy="1057275"/>
        </a:xfrm>
      </dgm:spPr>
      <dgm:t>
        <a:bodyPr/>
        <a:lstStyle/>
        <a:p>
          <a:endParaRPr lang="en-GB">
            <a:solidFill>
              <a:sysClr val="window" lastClr="FFFFFF"/>
            </a:solidFill>
            <a:latin typeface="Calibri" panose="020F0502020204030204"/>
            <a:ea typeface="+mn-ea"/>
            <a:cs typeface="+mn-cs"/>
          </a:endParaRPr>
        </a:p>
      </dgm:t>
    </dgm:pt>
    <dgm:pt modelId="{18D71B48-4B39-46DF-BDC8-9F37B782574D}">
      <dgm:prSet phldrT="[Text]">
        <dgm:style>
          <a:lnRef idx="0">
            <a:schemeClr val="accent3"/>
          </a:lnRef>
          <a:fillRef idx="3">
            <a:schemeClr val="accent3"/>
          </a:fillRef>
          <a:effectRef idx="3">
            <a:schemeClr val="accent3"/>
          </a:effectRef>
          <a:fontRef idx="minor">
            <a:schemeClr val="lt1"/>
          </a:fontRef>
        </dgm:style>
      </dgm:prSet>
      <dgm:spPr>
        <a:xfrm>
          <a:off x="0" y="0"/>
          <a:ext cx="5895975" cy="1057275"/>
        </a:xfrm>
      </dgm:spPr>
      <dgm:t>
        <a:bodyPr/>
        <a:lstStyle/>
        <a:p>
          <a:endParaRPr lang="en-GB">
            <a:solidFill>
              <a:sysClr val="window" lastClr="FFFFFF"/>
            </a:solidFill>
            <a:latin typeface="Calibri" panose="020F0502020204030204"/>
            <a:ea typeface="+mn-ea"/>
            <a:cs typeface="+mn-cs"/>
          </a:endParaRPr>
        </a:p>
      </dgm:t>
    </dgm:pt>
    <dgm:pt modelId="{3BF7CBAA-C6B7-4D02-A2D6-3A2E86F592F8}" type="sibTrans" cxnId="{FC204AFD-8462-4FF2-A698-3D75FE3B32C3}">
      <dgm:prSet/>
      <dgm:spPr/>
      <dgm:t>
        <a:bodyPr/>
        <a:lstStyle/>
        <a:p>
          <a:endParaRPr lang="en-GB"/>
        </a:p>
      </dgm:t>
    </dgm:pt>
    <dgm:pt modelId="{4B92FB9B-8A98-4C7E-8DA4-24DB135C6A40}" type="parTrans" cxnId="{FC204AFD-8462-4FF2-A698-3D75FE3B32C3}">
      <dgm:prSet/>
      <dgm:spPr/>
      <dgm:t>
        <a:bodyPr/>
        <a:lstStyle/>
        <a:p>
          <a:endParaRPr lang="en-GB"/>
        </a:p>
      </dgm:t>
    </dgm:pt>
    <dgm:pt modelId="{C4619D34-8050-4C95-BF02-86516B599865}" type="sibTrans" cxnId="{E6CB9B41-6AA9-4C6B-B931-94CDBF25170A}">
      <dgm:prSet/>
      <dgm:spPr/>
      <dgm:t>
        <a:bodyPr/>
        <a:lstStyle/>
        <a:p>
          <a:endParaRPr lang="en-GB"/>
        </a:p>
      </dgm:t>
    </dgm:pt>
    <dgm:pt modelId="{6571E426-0E3D-4CAF-8C94-86F3B76DA7F4}" type="parTrans" cxnId="{E6CB9B41-6AA9-4C6B-B931-94CDBF25170A}">
      <dgm:prSet/>
      <dgm:spPr/>
      <dgm:t>
        <a:bodyPr/>
        <a:lstStyle/>
        <a:p>
          <a:endParaRPr lang="en-GB"/>
        </a:p>
      </dgm:t>
    </dgm:pt>
    <dgm:pt modelId="{ABF6EDAE-C6AD-42C2-BA37-17C7FE171CE8}" type="sibTrans" cxnId="{211B26EF-73DA-410B-9587-553CEC89F71C}">
      <dgm:prSet/>
      <dgm:spPr/>
      <dgm:t>
        <a:bodyPr/>
        <a:lstStyle/>
        <a:p>
          <a:endParaRPr lang="en-GB"/>
        </a:p>
      </dgm:t>
    </dgm:pt>
    <dgm:pt modelId="{D684D99C-085A-43E6-91E9-06A1EF8BB389}" type="parTrans" cxnId="{211B26EF-73DA-410B-9587-553CEC89F71C}">
      <dgm:prSet/>
      <dgm:spPr/>
      <dgm:t>
        <a:bodyPr/>
        <a:lstStyle/>
        <a:p>
          <a:endParaRPr lang="en-GB"/>
        </a:p>
      </dgm:t>
    </dgm:pt>
    <dgm:pt modelId="{7DD8815F-910D-4A64-A9ED-A036E8A1AF4C}" type="pres">
      <dgm:prSet presAssocID="{D14CFD9A-B6F4-4E5C-BB03-D4AF4795213E}" presName="linear" presStyleCnt="0">
        <dgm:presLayoutVars>
          <dgm:dir/>
          <dgm:resizeHandles val="exact"/>
        </dgm:presLayoutVars>
      </dgm:prSet>
      <dgm:spPr/>
      <dgm:t>
        <a:bodyPr/>
        <a:lstStyle/>
        <a:p>
          <a:endParaRPr lang="en-GB"/>
        </a:p>
      </dgm:t>
    </dgm:pt>
    <dgm:pt modelId="{97A81786-8215-4745-81E3-31F418AFD96C}" type="pres">
      <dgm:prSet presAssocID="{18D71B48-4B39-46DF-BDC8-9F37B782574D}" presName="comp" presStyleCnt="0"/>
      <dgm:spPr/>
      <dgm:t>
        <a:bodyPr/>
        <a:lstStyle/>
        <a:p>
          <a:endParaRPr lang="en-GB"/>
        </a:p>
      </dgm:t>
    </dgm:pt>
    <dgm:pt modelId="{51A4B47B-3153-442A-A5B6-2749A607058F}" type="pres">
      <dgm:prSet presAssocID="{18D71B48-4B39-46DF-BDC8-9F37B782574D}" presName="box" presStyleLbl="node1" presStyleIdx="0" presStyleCnt="1" custLinFactY="-231481" custLinFactNeighborX="7170" custLinFactNeighborY="-300000"/>
      <dgm:spPr>
        <a:prstGeom prst="roundRect">
          <a:avLst>
            <a:gd name="adj" fmla="val 10000"/>
          </a:avLst>
        </a:prstGeom>
      </dgm:spPr>
      <dgm:t>
        <a:bodyPr/>
        <a:lstStyle/>
        <a:p>
          <a:endParaRPr lang="en-GB"/>
        </a:p>
      </dgm:t>
    </dgm:pt>
    <dgm:pt modelId="{F41DFD0A-300B-4DD7-9382-7E308AE05550}" type="pres">
      <dgm:prSet presAssocID="{18D71B48-4B39-46DF-BDC8-9F37B782574D}" presName="img" presStyleLbl="fgImgPlace1" presStyleIdx="0" presStyleCnt="1" custLinFactNeighborX="-1890" custLinFactNeighborY="1558"/>
      <dgm:spPr>
        <a:xfrm>
          <a:off x="105727" y="77409"/>
          <a:ext cx="1179195" cy="845820"/>
        </a:xfrm>
        <a:prstGeom prst="roundRect">
          <a:avLst>
            <a:gd name="adj" fmla="val 10000"/>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l="-9000" r="-9000"/>
          </a:stretch>
        </a:blipFill>
      </dgm:spPr>
      <dgm:t>
        <a:bodyPr/>
        <a:lstStyle/>
        <a:p>
          <a:endParaRPr lang="en-GB"/>
        </a:p>
      </dgm:t>
    </dgm:pt>
    <dgm:pt modelId="{1C7B07FA-7902-44CF-8DBC-5983A85B9109}" type="pres">
      <dgm:prSet presAssocID="{18D71B48-4B39-46DF-BDC8-9F37B782574D}" presName="text" presStyleLbl="node1" presStyleIdx="0" presStyleCnt="1">
        <dgm:presLayoutVars>
          <dgm:bulletEnabled val="1"/>
        </dgm:presLayoutVars>
      </dgm:prSet>
      <dgm:spPr/>
      <dgm:t>
        <a:bodyPr/>
        <a:lstStyle/>
        <a:p>
          <a:endParaRPr lang="en-GB"/>
        </a:p>
      </dgm:t>
    </dgm:pt>
  </dgm:ptLst>
  <dgm:cxnLst>
    <dgm:cxn modelId="{FAEAF1BB-2DFB-4F92-8968-7879285CD4D1}" type="presOf" srcId="{D91C0C43-27B0-46BC-8B3B-F135A7A5C4B3}" destId="{51A4B47B-3153-442A-A5B6-2749A607058F}" srcOrd="0" destOrd="2" presId="urn:microsoft.com/office/officeart/2005/8/layout/vList4"/>
    <dgm:cxn modelId="{0F5EE062-CF35-43AB-86CE-ECF02B5D1E61}" type="presOf" srcId="{18D71B48-4B39-46DF-BDC8-9F37B782574D}" destId="{1C7B07FA-7902-44CF-8DBC-5983A85B9109}" srcOrd="1" destOrd="0" presId="urn:microsoft.com/office/officeart/2005/8/layout/vList4"/>
    <dgm:cxn modelId="{E6CB9B41-6AA9-4C6B-B931-94CDBF25170A}" srcId="{18D71B48-4B39-46DF-BDC8-9F37B782574D}" destId="{D91C0C43-27B0-46BC-8B3B-F135A7A5C4B3}" srcOrd="1" destOrd="0" parTransId="{6571E426-0E3D-4CAF-8C94-86F3B76DA7F4}" sibTransId="{C4619D34-8050-4C95-BF02-86516B599865}"/>
    <dgm:cxn modelId="{7E1CCE4F-DF0B-4B92-B9BE-BA07B8185D5B}" type="presOf" srcId="{D91C0C43-27B0-46BC-8B3B-F135A7A5C4B3}" destId="{1C7B07FA-7902-44CF-8DBC-5983A85B9109}" srcOrd="1" destOrd="2" presId="urn:microsoft.com/office/officeart/2005/8/layout/vList4"/>
    <dgm:cxn modelId="{FC204AFD-8462-4FF2-A698-3D75FE3B32C3}" srcId="{D14CFD9A-B6F4-4E5C-BB03-D4AF4795213E}" destId="{18D71B48-4B39-46DF-BDC8-9F37B782574D}" srcOrd="0" destOrd="0" parTransId="{4B92FB9B-8A98-4C7E-8DA4-24DB135C6A40}" sibTransId="{3BF7CBAA-C6B7-4D02-A2D6-3A2E86F592F8}"/>
    <dgm:cxn modelId="{B75CFE35-9D71-4012-B9EE-EEA00A6C28E4}" type="presOf" srcId="{6EC30BAE-2C94-4101-9D18-AE6FF68A5CB0}" destId="{1C7B07FA-7902-44CF-8DBC-5983A85B9109}" srcOrd="1" destOrd="1" presId="urn:microsoft.com/office/officeart/2005/8/layout/vList4"/>
    <dgm:cxn modelId="{211B26EF-73DA-410B-9587-553CEC89F71C}" srcId="{18D71B48-4B39-46DF-BDC8-9F37B782574D}" destId="{6EC30BAE-2C94-4101-9D18-AE6FF68A5CB0}" srcOrd="0" destOrd="0" parTransId="{D684D99C-085A-43E6-91E9-06A1EF8BB389}" sibTransId="{ABF6EDAE-C6AD-42C2-BA37-17C7FE171CE8}"/>
    <dgm:cxn modelId="{F2082837-6A2C-4534-B4D5-4958974A9B02}" type="presOf" srcId="{6EC30BAE-2C94-4101-9D18-AE6FF68A5CB0}" destId="{51A4B47B-3153-442A-A5B6-2749A607058F}" srcOrd="0" destOrd="1" presId="urn:microsoft.com/office/officeart/2005/8/layout/vList4"/>
    <dgm:cxn modelId="{D88E6FBF-F74E-48F1-90BA-F195DF491552}" type="presOf" srcId="{D14CFD9A-B6F4-4E5C-BB03-D4AF4795213E}" destId="{7DD8815F-910D-4A64-A9ED-A036E8A1AF4C}" srcOrd="0" destOrd="0" presId="urn:microsoft.com/office/officeart/2005/8/layout/vList4"/>
    <dgm:cxn modelId="{724AAA8A-34C4-4BAF-B009-5F5E93033933}" type="presOf" srcId="{18D71B48-4B39-46DF-BDC8-9F37B782574D}" destId="{51A4B47B-3153-442A-A5B6-2749A607058F}" srcOrd="0" destOrd="0" presId="urn:microsoft.com/office/officeart/2005/8/layout/vList4"/>
    <dgm:cxn modelId="{CB103987-3CCB-4527-890B-F6174F85D9F1}" type="presParOf" srcId="{7DD8815F-910D-4A64-A9ED-A036E8A1AF4C}" destId="{97A81786-8215-4745-81E3-31F418AFD96C}" srcOrd="0" destOrd="0" presId="urn:microsoft.com/office/officeart/2005/8/layout/vList4"/>
    <dgm:cxn modelId="{F89C3B58-A254-4060-8FC3-F32AB41160C8}" type="presParOf" srcId="{97A81786-8215-4745-81E3-31F418AFD96C}" destId="{51A4B47B-3153-442A-A5B6-2749A607058F}" srcOrd="0" destOrd="0" presId="urn:microsoft.com/office/officeart/2005/8/layout/vList4"/>
    <dgm:cxn modelId="{A9276B50-9A78-49B0-91F5-C41E25D7ADDF}" type="presParOf" srcId="{97A81786-8215-4745-81E3-31F418AFD96C}" destId="{F41DFD0A-300B-4DD7-9382-7E308AE05550}" srcOrd="1" destOrd="0" presId="urn:microsoft.com/office/officeart/2005/8/layout/vList4"/>
    <dgm:cxn modelId="{E1B6EEF9-B239-498F-9B77-4373F192D9DB}" type="presParOf" srcId="{97A81786-8215-4745-81E3-31F418AFD96C}" destId="{1C7B07FA-7902-44CF-8DBC-5983A85B9109}" srcOrd="2" destOrd="0" presId="urn:microsoft.com/office/officeart/2005/8/layout/vList4"/>
  </dgm:cxnLst>
  <dgm:bg/>
  <dgm:whole/>
  <dgm:extLst>
    <a:ext uri="http://schemas.microsoft.com/office/drawing/2008/diagram">
      <dsp:dataModelExt xmlns:dsp="http://schemas.microsoft.com/office/drawing/2008/diagram" relId="rId8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D14CFD9A-B6F4-4E5C-BB03-D4AF4795213E}" type="doc">
      <dgm:prSet loTypeId="urn:microsoft.com/office/officeart/2005/8/layout/vList4" loCatId="picture" qsTypeId="urn:microsoft.com/office/officeart/2005/8/quickstyle/simple1" qsCatId="simple" csTypeId="urn:microsoft.com/office/officeart/2005/8/colors/accent2_5" csCatId="accent2" phldr="1"/>
      <dgm:spPr/>
      <dgm:t>
        <a:bodyPr/>
        <a:lstStyle/>
        <a:p>
          <a:endParaRPr lang="en-GB"/>
        </a:p>
      </dgm:t>
    </dgm:pt>
    <dgm:pt modelId="{18D71B48-4B39-46DF-BDC8-9F37B782574D}">
      <dgm:prSet phldrT="[Text]">
        <dgm:style>
          <a:lnRef idx="0">
            <a:schemeClr val="accent6"/>
          </a:lnRef>
          <a:fillRef idx="3">
            <a:schemeClr val="accent6"/>
          </a:fillRef>
          <a:effectRef idx="3">
            <a:schemeClr val="accent6"/>
          </a:effectRef>
          <a:fontRef idx="minor">
            <a:schemeClr val="lt1"/>
          </a:fontRef>
        </dgm:style>
      </dgm:prSet>
      <dgm:spPr>
        <a:xfrm>
          <a:off x="19043" y="0"/>
          <a:ext cx="5857887" cy="1038222"/>
        </a:xfrm>
      </dgm:spPr>
      <dgm:t>
        <a:bodyPr/>
        <a:lstStyle/>
        <a:p>
          <a:endParaRPr lang="en-GB">
            <a:solidFill>
              <a:sysClr val="window" lastClr="FFFFFF"/>
            </a:solidFill>
            <a:latin typeface="Calibri" panose="020F0502020204030204"/>
            <a:ea typeface="+mn-ea"/>
            <a:cs typeface="+mn-cs"/>
          </a:endParaRPr>
        </a:p>
      </dgm:t>
    </dgm:pt>
    <dgm:pt modelId="{4B92FB9B-8A98-4C7E-8DA4-24DB135C6A40}" type="parTrans" cxnId="{FC204AFD-8462-4FF2-A698-3D75FE3B32C3}">
      <dgm:prSet/>
      <dgm:spPr/>
      <dgm:t>
        <a:bodyPr/>
        <a:lstStyle/>
        <a:p>
          <a:endParaRPr lang="en-GB"/>
        </a:p>
      </dgm:t>
    </dgm:pt>
    <dgm:pt modelId="{3BF7CBAA-C6B7-4D02-A2D6-3A2E86F592F8}" type="sibTrans" cxnId="{FC204AFD-8462-4FF2-A698-3D75FE3B32C3}">
      <dgm:prSet/>
      <dgm:spPr/>
      <dgm:t>
        <a:bodyPr/>
        <a:lstStyle/>
        <a:p>
          <a:endParaRPr lang="en-GB"/>
        </a:p>
      </dgm:t>
    </dgm:pt>
    <dgm:pt modelId="{6EC30BAE-2C94-4101-9D18-AE6FF68A5CB0}">
      <dgm:prSet phldrT="[Text]">
        <dgm:style>
          <a:lnRef idx="0">
            <a:schemeClr val="accent6"/>
          </a:lnRef>
          <a:fillRef idx="3">
            <a:schemeClr val="accent6"/>
          </a:fillRef>
          <a:effectRef idx="3">
            <a:schemeClr val="accent6"/>
          </a:effectRef>
          <a:fontRef idx="minor">
            <a:schemeClr val="lt1"/>
          </a:fontRef>
        </dgm:style>
      </dgm:prSet>
      <dgm:spPr>
        <a:xfrm>
          <a:off x="19043" y="0"/>
          <a:ext cx="5857887" cy="1038222"/>
        </a:xfrm>
      </dgm:spPr>
      <dgm:t>
        <a:bodyPr/>
        <a:lstStyle/>
        <a:p>
          <a:endParaRPr lang="en-GB">
            <a:solidFill>
              <a:sysClr val="window" lastClr="FFFFFF"/>
            </a:solidFill>
            <a:latin typeface="Calibri" panose="020F0502020204030204"/>
            <a:ea typeface="+mn-ea"/>
            <a:cs typeface="+mn-cs"/>
          </a:endParaRPr>
        </a:p>
      </dgm:t>
    </dgm:pt>
    <dgm:pt modelId="{D684D99C-085A-43E6-91E9-06A1EF8BB389}" type="parTrans" cxnId="{211B26EF-73DA-410B-9587-553CEC89F71C}">
      <dgm:prSet/>
      <dgm:spPr/>
      <dgm:t>
        <a:bodyPr/>
        <a:lstStyle/>
        <a:p>
          <a:endParaRPr lang="en-GB"/>
        </a:p>
      </dgm:t>
    </dgm:pt>
    <dgm:pt modelId="{ABF6EDAE-C6AD-42C2-BA37-17C7FE171CE8}" type="sibTrans" cxnId="{211B26EF-73DA-410B-9587-553CEC89F71C}">
      <dgm:prSet/>
      <dgm:spPr/>
      <dgm:t>
        <a:bodyPr/>
        <a:lstStyle/>
        <a:p>
          <a:endParaRPr lang="en-GB"/>
        </a:p>
      </dgm:t>
    </dgm:pt>
    <dgm:pt modelId="{D91C0C43-27B0-46BC-8B3B-F135A7A5C4B3}">
      <dgm:prSet phldrT="[Text]">
        <dgm:style>
          <a:lnRef idx="0">
            <a:schemeClr val="accent6"/>
          </a:lnRef>
          <a:fillRef idx="3">
            <a:schemeClr val="accent6"/>
          </a:fillRef>
          <a:effectRef idx="3">
            <a:schemeClr val="accent6"/>
          </a:effectRef>
          <a:fontRef idx="minor">
            <a:schemeClr val="lt1"/>
          </a:fontRef>
        </dgm:style>
      </dgm:prSet>
      <dgm:spPr>
        <a:xfrm>
          <a:off x="19043" y="0"/>
          <a:ext cx="5857887" cy="1038222"/>
        </a:xfrm>
      </dgm:spPr>
      <dgm:t>
        <a:bodyPr/>
        <a:lstStyle/>
        <a:p>
          <a:endParaRPr lang="en-GB">
            <a:solidFill>
              <a:sysClr val="window" lastClr="FFFFFF"/>
            </a:solidFill>
            <a:latin typeface="Calibri" panose="020F0502020204030204"/>
            <a:ea typeface="+mn-ea"/>
            <a:cs typeface="+mn-cs"/>
          </a:endParaRPr>
        </a:p>
      </dgm:t>
    </dgm:pt>
    <dgm:pt modelId="{6571E426-0E3D-4CAF-8C94-86F3B76DA7F4}" type="parTrans" cxnId="{E6CB9B41-6AA9-4C6B-B931-94CDBF25170A}">
      <dgm:prSet/>
      <dgm:spPr/>
      <dgm:t>
        <a:bodyPr/>
        <a:lstStyle/>
        <a:p>
          <a:endParaRPr lang="en-GB"/>
        </a:p>
      </dgm:t>
    </dgm:pt>
    <dgm:pt modelId="{C4619D34-8050-4C95-BF02-86516B599865}" type="sibTrans" cxnId="{E6CB9B41-6AA9-4C6B-B931-94CDBF25170A}">
      <dgm:prSet/>
      <dgm:spPr/>
      <dgm:t>
        <a:bodyPr/>
        <a:lstStyle/>
        <a:p>
          <a:endParaRPr lang="en-GB"/>
        </a:p>
      </dgm:t>
    </dgm:pt>
    <dgm:pt modelId="{7DD8815F-910D-4A64-A9ED-A036E8A1AF4C}" type="pres">
      <dgm:prSet presAssocID="{D14CFD9A-B6F4-4E5C-BB03-D4AF4795213E}" presName="linear" presStyleCnt="0">
        <dgm:presLayoutVars>
          <dgm:dir/>
          <dgm:resizeHandles val="exact"/>
        </dgm:presLayoutVars>
      </dgm:prSet>
      <dgm:spPr/>
      <dgm:t>
        <a:bodyPr/>
        <a:lstStyle/>
        <a:p>
          <a:endParaRPr lang="en-GB"/>
        </a:p>
      </dgm:t>
    </dgm:pt>
    <dgm:pt modelId="{97A81786-8215-4745-81E3-31F418AFD96C}" type="pres">
      <dgm:prSet presAssocID="{18D71B48-4B39-46DF-BDC8-9F37B782574D}" presName="comp" presStyleCnt="0"/>
      <dgm:spPr/>
      <dgm:t>
        <a:bodyPr/>
        <a:lstStyle/>
        <a:p>
          <a:endParaRPr lang="en-GB"/>
        </a:p>
      </dgm:t>
    </dgm:pt>
    <dgm:pt modelId="{51A4B47B-3153-442A-A5B6-2749A607058F}" type="pres">
      <dgm:prSet presAssocID="{18D71B48-4B39-46DF-BDC8-9F37B782574D}" presName="box" presStyleLbl="node1" presStyleIdx="0" presStyleCnt="1" custScaleX="99354" custScaleY="98198" custLinFactNeighborX="323" custLinFactNeighborY="-5682"/>
      <dgm:spPr>
        <a:prstGeom prst="roundRect">
          <a:avLst>
            <a:gd name="adj" fmla="val 10000"/>
          </a:avLst>
        </a:prstGeom>
      </dgm:spPr>
      <dgm:t>
        <a:bodyPr/>
        <a:lstStyle/>
        <a:p>
          <a:endParaRPr lang="en-GB"/>
        </a:p>
      </dgm:t>
    </dgm:pt>
    <dgm:pt modelId="{F41DFD0A-300B-4DD7-9382-7E308AE05550}" type="pres">
      <dgm:prSet presAssocID="{18D71B48-4B39-46DF-BDC8-9F37B782574D}" presName="img" presStyleLbl="fgImgPlace1" presStyleIdx="0" presStyleCnt="1" custLinFactNeighborX="-554" custLinFactNeighborY="-259"/>
      <dgm:spPr>
        <a:xfrm>
          <a:off x="105727" y="67883"/>
          <a:ext cx="1179195" cy="845820"/>
        </a:xfrm>
        <a:prstGeom prst="roundRect">
          <a:avLst>
            <a:gd name="adj" fmla="val 10000"/>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l="-9000" r="-9000"/>
          </a:stretch>
        </a:blipFill>
      </dgm:spPr>
      <dgm:t>
        <a:bodyPr/>
        <a:lstStyle/>
        <a:p>
          <a:endParaRPr lang="en-GB"/>
        </a:p>
      </dgm:t>
    </dgm:pt>
    <dgm:pt modelId="{1C7B07FA-7902-44CF-8DBC-5983A85B9109}" type="pres">
      <dgm:prSet presAssocID="{18D71B48-4B39-46DF-BDC8-9F37B782574D}" presName="text" presStyleLbl="node1" presStyleIdx="0" presStyleCnt="1">
        <dgm:presLayoutVars>
          <dgm:bulletEnabled val="1"/>
        </dgm:presLayoutVars>
      </dgm:prSet>
      <dgm:spPr/>
      <dgm:t>
        <a:bodyPr/>
        <a:lstStyle/>
        <a:p>
          <a:endParaRPr lang="en-GB"/>
        </a:p>
      </dgm:t>
    </dgm:pt>
  </dgm:ptLst>
  <dgm:cxnLst>
    <dgm:cxn modelId="{214D3D4F-78C4-4DD2-910A-6AB818D8D32D}" type="presOf" srcId="{18D71B48-4B39-46DF-BDC8-9F37B782574D}" destId="{51A4B47B-3153-442A-A5B6-2749A607058F}" srcOrd="0" destOrd="0" presId="urn:microsoft.com/office/officeart/2005/8/layout/vList4"/>
    <dgm:cxn modelId="{FC74122F-400B-4AC9-94DF-1E2465C4DEF1}" type="presOf" srcId="{6EC30BAE-2C94-4101-9D18-AE6FF68A5CB0}" destId="{1C7B07FA-7902-44CF-8DBC-5983A85B9109}" srcOrd="1" destOrd="1" presId="urn:microsoft.com/office/officeart/2005/8/layout/vList4"/>
    <dgm:cxn modelId="{211B26EF-73DA-410B-9587-553CEC89F71C}" srcId="{18D71B48-4B39-46DF-BDC8-9F37B782574D}" destId="{6EC30BAE-2C94-4101-9D18-AE6FF68A5CB0}" srcOrd="0" destOrd="0" parTransId="{D684D99C-085A-43E6-91E9-06A1EF8BB389}" sibTransId="{ABF6EDAE-C6AD-42C2-BA37-17C7FE171CE8}"/>
    <dgm:cxn modelId="{4ECA2BD4-7D71-4D86-AF3F-DD8D73BC18A1}" type="presOf" srcId="{18D71B48-4B39-46DF-BDC8-9F37B782574D}" destId="{1C7B07FA-7902-44CF-8DBC-5983A85B9109}" srcOrd="1" destOrd="0" presId="urn:microsoft.com/office/officeart/2005/8/layout/vList4"/>
    <dgm:cxn modelId="{20E77939-CD02-4A33-BDF5-668BAAA1B8EA}" type="presOf" srcId="{D91C0C43-27B0-46BC-8B3B-F135A7A5C4B3}" destId="{1C7B07FA-7902-44CF-8DBC-5983A85B9109}" srcOrd="1" destOrd="2" presId="urn:microsoft.com/office/officeart/2005/8/layout/vList4"/>
    <dgm:cxn modelId="{28D8DDA8-1F9B-427B-816E-2CC6D0E832A8}" type="presOf" srcId="{6EC30BAE-2C94-4101-9D18-AE6FF68A5CB0}" destId="{51A4B47B-3153-442A-A5B6-2749A607058F}" srcOrd="0" destOrd="1" presId="urn:microsoft.com/office/officeart/2005/8/layout/vList4"/>
    <dgm:cxn modelId="{E6CB9B41-6AA9-4C6B-B931-94CDBF25170A}" srcId="{18D71B48-4B39-46DF-BDC8-9F37B782574D}" destId="{D91C0C43-27B0-46BC-8B3B-F135A7A5C4B3}" srcOrd="1" destOrd="0" parTransId="{6571E426-0E3D-4CAF-8C94-86F3B76DA7F4}" sibTransId="{C4619D34-8050-4C95-BF02-86516B599865}"/>
    <dgm:cxn modelId="{FC204AFD-8462-4FF2-A698-3D75FE3B32C3}" srcId="{D14CFD9A-B6F4-4E5C-BB03-D4AF4795213E}" destId="{18D71B48-4B39-46DF-BDC8-9F37B782574D}" srcOrd="0" destOrd="0" parTransId="{4B92FB9B-8A98-4C7E-8DA4-24DB135C6A40}" sibTransId="{3BF7CBAA-C6B7-4D02-A2D6-3A2E86F592F8}"/>
    <dgm:cxn modelId="{BFC4A165-B2C3-4109-8EB9-03FE29D05A81}" type="presOf" srcId="{D14CFD9A-B6F4-4E5C-BB03-D4AF4795213E}" destId="{7DD8815F-910D-4A64-A9ED-A036E8A1AF4C}" srcOrd="0" destOrd="0" presId="urn:microsoft.com/office/officeart/2005/8/layout/vList4"/>
    <dgm:cxn modelId="{4565EE95-CC05-4FE8-82A2-E044CB853C41}" type="presOf" srcId="{D91C0C43-27B0-46BC-8B3B-F135A7A5C4B3}" destId="{51A4B47B-3153-442A-A5B6-2749A607058F}" srcOrd="0" destOrd="2" presId="urn:microsoft.com/office/officeart/2005/8/layout/vList4"/>
    <dgm:cxn modelId="{91A7AF62-BF51-4BEF-A7AA-4368B67646FB}" type="presParOf" srcId="{7DD8815F-910D-4A64-A9ED-A036E8A1AF4C}" destId="{97A81786-8215-4745-81E3-31F418AFD96C}" srcOrd="0" destOrd="0" presId="urn:microsoft.com/office/officeart/2005/8/layout/vList4"/>
    <dgm:cxn modelId="{9C391CBC-DF55-42E8-A771-A24A163DF2EC}" type="presParOf" srcId="{97A81786-8215-4745-81E3-31F418AFD96C}" destId="{51A4B47B-3153-442A-A5B6-2749A607058F}" srcOrd="0" destOrd="0" presId="urn:microsoft.com/office/officeart/2005/8/layout/vList4"/>
    <dgm:cxn modelId="{7632B9E5-D736-4561-8441-1F7C71167614}" type="presParOf" srcId="{97A81786-8215-4745-81E3-31F418AFD96C}" destId="{F41DFD0A-300B-4DD7-9382-7E308AE05550}" srcOrd="1" destOrd="0" presId="urn:microsoft.com/office/officeart/2005/8/layout/vList4"/>
    <dgm:cxn modelId="{F2806908-3971-479E-96FE-8B318E05BBCF}" type="presParOf" srcId="{97A81786-8215-4745-81E3-31F418AFD96C}" destId="{1C7B07FA-7902-44CF-8DBC-5983A85B9109}" srcOrd="2" destOrd="0" presId="urn:microsoft.com/office/officeart/2005/8/layout/vList4"/>
  </dgm:cxnLst>
  <dgm:bg/>
  <dgm:whole/>
  <dgm:extLst>
    <a:ext uri="http://schemas.microsoft.com/office/drawing/2008/diagram">
      <dsp:dataModelExt xmlns:dsp="http://schemas.microsoft.com/office/drawing/2008/diagram" relId="rId88"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0CFA54CF-03D4-4332-BC88-D4B6442E7D52}" type="doc">
      <dgm:prSet loTypeId="urn:microsoft.com/office/officeart/2005/8/layout/vList4" loCatId="picture" qsTypeId="urn:microsoft.com/office/officeart/2005/8/quickstyle/simple1" qsCatId="simple" csTypeId="urn:microsoft.com/office/officeart/2005/8/colors/accent4_5" csCatId="accent4" phldr="1"/>
      <dgm:spPr/>
      <dgm:t>
        <a:bodyPr/>
        <a:lstStyle/>
        <a:p>
          <a:endParaRPr lang="en-GB"/>
        </a:p>
      </dgm:t>
    </dgm:pt>
    <dgm:pt modelId="{93BCA2F6-B0FB-4B4C-8B81-9A7A0459251A}">
      <dgm:prSet phldrT="[Text]"/>
      <dgm:spPr>
        <a:xfrm>
          <a:off x="0" y="0"/>
          <a:ext cx="5458460" cy="897890"/>
        </a:xfrm>
        <a:solidFill>
          <a:srgbClr val="FFC000">
            <a:alpha val="9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GB">
            <a:solidFill>
              <a:sysClr val="window" lastClr="FFFFFF"/>
            </a:solidFill>
            <a:latin typeface="Calibri" panose="020F0502020204030204"/>
            <a:ea typeface="+mn-ea"/>
            <a:cs typeface="+mn-cs"/>
          </a:endParaRPr>
        </a:p>
      </dgm:t>
    </dgm:pt>
    <dgm:pt modelId="{700B1C86-0C6C-4F89-A7A7-6072D82778D1}" type="parTrans" cxnId="{6993FAF2-3DD5-4DBE-9029-D059CACF849E}">
      <dgm:prSet/>
      <dgm:spPr/>
      <dgm:t>
        <a:bodyPr/>
        <a:lstStyle/>
        <a:p>
          <a:endParaRPr lang="en-GB"/>
        </a:p>
      </dgm:t>
    </dgm:pt>
    <dgm:pt modelId="{83CAB133-02F7-4E9F-A1F1-9FA0DF189A69}" type="sibTrans" cxnId="{6993FAF2-3DD5-4DBE-9029-D059CACF849E}">
      <dgm:prSet/>
      <dgm:spPr/>
      <dgm:t>
        <a:bodyPr/>
        <a:lstStyle/>
        <a:p>
          <a:endParaRPr lang="en-GB"/>
        </a:p>
      </dgm:t>
    </dgm:pt>
    <dgm:pt modelId="{842238FB-168F-48A5-B693-DDC974744822}">
      <dgm:prSet phldrT="[Text]"/>
      <dgm:spPr>
        <a:xfrm>
          <a:off x="0" y="0"/>
          <a:ext cx="5458460" cy="897890"/>
        </a:xfrm>
        <a:solidFill>
          <a:srgbClr val="FFC000">
            <a:alpha val="9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GB">
            <a:solidFill>
              <a:sysClr val="window" lastClr="FFFFFF"/>
            </a:solidFill>
            <a:latin typeface="Calibri" panose="020F0502020204030204"/>
            <a:ea typeface="+mn-ea"/>
            <a:cs typeface="+mn-cs"/>
          </a:endParaRPr>
        </a:p>
      </dgm:t>
    </dgm:pt>
    <dgm:pt modelId="{DF3AB520-4686-471B-9FEB-5CFDA773B1A7}" type="parTrans" cxnId="{BFC307DB-7C92-4015-A0F7-8D777DB699FA}">
      <dgm:prSet/>
      <dgm:spPr/>
      <dgm:t>
        <a:bodyPr/>
        <a:lstStyle/>
        <a:p>
          <a:endParaRPr lang="en-GB"/>
        </a:p>
      </dgm:t>
    </dgm:pt>
    <dgm:pt modelId="{7E5FEF4D-49A7-4E01-920A-41E1D584A18B}" type="sibTrans" cxnId="{BFC307DB-7C92-4015-A0F7-8D777DB699FA}">
      <dgm:prSet/>
      <dgm:spPr/>
      <dgm:t>
        <a:bodyPr/>
        <a:lstStyle/>
        <a:p>
          <a:endParaRPr lang="en-GB"/>
        </a:p>
      </dgm:t>
    </dgm:pt>
    <dgm:pt modelId="{8A775AFD-5BD4-4C4B-95A3-D8A58E0ACA1E}">
      <dgm:prSet phldrT="[Text]"/>
      <dgm:spPr>
        <a:xfrm>
          <a:off x="0" y="0"/>
          <a:ext cx="5458460" cy="897890"/>
        </a:xfrm>
        <a:solidFill>
          <a:srgbClr val="FFC000">
            <a:alpha val="9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GB">
            <a:solidFill>
              <a:sysClr val="window" lastClr="FFFFFF"/>
            </a:solidFill>
            <a:latin typeface="Calibri" panose="020F0502020204030204"/>
            <a:ea typeface="+mn-ea"/>
            <a:cs typeface="+mn-cs"/>
          </a:endParaRPr>
        </a:p>
      </dgm:t>
    </dgm:pt>
    <dgm:pt modelId="{5CF05554-1D3F-4C40-96F6-2A3F6A99486B}" type="parTrans" cxnId="{B7BE7A91-BE67-4171-9A70-FDBC22073F62}">
      <dgm:prSet/>
      <dgm:spPr/>
      <dgm:t>
        <a:bodyPr/>
        <a:lstStyle/>
        <a:p>
          <a:endParaRPr lang="en-GB"/>
        </a:p>
      </dgm:t>
    </dgm:pt>
    <dgm:pt modelId="{DB6582BC-DBC7-4D0E-B395-76385B7E941B}" type="sibTrans" cxnId="{B7BE7A91-BE67-4171-9A70-FDBC22073F62}">
      <dgm:prSet/>
      <dgm:spPr/>
      <dgm:t>
        <a:bodyPr/>
        <a:lstStyle/>
        <a:p>
          <a:endParaRPr lang="en-GB"/>
        </a:p>
      </dgm:t>
    </dgm:pt>
    <dgm:pt modelId="{5F82F712-645E-43A6-BE06-AB430B204892}" type="pres">
      <dgm:prSet presAssocID="{0CFA54CF-03D4-4332-BC88-D4B6442E7D52}" presName="linear" presStyleCnt="0">
        <dgm:presLayoutVars>
          <dgm:dir/>
          <dgm:resizeHandles val="exact"/>
        </dgm:presLayoutVars>
      </dgm:prSet>
      <dgm:spPr/>
      <dgm:t>
        <a:bodyPr/>
        <a:lstStyle/>
        <a:p>
          <a:endParaRPr lang="en-GB"/>
        </a:p>
      </dgm:t>
    </dgm:pt>
    <dgm:pt modelId="{0E9D9896-7613-4D42-8364-F5A724FDD63A}" type="pres">
      <dgm:prSet presAssocID="{93BCA2F6-B0FB-4B4C-8B81-9A7A0459251A}" presName="comp" presStyleCnt="0"/>
      <dgm:spPr/>
      <dgm:t>
        <a:bodyPr/>
        <a:lstStyle/>
        <a:p>
          <a:endParaRPr lang="en-GB"/>
        </a:p>
      </dgm:t>
    </dgm:pt>
    <dgm:pt modelId="{D6875C2E-8A88-480B-85F9-C0B9137BDB35}" type="pres">
      <dgm:prSet presAssocID="{93BCA2F6-B0FB-4B4C-8B81-9A7A0459251A}" presName="box" presStyleLbl="node1" presStyleIdx="0" presStyleCnt="1" custLinFactY="-200000" custLinFactNeighborX="1163" custLinFactNeighborY="-218670"/>
      <dgm:spPr>
        <a:prstGeom prst="roundRect">
          <a:avLst>
            <a:gd name="adj" fmla="val 10000"/>
          </a:avLst>
        </a:prstGeom>
      </dgm:spPr>
      <dgm:t>
        <a:bodyPr/>
        <a:lstStyle/>
        <a:p>
          <a:endParaRPr lang="en-GB"/>
        </a:p>
      </dgm:t>
    </dgm:pt>
    <dgm:pt modelId="{7214044A-DD58-44CD-BC0B-8B77C19CB435}" type="pres">
      <dgm:prSet presAssocID="{93BCA2F6-B0FB-4B4C-8B81-9A7A0459251A}" presName="img" presStyleLbl="fgImgPlace1" presStyleIdx="0" presStyleCnt="1"/>
      <dgm:spPr>
        <a:xfrm>
          <a:off x="89788" y="89789"/>
          <a:ext cx="1091692" cy="718312"/>
        </a:xfrm>
        <a:prstGeom prst="roundRect">
          <a:avLst>
            <a:gd name="adj" fmla="val 10000"/>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l="-13000" r="-13000"/>
          </a:stretch>
        </a:blipFill>
        <a:ln w="12700" cap="flat" cmpd="sng" algn="ctr">
          <a:solidFill>
            <a:sysClr val="window" lastClr="FFFFFF">
              <a:hueOff val="0"/>
              <a:satOff val="0"/>
              <a:lumOff val="0"/>
              <a:alphaOff val="0"/>
            </a:sysClr>
          </a:solidFill>
          <a:prstDash val="solid"/>
          <a:miter lim="800000"/>
        </a:ln>
        <a:effectLst/>
      </dgm:spPr>
      <dgm:t>
        <a:bodyPr/>
        <a:lstStyle/>
        <a:p>
          <a:endParaRPr lang="en-GB"/>
        </a:p>
      </dgm:t>
    </dgm:pt>
    <dgm:pt modelId="{4258BD26-A187-4906-8068-EA805F167926}" type="pres">
      <dgm:prSet presAssocID="{93BCA2F6-B0FB-4B4C-8B81-9A7A0459251A}" presName="text" presStyleLbl="node1" presStyleIdx="0" presStyleCnt="1">
        <dgm:presLayoutVars>
          <dgm:bulletEnabled val="1"/>
        </dgm:presLayoutVars>
      </dgm:prSet>
      <dgm:spPr/>
      <dgm:t>
        <a:bodyPr/>
        <a:lstStyle/>
        <a:p>
          <a:endParaRPr lang="en-GB"/>
        </a:p>
      </dgm:t>
    </dgm:pt>
  </dgm:ptLst>
  <dgm:cxnLst>
    <dgm:cxn modelId="{37BCEE77-DBA6-4DC9-B25E-1A503833F1C6}" type="presOf" srcId="{842238FB-168F-48A5-B693-DDC974744822}" destId="{D6875C2E-8A88-480B-85F9-C0B9137BDB35}" srcOrd="0" destOrd="1" presId="urn:microsoft.com/office/officeart/2005/8/layout/vList4"/>
    <dgm:cxn modelId="{BFC307DB-7C92-4015-A0F7-8D777DB699FA}" srcId="{93BCA2F6-B0FB-4B4C-8B81-9A7A0459251A}" destId="{842238FB-168F-48A5-B693-DDC974744822}" srcOrd="0" destOrd="0" parTransId="{DF3AB520-4686-471B-9FEB-5CFDA773B1A7}" sibTransId="{7E5FEF4D-49A7-4E01-920A-41E1D584A18B}"/>
    <dgm:cxn modelId="{2C51D227-0D88-4FF0-A700-BB9DC934205E}" type="presOf" srcId="{842238FB-168F-48A5-B693-DDC974744822}" destId="{4258BD26-A187-4906-8068-EA805F167926}" srcOrd="1" destOrd="1" presId="urn:microsoft.com/office/officeart/2005/8/layout/vList4"/>
    <dgm:cxn modelId="{6993FAF2-3DD5-4DBE-9029-D059CACF849E}" srcId="{0CFA54CF-03D4-4332-BC88-D4B6442E7D52}" destId="{93BCA2F6-B0FB-4B4C-8B81-9A7A0459251A}" srcOrd="0" destOrd="0" parTransId="{700B1C86-0C6C-4F89-A7A7-6072D82778D1}" sibTransId="{83CAB133-02F7-4E9F-A1F1-9FA0DF189A69}"/>
    <dgm:cxn modelId="{660A7B8C-805B-4425-8C5D-62F95FB11747}" type="presOf" srcId="{0CFA54CF-03D4-4332-BC88-D4B6442E7D52}" destId="{5F82F712-645E-43A6-BE06-AB430B204892}" srcOrd="0" destOrd="0" presId="urn:microsoft.com/office/officeart/2005/8/layout/vList4"/>
    <dgm:cxn modelId="{43EA9084-FEB7-46BE-ACDF-1D11AA988C08}" type="presOf" srcId="{8A775AFD-5BD4-4C4B-95A3-D8A58E0ACA1E}" destId="{D6875C2E-8A88-480B-85F9-C0B9137BDB35}" srcOrd="0" destOrd="2" presId="urn:microsoft.com/office/officeart/2005/8/layout/vList4"/>
    <dgm:cxn modelId="{73763104-1195-44F4-A83E-729137B8A31E}" type="presOf" srcId="{93BCA2F6-B0FB-4B4C-8B81-9A7A0459251A}" destId="{4258BD26-A187-4906-8068-EA805F167926}" srcOrd="1" destOrd="0" presId="urn:microsoft.com/office/officeart/2005/8/layout/vList4"/>
    <dgm:cxn modelId="{74175222-5900-44A3-993D-03539AF97F08}" type="presOf" srcId="{93BCA2F6-B0FB-4B4C-8B81-9A7A0459251A}" destId="{D6875C2E-8A88-480B-85F9-C0B9137BDB35}" srcOrd="0" destOrd="0" presId="urn:microsoft.com/office/officeart/2005/8/layout/vList4"/>
    <dgm:cxn modelId="{14F3A0EF-D780-412B-87E3-0FBE734C7129}" type="presOf" srcId="{8A775AFD-5BD4-4C4B-95A3-D8A58E0ACA1E}" destId="{4258BD26-A187-4906-8068-EA805F167926}" srcOrd="1" destOrd="2" presId="urn:microsoft.com/office/officeart/2005/8/layout/vList4"/>
    <dgm:cxn modelId="{B7BE7A91-BE67-4171-9A70-FDBC22073F62}" srcId="{93BCA2F6-B0FB-4B4C-8B81-9A7A0459251A}" destId="{8A775AFD-5BD4-4C4B-95A3-D8A58E0ACA1E}" srcOrd="1" destOrd="0" parTransId="{5CF05554-1D3F-4C40-96F6-2A3F6A99486B}" sibTransId="{DB6582BC-DBC7-4D0E-B395-76385B7E941B}"/>
    <dgm:cxn modelId="{17BBDAAE-04BC-45FD-BF5C-8A7DE582F107}" type="presParOf" srcId="{5F82F712-645E-43A6-BE06-AB430B204892}" destId="{0E9D9896-7613-4D42-8364-F5A724FDD63A}" srcOrd="0" destOrd="0" presId="urn:microsoft.com/office/officeart/2005/8/layout/vList4"/>
    <dgm:cxn modelId="{CDE7E17F-5E08-4C11-9EB8-CF3CB748463A}" type="presParOf" srcId="{0E9D9896-7613-4D42-8364-F5A724FDD63A}" destId="{D6875C2E-8A88-480B-85F9-C0B9137BDB35}" srcOrd="0" destOrd="0" presId="urn:microsoft.com/office/officeart/2005/8/layout/vList4"/>
    <dgm:cxn modelId="{10C10B3C-32A6-452B-80B3-C52045488D6B}" type="presParOf" srcId="{0E9D9896-7613-4D42-8364-F5A724FDD63A}" destId="{7214044A-DD58-44CD-BC0B-8B77C19CB435}" srcOrd="1" destOrd="0" presId="urn:microsoft.com/office/officeart/2005/8/layout/vList4"/>
    <dgm:cxn modelId="{D4D9D8B8-CBE9-404E-886C-EC7BF8A478C3}" type="presParOf" srcId="{0E9D9896-7613-4D42-8364-F5A724FDD63A}" destId="{4258BD26-A187-4906-8068-EA805F167926}" srcOrd="2" destOrd="0" presId="urn:microsoft.com/office/officeart/2005/8/layout/vList4"/>
  </dgm:cxnLst>
  <dgm:bg/>
  <dgm:whole/>
  <dgm:extLst>
    <a:ext uri="http://schemas.microsoft.com/office/drawing/2008/diagram">
      <dsp:dataModelExt xmlns:dsp="http://schemas.microsoft.com/office/drawing/2008/diagram" relId="rId9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1A4B47B-3153-442A-A5B6-2749A607058F}">
      <dsp:nvSpPr>
        <dsp:cNvPr id="0" name=""/>
        <dsp:cNvSpPr/>
      </dsp:nvSpPr>
      <dsp:spPr>
        <a:xfrm>
          <a:off x="0" y="0"/>
          <a:ext cx="5727064" cy="897545"/>
        </a:xfrm>
        <a:prstGeom prst="roundRect">
          <a:avLst>
            <a:gd name="adj" fmla="val 10000"/>
          </a:avLst>
        </a:prstGeom>
        <a:solidFill>
          <a:schemeClr val="accent1">
            <a:lumMod val="20000"/>
            <a:lumOff val="80000"/>
          </a:schemeClr>
        </a:solidFill>
        <a:ln>
          <a:solidFill>
            <a:schemeClr val="accent1">
              <a:lumMod val="20000"/>
              <a:lumOff val="80000"/>
            </a:schemeClr>
          </a:solid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4770" tIns="64770" rIns="64770" bIns="64770" numCol="1" spcCol="1270" anchor="t" anchorCtr="0">
          <a:noAutofit/>
        </a:bodyPr>
        <a:lstStyle/>
        <a:p>
          <a:pPr lvl="0" algn="l" defTabSz="755650">
            <a:lnSpc>
              <a:spcPct val="90000"/>
            </a:lnSpc>
            <a:spcBef>
              <a:spcPct val="0"/>
            </a:spcBef>
            <a:spcAft>
              <a:spcPct val="35000"/>
            </a:spcAft>
          </a:pPr>
          <a:endParaRPr lang="en-GB" sz="1700" kern="1200">
            <a:solidFill>
              <a:sysClr val="window" lastClr="FFFFFF"/>
            </a:solidFill>
            <a:latin typeface="Calibri" panose="020F0502020204030204"/>
            <a:ea typeface="+mn-ea"/>
            <a:cs typeface="+mn-cs"/>
          </a:endParaRPr>
        </a:p>
        <a:p>
          <a:pPr marL="114300" lvl="1" indent="-114300" algn="l" defTabSz="577850">
            <a:lnSpc>
              <a:spcPct val="90000"/>
            </a:lnSpc>
            <a:spcBef>
              <a:spcPct val="0"/>
            </a:spcBef>
            <a:spcAft>
              <a:spcPct val="15000"/>
            </a:spcAft>
            <a:buChar char="••"/>
          </a:pPr>
          <a:endParaRPr lang="en-GB" sz="1300" kern="1200">
            <a:solidFill>
              <a:sysClr val="window" lastClr="FFFFFF"/>
            </a:solidFill>
            <a:latin typeface="Calibri" panose="020F0502020204030204"/>
            <a:ea typeface="+mn-ea"/>
            <a:cs typeface="+mn-cs"/>
          </a:endParaRPr>
        </a:p>
        <a:p>
          <a:pPr marL="114300" lvl="1" indent="-114300" algn="l" defTabSz="577850">
            <a:lnSpc>
              <a:spcPct val="90000"/>
            </a:lnSpc>
            <a:spcBef>
              <a:spcPct val="0"/>
            </a:spcBef>
            <a:spcAft>
              <a:spcPct val="15000"/>
            </a:spcAft>
            <a:buChar char="••"/>
          </a:pPr>
          <a:endParaRPr lang="en-GB" sz="1300" kern="1200">
            <a:solidFill>
              <a:sysClr val="window" lastClr="FFFFFF"/>
            </a:solidFill>
            <a:latin typeface="Calibri" panose="020F0502020204030204"/>
            <a:ea typeface="+mn-ea"/>
            <a:cs typeface="+mn-cs"/>
          </a:endParaRPr>
        </a:p>
      </dsp:txBody>
      <dsp:txXfrm>
        <a:off x="1235167" y="0"/>
        <a:ext cx="4491897" cy="897545"/>
      </dsp:txXfrm>
    </dsp:sp>
    <dsp:sp modelId="{F41DFD0A-300B-4DD7-9382-7E308AE05550}">
      <dsp:nvSpPr>
        <dsp:cNvPr id="0" name=""/>
        <dsp:cNvSpPr/>
      </dsp:nvSpPr>
      <dsp:spPr>
        <a:xfrm>
          <a:off x="68106" y="100941"/>
          <a:ext cx="1145413" cy="718036"/>
        </a:xfrm>
        <a:prstGeom prst="roundRect">
          <a:avLst>
            <a:gd name="adj" fmla="val 10000"/>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l="-9000" r="-9000"/>
          </a:stretch>
        </a:blipFill>
        <a:ln w="9525"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1">
          <a:scrgbClr r="0" g="0" b="0"/>
        </a:lnRef>
        <a:fillRef idx="1">
          <a:scrgbClr r="0" g="0" b="0"/>
        </a:fillRef>
        <a:effectRef idx="1">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1A4B47B-3153-442A-A5B6-2749A607058F}">
      <dsp:nvSpPr>
        <dsp:cNvPr id="0" name=""/>
        <dsp:cNvSpPr/>
      </dsp:nvSpPr>
      <dsp:spPr>
        <a:xfrm>
          <a:off x="0" y="0"/>
          <a:ext cx="5756910" cy="881743"/>
        </a:xfrm>
        <a:prstGeom prst="roundRect">
          <a:avLst>
            <a:gd name="adj" fmla="val 10000"/>
          </a:avLst>
        </a:prstGeom>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hemeClr val="accent3"/>
        </a:lnRef>
        <a:fillRef idx="3">
          <a:schemeClr val="accent3"/>
        </a:fillRef>
        <a:effectRef idx="3">
          <a:schemeClr val="accent3"/>
        </a:effectRef>
        <a:fontRef idx="minor">
          <a:schemeClr val="lt1"/>
        </a:fontRef>
      </dsp:style>
      <dsp:txBody>
        <a:bodyPr spcFirstLastPara="0" vert="horz" wrap="square" lIns="64770" tIns="64770" rIns="64770" bIns="64770" numCol="1" spcCol="1270" anchor="t" anchorCtr="0">
          <a:noAutofit/>
        </a:bodyPr>
        <a:lstStyle/>
        <a:p>
          <a:pPr lvl="0" algn="l" defTabSz="755650">
            <a:lnSpc>
              <a:spcPct val="90000"/>
            </a:lnSpc>
            <a:spcBef>
              <a:spcPct val="0"/>
            </a:spcBef>
            <a:spcAft>
              <a:spcPct val="35000"/>
            </a:spcAft>
          </a:pPr>
          <a:endParaRPr lang="en-GB" sz="1700" kern="1200">
            <a:solidFill>
              <a:sysClr val="window" lastClr="FFFFFF"/>
            </a:solidFill>
            <a:latin typeface="Calibri" panose="020F0502020204030204"/>
            <a:ea typeface="+mn-ea"/>
            <a:cs typeface="+mn-cs"/>
          </a:endParaRPr>
        </a:p>
        <a:p>
          <a:pPr marL="114300" lvl="1" indent="-114300" algn="l" defTabSz="577850">
            <a:lnSpc>
              <a:spcPct val="90000"/>
            </a:lnSpc>
            <a:spcBef>
              <a:spcPct val="0"/>
            </a:spcBef>
            <a:spcAft>
              <a:spcPct val="15000"/>
            </a:spcAft>
            <a:buChar char="••"/>
          </a:pPr>
          <a:endParaRPr lang="en-GB" sz="1300" kern="1200">
            <a:solidFill>
              <a:sysClr val="window" lastClr="FFFFFF"/>
            </a:solidFill>
            <a:latin typeface="Calibri" panose="020F0502020204030204"/>
            <a:ea typeface="+mn-ea"/>
            <a:cs typeface="+mn-cs"/>
          </a:endParaRPr>
        </a:p>
        <a:p>
          <a:pPr marL="114300" lvl="1" indent="-114300" algn="l" defTabSz="577850">
            <a:lnSpc>
              <a:spcPct val="90000"/>
            </a:lnSpc>
            <a:spcBef>
              <a:spcPct val="0"/>
            </a:spcBef>
            <a:spcAft>
              <a:spcPct val="15000"/>
            </a:spcAft>
            <a:buChar char="••"/>
          </a:pPr>
          <a:endParaRPr lang="en-GB" sz="1300" kern="1200">
            <a:solidFill>
              <a:sysClr val="window" lastClr="FFFFFF"/>
            </a:solidFill>
            <a:latin typeface="Calibri" panose="020F0502020204030204"/>
            <a:ea typeface="+mn-ea"/>
            <a:cs typeface="+mn-cs"/>
          </a:endParaRPr>
        </a:p>
      </dsp:txBody>
      <dsp:txXfrm>
        <a:off x="1239556" y="0"/>
        <a:ext cx="4517353" cy="881743"/>
      </dsp:txXfrm>
    </dsp:sp>
    <dsp:sp modelId="{F41DFD0A-300B-4DD7-9382-7E308AE05550}">
      <dsp:nvSpPr>
        <dsp:cNvPr id="0" name=""/>
        <dsp:cNvSpPr/>
      </dsp:nvSpPr>
      <dsp:spPr>
        <a:xfrm>
          <a:off x="66413" y="99164"/>
          <a:ext cx="1151382" cy="705394"/>
        </a:xfrm>
        <a:prstGeom prst="roundRect">
          <a:avLst>
            <a:gd name="adj" fmla="val 10000"/>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l="-9000" r="-9000"/>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1A4B47B-3153-442A-A5B6-2749A607058F}">
      <dsp:nvSpPr>
        <dsp:cNvPr id="0" name=""/>
        <dsp:cNvSpPr/>
      </dsp:nvSpPr>
      <dsp:spPr>
        <a:xfrm>
          <a:off x="36984" y="0"/>
          <a:ext cx="5688175" cy="823095"/>
        </a:xfrm>
        <a:prstGeom prst="roundRect">
          <a:avLst>
            <a:gd name="adj" fmla="val 10000"/>
          </a:avLst>
        </a:prstGeom>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hemeClr val="accent6"/>
        </a:lnRef>
        <a:fillRef idx="3">
          <a:schemeClr val="accent6"/>
        </a:fillRef>
        <a:effectRef idx="3">
          <a:schemeClr val="accent6"/>
        </a:effectRef>
        <a:fontRef idx="minor">
          <a:schemeClr val="lt1"/>
        </a:fontRef>
      </dsp:style>
      <dsp:txBody>
        <a:bodyPr spcFirstLastPara="0" vert="horz" wrap="square" lIns="60960" tIns="60960" rIns="60960" bIns="60960" numCol="1" spcCol="1270" anchor="t" anchorCtr="0">
          <a:noAutofit/>
        </a:bodyPr>
        <a:lstStyle/>
        <a:p>
          <a:pPr lvl="0" algn="l" defTabSz="711200">
            <a:lnSpc>
              <a:spcPct val="90000"/>
            </a:lnSpc>
            <a:spcBef>
              <a:spcPct val="0"/>
            </a:spcBef>
            <a:spcAft>
              <a:spcPct val="35000"/>
            </a:spcAft>
          </a:pPr>
          <a:endParaRPr lang="en-GB" sz="1600" kern="1200">
            <a:solidFill>
              <a:sysClr val="window" lastClr="FFFFFF"/>
            </a:solidFill>
            <a:latin typeface="Calibri" panose="020F0502020204030204"/>
            <a:ea typeface="+mn-ea"/>
            <a:cs typeface="+mn-cs"/>
          </a:endParaRPr>
        </a:p>
        <a:p>
          <a:pPr marL="114300" lvl="1" indent="-114300" algn="l" defTabSz="533400">
            <a:lnSpc>
              <a:spcPct val="90000"/>
            </a:lnSpc>
            <a:spcBef>
              <a:spcPct val="0"/>
            </a:spcBef>
            <a:spcAft>
              <a:spcPct val="15000"/>
            </a:spcAft>
            <a:buChar char="••"/>
          </a:pPr>
          <a:endParaRPr lang="en-GB" sz="1200" kern="1200">
            <a:solidFill>
              <a:sysClr val="window" lastClr="FFFFFF"/>
            </a:solidFill>
            <a:latin typeface="Calibri" panose="020F0502020204030204"/>
            <a:ea typeface="+mn-ea"/>
            <a:cs typeface="+mn-cs"/>
          </a:endParaRPr>
        </a:p>
        <a:p>
          <a:pPr marL="114300" lvl="1" indent="-114300" algn="l" defTabSz="533400">
            <a:lnSpc>
              <a:spcPct val="90000"/>
            </a:lnSpc>
            <a:spcBef>
              <a:spcPct val="0"/>
            </a:spcBef>
            <a:spcAft>
              <a:spcPct val="15000"/>
            </a:spcAft>
            <a:buChar char="••"/>
          </a:pPr>
          <a:endParaRPr lang="en-GB" sz="1200" kern="1200">
            <a:solidFill>
              <a:sysClr val="window" lastClr="FFFFFF"/>
            </a:solidFill>
            <a:latin typeface="Calibri" panose="020F0502020204030204"/>
            <a:ea typeface="+mn-ea"/>
            <a:cs typeface="+mn-cs"/>
          </a:endParaRPr>
        </a:p>
      </dsp:txBody>
      <dsp:txXfrm>
        <a:off x="1257898" y="0"/>
        <a:ext cx="4467261" cy="823095"/>
      </dsp:txXfrm>
    </dsp:sp>
    <dsp:sp modelId="{F41DFD0A-300B-4DD7-9382-7E308AE05550}">
      <dsp:nvSpPr>
        <dsp:cNvPr id="0" name=""/>
        <dsp:cNvSpPr/>
      </dsp:nvSpPr>
      <dsp:spPr>
        <a:xfrm>
          <a:off x="77476" y="74531"/>
          <a:ext cx="1145032" cy="670560"/>
        </a:xfrm>
        <a:prstGeom prst="roundRect">
          <a:avLst>
            <a:gd name="adj" fmla="val 10000"/>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l="-9000" r="-9000"/>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6875C2E-8A88-480B-85F9-C0B9137BDB35}">
      <dsp:nvSpPr>
        <dsp:cNvPr id="0" name=""/>
        <dsp:cNvSpPr/>
      </dsp:nvSpPr>
      <dsp:spPr>
        <a:xfrm>
          <a:off x="0" y="0"/>
          <a:ext cx="5471160" cy="904240"/>
        </a:xfrm>
        <a:prstGeom prst="roundRect">
          <a:avLst>
            <a:gd name="adj" fmla="val 10000"/>
          </a:avLst>
        </a:prstGeom>
        <a:solidFill>
          <a:srgbClr val="FFC000">
            <a:alpha val="9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64770" rIns="64770" bIns="64770" numCol="1" spcCol="1270" anchor="t" anchorCtr="0">
          <a:noAutofit/>
        </a:bodyPr>
        <a:lstStyle/>
        <a:p>
          <a:pPr lvl="0" algn="l" defTabSz="755650">
            <a:lnSpc>
              <a:spcPct val="90000"/>
            </a:lnSpc>
            <a:spcBef>
              <a:spcPct val="0"/>
            </a:spcBef>
            <a:spcAft>
              <a:spcPct val="35000"/>
            </a:spcAft>
          </a:pPr>
          <a:endParaRPr lang="en-GB" sz="1700" kern="1200">
            <a:solidFill>
              <a:sysClr val="window" lastClr="FFFFFF"/>
            </a:solidFill>
            <a:latin typeface="Calibri" panose="020F0502020204030204"/>
            <a:ea typeface="+mn-ea"/>
            <a:cs typeface="+mn-cs"/>
          </a:endParaRPr>
        </a:p>
        <a:p>
          <a:pPr marL="114300" lvl="1" indent="-114300" algn="l" defTabSz="577850">
            <a:lnSpc>
              <a:spcPct val="90000"/>
            </a:lnSpc>
            <a:spcBef>
              <a:spcPct val="0"/>
            </a:spcBef>
            <a:spcAft>
              <a:spcPct val="15000"/>
            </a:spcAft>
            <a:buChar char="••"/>
          </a:pPr>
          <a:endParaRPr lang="en-GB" sz="1300" kern="1200">
            <a:solidFill>
              <a:sysClr val="window" lastClr="FFFFFF"/>
            </a:solidFill>
            <a:latin typeface="Calibri" panose="020F0502020204030204"/>
            <a:ea typeface="+mn-ea"/>
            <a:cs typeface="+mn-cs"/>
          </a:endParaRPr>
        </a:p>
        <a:p>
          <a:pPr marL="114300" lvl="1" indent="-114300" algn="l" defTabSz="577850">
            <a:lnSpc>
              <a:spcPct val="90000"/>
            </a:lnSpc>
            <a:spcBef>
              <a:spcPct val="0"/>
            </a:spcBef>
            <a:spcAft>
              <a:spcPct val="15000"/>
            </a:spcAft>
            <a:buChar char="••"/>
          </a:pPr>
          <a:endParaRPr lang="en-GB" sz="1300" kern="1200">
            <a:solidFill>
              <a:sysClr val="window" lastClr="FFFFFF"/>
            </a:solidFill>
            <a:latin typeface="Calibri" panose="020F0502020204030204"/>
            <a:ea typeface="+mn-ea"/>
            <a:cs typeface="+mn-cs"/>
          </a:endParaRPr>
        </a:p>
      </dsp:txBody>
      <dsp:txXfrm>
        <a:off x="1184656" y="0"/>
        <a:ext cx="4286504" cy="904240"/>
      </dsp:txXfrm>
    </dsp:sp>
    <dsp:sp modelId="{7214044A-DD58-44CD-BC0B-8B77C19CB435}">
      <dsp:nvSpPr>
        <dsp:cNvPr id="0" name=""/>
        <dsp:cNvSpPr/>
      </dsp:nvSpPr>
      <dsp:spPr>
        <a:xfrm>
          <a:off x="90424" y="90424"/>
          <a:ext cx="1094232" cy="723392"/>
        </a:xfrm>
        <a:prstGeom prst="roundRect">
          <a:avLst>
            <a:gd name="adj" fmla="val 10000"/>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l="-13000" r="-13000"/>
          </a:stretch>
        </a:blip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vList4">
  <dgm:title val=""/>
  <dgm:desc val=""/>
  <dgm:catLst>
    <dgm:cat type="list" pri="13000"/>
    <dgm:cat type="picture" pri="26000"/>
    <dgm:cat type="pictureconvert" pri="26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resizeHandles val="exact"/>
    </dgm:varLst>
    <dgm:alg type="lin">
      <dgm:param type="linDir" val="fromT"/>
      <dgm:param type="vertAlign" val="t"/>
    </dgm:alg>
    <dgm:shape xmlns:r="http://schemas.openxmlformats.org/officeDocument/2006/relationships" r:blip="">
      <dgm:adjLst/>
    </dgm:shape>
    <dgm:presOf/>
    <dgm:constrLst>
      <dgm:constr type="w" for="ch" forName="comp" refType="w"/>
      <dgm:constr type="h" for="ch" forName="comp" refType="h"/>
      <dgm:constr type="h" for="ch" forName="spacer" refType="h" refFor="ch" refForName="comp" op="equ" fact="0.1"/>
      <dgm:constr type="primFontSz" for="des" forName="text" op="equ" val="65"/>
    </dgm:constrLst>
    <dgm:ruleLst/>
    <dgm:forEach name="Name0" axis="ch" ptType="node">
      <dgm:layoutNode name="comp" styleLbl="node1">
        <dgm:alg type="composite"/>
        <dgm:shape xmlns:r="http://schemas.openxmlformats.org/officeDocument/2006/relationships" r:blip="">
          <dgm:adjLst/>
        </dgm:shape>
        <dgm:presOf/>
        <dgm:choose name="Name1">
          <dgm:if name="Name2" func="var" arg="dir" op="equ" val="norm">
            <dgm:constrLst>
              <dgm:constr type="h" for="ch" forName="box" refType="h"/>
              <dgm:constr type="w" for="ch" forName="box" refType="w"/>
              <dgm:constr type="w" for="ch" forName="img" refType="w" refFor="ch" refForName="box" fact="0.2"/>
              <dgm:constr type="h" for="ch" forName="img" refType="h" refFor="ch" refForName="box" fact="0.8"/>
              <dgm:constr type="t" for="ch" forName="img" refType="h" refFor="ch" refForName="box" fact="0.1"/>
              <dgm:constr type="l" for="ch" forName="img" refType="h" refFor="ch" refForName="box" fact="0.1"/>
              <dgm:constr type="h" for="ch" forName="text" refType="h"/>
              <dgm:constr type="l" for="ch" forName="text" refType="r" refFor="ch" refForName="img"/>
              <dgm:constr type="r" for="ch" forName="text" refType="w"/>
            </dgm:constrLst>
          </dgm:if>
          <dgm:else name="Name3">
            <dgm:constrLst>
              <dgm:constr type="h" for="ch" forName="box" refType="h"/>
              <dgm:constr type="w" for="ch" forName="box" refType="w"/>
              <dgm:constr type="w" for="ch" forName="img" refType="w" refFor="ch" refForName="box" fact="0.2"/>
              <dgm:constr type="h" for="ch" forName="img" refType="h" refFor="ch" refForName="box" fact="0.8"/>
              <dgm:constr type="t" for="ch" forName="img" refType="h" refFor="ch" refForName="box" fact="0.1"/>
              <dgm:constr type="r" for="ch" forName="img" refType="w" refFor="ch" refForName="box"/>
              <dgm:constr type="rOff" for="ch" forName="img" refType="h" refFor="ch" refForName="box" fact="-0.1"/>
              <dgm:constr type="h" for="ch" forName="text" refType="h"/>
              <dgm:constr type="r" for="ch" forName="text" refType="l" refFor="ch" refForName="img"/>
              <dgm:constr type="l" for="ch" forName="text"/>
            </dgm:constrLst>
          </dgm:else>
        </dgm:choose>
        <dgm:ruleLst/>
        <dgm:layoutNode name="box" styleLbl="node1">
          <dgm:alg type="sp"/>
          <dgm:shape xmlns:r="http://schemas.openxmlformats.org/officeDocument/2006/relationships" type="roundRect" r:blip="">
            <dgm:adjLst>
              <dgm:adj idx="1" val="0.1"/>
            </dgm:adjLst>
          </dgm:shape>
          <dgm:presOf axis="desOrSelf" ptType="node"/>
          <dgm:constrLst/>
          <dgm:ruleLst/>
        </dgm:layoutNode>
        <dgm:layoutNode name="img" styleLbl="fgImgPlace1">
          <dgm:alg type="sp"/>
          <dgm:shape xmlns:r="http://schemas.openxmlformats.org/officeDocument/2006/relationships" type="roundRect" r:blip="" blipPhldr="1">
            <dgm:adjLst>
              <dgm:adj idx="1" val="0.1"/>
            </dgm:adjLst>
          </dgm:shape>
          <dgm:presOf/>
          <dgm:constrLst/>
          <dgm:ruleLst/>
        </dgm:layoutNode>
        <dgm:layoutNode name="text">
          <dgm:varLst>
            <dgm:bulletEnabled val="1"/>
          </dgm:varLst>
          <dgm:alg type="tx">
            <dgm:param type="parTxLTRAlign" val="l"/>
            <dgm:param type="parTxRTLAlign" val="r"/>
          </dgm:alg>
          <dgm:shape xmlns:r="http://schemas.openxmlformats.org/officeDocument/2006/relationships" type="rect" r:blip="" hideGeom="1">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name="Name4" axis="followSib" ptType="sibTrans" cnt="1">
        <dgm:layoutNode name="spacer">
          <dgm:alg type="sp"/>
          <dgm:shape xmlns:r="http://schemas.openxmlformats.org/officeDocument/2006/relationships" r:blip="">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4">
  <dgm:title val=""/>
  <dgm:desc val=""/>
  <dgm:catLst>
    <dgm:cat type="list" pri="13000"/>
    <dgm:cat type="picture" pri="26000"/>
    <dgm:cat type="pictureconvert" pri="26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resizeHandles val="exact"/>
    </dgm:varLst>
    <dgm:alg type="lin">
      <dgm:param type="linDir" val="fromT"/>
      <dgm:param type="vertAlign" val="t"/>
    </dgm:alg>
    <dgm:shape xmlns:r="http://schemas.openxmlformats.org/officeDocument/2006/relationships" r:blip="">
      <dgm:adjLst/>
    </dgm:shape>
    <dgm:presOf/>
    <dgm:constrLst>
      <dgm:constr type="w" for="ch" forName="comp" refType="w"/>
      <dgm:constr type="h" for="ch" forName="comp" refType="h"/>
      <dgm:constr type="h" for="ch" forName="spacer" refType="h" refFor="ch" refForName="comp" op="equ" fact="0.1"/>
      <dgm:constr type="primFontSz" for="des" forName="text" op="equ" val="65"/>
    </dgm:constrLst>
    <dgm:ruleLst/>
    <dgm:forEach name="Name0" axis="ch" ptType="node">
      <dgm:layoutNode name="comp" styleLbl="node1">
        <dgm:alg type="composite"/>
        <dgm:shape xmlns:r="http://schemas.openxmlformats.org/officeDocument/2006/relationships" r:blip="">
          <dgm:adjLst/>
        </dgm:shape>
        <dgm:presOf/>
        <dgm:choose name="Name1">
          <dgm:if name="Name2" func="var" arg="dir" op="equ" val="norm">
            <dgm:constrLst>
              <dgm:constr type="h" for="ch" forName="box" refType="h"/>
              <dgm:constr type="w" for="ch" forName="box" refType="w"/>
              <dgm:constr type="w" for="ch" forName="img" refType="w" refFor="ch" refForName="box" fact="0.2"/>
              <dgm:constr type="h" for="ch" forName="img" refType="h" refFor="ch" refForName="box" fact="0.8"/>
              <dgm:constr type="t" for="ch" forName="img" refType="h" refFor="ch" refForName="box" fact="0.1"/>
              <dgm:constr type="l" for="ch" forName="img" refType="h" refFor="ch" refForName="box" fact="0.1"/>
              <dgm:constr type="h" for="ch" forName="text" refType="h"/>
              <dgm:constr type="l" for="ch" forName="text" refType="r" refFor="ch" refForName="img"/>
              <dgm:constr type="r" for="ch" forName="text" refType="w"/>
            </dgm:constrLst>
          </dgm:if>
          <dgm:else name="Name3">
            <dgm:constrLst>
              <dgm:constr type="h" for="ch" forName="box" refType="h"/>
              <dgm:constr type="w" for="ch" forName="box" refType="w"/>
              <dgm:constr type="w" for="ch" forName="img" refType="w" refFor="ch" refForName="box" fact="0.2"/>
              <dgm:constr type="h" for="ch" forName="img" refType="h" refFor="ch" refForName="box" fact="0.8"/>
              <dgm:constr type="t" for="ch" forName="img" refType="h" refFor="ch" refForName="box" fact="0.1"/>
              <dgm:constr type="r" for="ch" forName="img" refType="w" refFor="ch" refForName="box"/>
              <dgm:constr type="rOff" for="ch" forName="img" refType="h" refFor="ch" refForName="box" fact="-0.1"/>
              <dgm:constr type="h" for="ch" forName="text" refType="h"/>
              <dgm:constr type="r" for="ch" forName="text" refType="l" refFor="ch" refForName="img"/>
              <dgm:constr type="l" for="ch" forName="text"/>
            </dgm:constrLst>
          </dgm:else>
        </dgm:choose>
        <dgm:ruleLst/>
        <dgm:layoutNode name="box" styleLbl="node1">
          <dgm:alg type="sp"/>
          <dgm:shape xmlns:r="http://schemas.openxmlformats.org/officeDocument/2006/relationships" type="roundRect" r:blip="">
            <dgm:adjLst>
              <dgm:adj idx="1" val="0.1"/>
            </dgm:adjLst>
          </dgm:shape>
          <dgm:presOf axis="desOrSelf" ptType="node"/>
          <dgm:constrLst/>
          <dgm:ruleLst/>
        </dgm:layoutNode>
        <dgm:layoutNode name="img" styleLbl="fgImgPlace1">
          <dgm:alg type="sp"/>
          <dgm:shape xmlns:r="http://schemas.openxmlformats.org/officeDocument/2006/relationships" type="roundRect" r:blip="" blipPhldr="1">
            <dgm:adjLst>
              <dgm:adj idx="1" val="0.1"/>
            </dgm:adjLst>
          </dgm:shape>
          <dgm:presOf/>
          <dgm:constrLst/>
          <dgm:ruleLst/>
        </dgm:layoutNode>
        <dgm:layoutNode name="text">
          <dgm:varLst>
            <dgm:bulletEnabled val="1"/>
          </dgm:varLst>
          <dgm:alg type="tx">
            <dgm:param type="parTxLTRAlign" val="l"/>
            <dgm:param type="parTxRTLAlign" val="r"/>
          </dgm:alg>
          <dgm:shape xmlns:r="http://schemas.openxmlformats.org/officeDocument/2006/relationships" type="rect" r:blip="" hideGeom="1">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name="Name4" axis="followSib" ptType="sibTrans" cnt="1">
        <dgm:layoutNode name="spacer">
          <dgm:alg type="sp"/>
          <dgm:shape xmlns:r="http://schemas.openxmlformats.org/officeDocument/2006/relationships" r:blip="">
            <dgm:adjLst/>
          </dgm:shape>
          <dgm:presOf axis="sel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List4">
  <dgm:title val=""/>
  <dgm:desc val=""/>
  <dgm:catLst>
    <dgm:cat type="list" pri="13000"/>
    <dgm:cat type="picture" pri="26000"/>
    <dgm:cat type="pictureconvert" pri="26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resizeHandles val="exact"/>
    </dgm:varLst>
    <dgm:alg type="lin">
      <dgm:param type="linDir" val="fromT"/>
      <dgm:param type="vertAlign" val="t"/>
    </dgm:alg>
    <dgm:shape xmlns:r="http://schemas.openxmlformats.org/officeDocument/2006/relationships" r:blip="">
      <dgm:adjLst/>
    </dgm:shape>
    <dgm:presOf/>
    <dgm:constrLst>
      <dgm:constr type="w" for="ch" forName="comp" refType="w"/>
      <dgm:constr type="h" for="ch" forName="comp" refType="h"/>
      <dgm:constr type="h" for="ch" forName="spacer" refType="h" refFor="ch" refForName="comp" op="equ" fact="0.1"/>
      <dgm:constr type="primFontSz" for="des" forName="text" op="equ" val="65"/>
    </dgm:constrLst>
    <dgm:ruleLst/>
    <dgm:forEach name="Name0" axis="ch" ptType="node">
      <dgm:layoutNode name="comp" styleLbl="node1">
        <dgm:alg type="composite"/>
        <dgm:shape xmlns:r="http://schemas.openxmlformats.org/officeDocument/2006/relationships" r:blip="">
          <dgm:adjLst/>
        </dgm:shape>
        <dgm:presOf/>
        <dgm:choose name="Name1">
          <dgm:if name="Name2" func="var" arg="dir" op="equ" val="norm">
            <dgm:constrLst>
              <dgm:constr type="h" for="ch" forName="box" refType="h"/>
              <dgm:constr type="w" for="ch" forName="box" refType="w"/>
              <dgm:constr type="w" for="ch" forName="img" refType="w" refFor="ch" refForName="box" fact="0.2"/>
              <dgm:constr type="h" for="ch" forName="img" refType="h" refFor="ch" refForName="box" fact="0.8"/>
              <dgm:constr type="t" for="ch" forName="img" refType="h" refFor="ch" refForName="box" fact="0.1"/>
              <dgm:constr type="l" for="ch" forName="img" refType="h" refFor="ch" refForName="box" fact="0.1"/>
              <dgm:constr type="h" for="ch" forName="text" refType="h"/>
              <dgm:constr type="l" for="ch" forName="text" refType="r" refFor="ch" refForName="img"/>
              <dgm:constr type="r" for="ch" forName="text" refType="w"/>
            </dgm:constrLst>
          </dgm:if>
          <dgm:else name="Name3">
            <dgm:constrLst>
              <dgm:constr type="h" for="ch" forName="box" refType="h"/>
              <dgm:constr type="w" for="ch" forName="box" refType="w"/>
              <dgm:constr type="w" for="ch" forName="img" refType="w" refFor="ch" refForName="box" fact="0.2"/>
              <dgm:constr type="h" for="ch" forName="img" refType="h" refFor="ch" refForName="box" fact="0.8"/>
              <dgm:constr type="t" for="ch" forName="img" refType="h" refFor="ch" refForName="box" fact="0.1"/>
              <dgm:constr type="r" for="ch" forName="img" refType="w" refFor="ch" refForName="box"/>
              <dgm:constr type="rOff" for="ch" forName="img" refType="h" refFor="ch" refForName="box" fact="-0.1"/>
              <dgm:constr type="h" for="ch" forName="text" refType="h"/>
              <dgm:constr type="r" for="ch" forName="text" refType="l" refFor="ch" refForName="img"/>
              <dgm:constr type="l" for="ch" forName="text"/>
            </dgm:constrLst>
          </dgm:else>
        </dgm:choose>
        <dgm:ruleLst/>
        <dgm:layoutNode name="box" styleLbl="node1">
          <dgm:alg type="sp"/>
          <dgm:shape xmlns:r="http://schemas.openxmlformats.org/officeDocument/2006/relationships" type="roundRect" r:blip="">
            <dgm:adjLst>
              <dgm:adj idx="1" val="0.1"/>
            </dgm:adjLst>
          </dgm:shape>
          <dgm:presOf axis="desOrSelf" ptType="node"/>
          <dgm:constrLst/>
          <dgm:ruleLst/>
        </dgm:layoutNode>
        <dgm:layoutNode name="img" styleLbl="fgImgPlace1">
          <dgm:alg type="sp"/>
          <dgm:shape xmlns:r="http://schemas.openxmlformats.org/officeDocument/2006/relationships" type="roundRect" r:blip="" blipPhldr="1">
            <dgm:adjLst>
              <dgm:adj idx="1" val="0.1"/>
            </dgm:adjLst>
          </dgm:shape>
          <dgm:presOf/>
          <dgm:constrLst/>
          <dgm:ruleLst/>
        </dgm:layoutNode>
        <dgm:layoutNode name="text">
          <dgm:varLst>
            <dgm:bulletEnabled val="1"/>
          </dgm:varLst>
          <dgm:alg type="tx">
            <dgm:param type="parTxLTRAlign" val="l"/>
            <dgm:param type="parTxRTLAlign" val="r"/>
          </dgm:alg>
          <dgm:shape xmlns:r="http://schemas.openxmlformats.org/officeDocument/2006/relationships" type="rect" r:blip="" hideGeom="1">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name="Name4" axis="followSib" ptType="sibTrans" cnt="1">
        <dgm:layoutNode name="spacer">
          <dgm:alg type="sp"/>
          <dgm:shape xmlns:r="http://schemas.openxmlformats.org/officeDocument/2006/relationships" r:blip="">
            <dgm:adjLst/>
          </dgm:shape>
          <dgm:presOf axis="sel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vList4">
  <dgm:title val=""/>
  <dgm:desc val=""/>
  <dgm:catLst>
    <dgm:cat type="list" pri="13000"/>
    <dgm:cat type="picture" pri="26000"/>
    <dgm:cat type="pictureconvert" pri="26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resizeHandles val="exact"/>
    </dgm:varLst>
    <dgm:alg type="lin">
      <dgm:param type="linDir" val="fromT"/>
      <dgm:param type="vertAlign" val="t"/>
    </dgm:alg>
    <dgm:shape xmlns:r="http://schemas.openxmlformats.org/officeDocument/2006/relationships" r:blip="">
      <dgm:adjLst/>
    </dgm:shape>
    <dgm:presOf/>
    <dgm:constrLst>
      <dgm:constr type="w" for="ch" forName="comp" refType="w"/>
      <dgm:constr type="h" for="ch" forName="comp" refType="h"/>
      <dgm:constr type="h" for="ch" forName="spacer" refType="h" refFor="ch" refForName="comp" op="equ" fact="0.1"/>
      <dgm:constr type="primFontSz" for="des" forName="text" op="equ" val="65"/>
    </dgm:constrLst>
    <dgm:ruleLst/>
    <dgm:forEach name="Name0" axis="ch" ptType="node">
      <dgm:layoutNode name="comp" styleLbl="node1">
        <dgm:alg type="composite"/>
        <dgm:shape xmlns:r="http://schemas.openxmlformats.org/officeDocument/2006/relationships" r:blip="">
          <dgm:adjLst/>
        </dgm:shape>
        <dgm:presOf/>
        <dgm:choose name="Name1">
          <dgm:if name="Name2" func="var" arg="dir" op="equ" val="norm">
            <dgm:constrLst>
              <dgm:constr type="h" for="ch" forName="box" refType="h"/>
              <dgm:constr type="w" for="ch" forName="box" refType="w"/>
              <dgm:constr type="w" for="ch" forName="img" refType="w" refFor="ch" refForName="box" fact="0.2"/>
              <dgm:constr type="h" for="ch" forName="img" refType="h" refFor="ch" refForName="box" fact="0.8"/>
              <dgm:constr type="t" for="ch" forName="img" refType="h" refFor="ch" refForName="box" fact="0.1"/>
              <dgm:constr type="l" for="ch" forName="img" refType="h" refFor="ch" refForName="box" fact="0.1"/>
              <dgm:constr type="h" for="ch" forName="text" refType="h"/>
              <dgm:constr type="l" for="ch" forName="text" refType="r" refFor="ch" refForName="img"/>
              <dgm:constr type="r" for="ch" forName="text" refType="w"/>
            </dgm:constrLst>
          </dgm:if>
          <dgm:else name="Name3">
            <dgm:constrLst>
              <dgm:constr type="h" for="ch" forName="box" refType="h"/>
              <dgm:constr type="w" for="ch" forName="box" refType="w"/>
              <dgm:constr type="w" for="ch" forName="img" refType="w" refFor="ch" refForName="box" fact="0.2"/>
              <dgm:constr type="h" for="ch" forName="img" refType="h" refFor="ch" refForName="box" fact="0.8"/>
              <dgm:constr type="t" for="ch" forName="img" refType="h" refFor="ch" refForName="box" fact="0.1"/>
              <dgm:constr type="r" for="ch" forName="img" refType="w" refFor="ch" refForName="box"/>
              <dgm:constr type="rOff" for="ch" forName="img" refType="h" refFor="ch" refForName="box" fact="-0.1"/>
              <dgm:constr type="h" for="ch" forName="text" refType="h"/>
              <dgm:constr type="r" for="ch" forName="text" refType="l" refFor="ch" refForName="img"/>
              <dgm:constr type="l" for="ch" forName="text"/>
            </dgm:constrLst>
          </dgm:else>
        </dgm:choose>
        <dgm:ruleLst/>
        <dgm:layoutNode name="box" styleLbl="node1">
          <dgm:alg type="sp"/>
          <dgm:shape xmlns:r="http://schemas.openxmlformats.org/officeDocument/2006/relationships" type="roundRect" r:blip="">
            <dgm:adjLst>
              <dgm:adj idx="1" val="0.1"/>
            </dgm:adjLst>
          </dgm:shape>
          <dgm:presOf axis="desOrSelf" ptType="node"/>
          <dgm:constrLst/>
          <dgm:ruleLst/>
        </dgm:layoutNode>
        <dgm:layoutNode name="img" styleLbl="fgImgPlace1">
          <dgm:alg type="sp"/>
          <dgm:shape xmlns:r="http://schemas.openxmlformats.org/officeDocument/2006/relationships" type="roundRect" r:blip="" blipPhldr="1">
            <dgm:adjLst>
              <dgm:adj idx="1" val="0.1"/>
            </dgm:adjLst>
          </dgm:shape>
          <dgm:presOf/>
          <dgm:constrLst/>
          <dgm:ruleLst/>
        </dgm:layoutNode>
        <dgm:layoutNode name="text">
          <dgm:varLst>
            <dgm:bulletEnabled val="1"/>
          </dgm:varLst>
          <dgm:alg type="tx">
            <dgm:param type="parTxLTRAlign" val="l"/>
            <dgm:param type="parTxRTLAlign" val="r"/>
          </dgm:alg>
          <dgm:shape xmlns:r="http://schemas.openxmlformats.org/officeDocument/2006/relationships" type="rect" r:blip="" hideGeom="1">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name="Name4" axis="followSib" ptType="sibTrans" cnt="1">
        <dgm:layoutNode name="spacer">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20D13D34-85A3-467B-99B1-C9EE49A03D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111</Pages>
  <Words>51802</Words>
  <Characters>295274</Characters>
  <Application>Microsoft Office Word</Application>
  <DocSecurity>0</DocSecurity>
  <Lines>2460</Lines>
  <Paragraphs>692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346384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2019-11-19T13:04:00Z</dcterms:created>
  <dcterms:modified xsi:type="dcterms:W3CDTF">2019-11-21T22:04:00Z</dcterms:modified>
</cp:coreProperties>
</file>