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24734" w:rsidP="00BA1AF1">
            <w:pPr>
              <w:jc w:val="center"/>
              <w:rPr>
                <w:rFonts w:ascii="Verdana" w:hAnsi="Verdana"/>
                <w:sz w:val="24"/>
                <w:szCs w:val="24"/>
              </w:rPr>
            </w:pPr>
            <w:r>
              <w:rPr>
                <w:rFonts w:ascii="Verdana" w:hAnsi="Verdana"/>
                <w:sz w:val="24"/>
                <w:szCs w:val="24"/>
              </w:rPr>
              <w:t>3.3</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070F59"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B24734" w:rsidRDefault="00093369" w:rsidP="00577535">
            <w:pPr>
              <w:jc w:val="center"/>
              <w:rPr>
                <w:rFonts w:ascii="Verdana" w:hAnsi="Verdana" w:cs="Arial"/>
                <w:b/>
                <w:color w:val="000000" w:themeColor="text1"/>
                <w:sz w:val="24"/>
                <w:szCs w:val="24"/>
              </w:rPr>
            </w:pPr>
            <w:r w:rsidRPr="00B24734">
              <w:rPr>
                <w:rStyle w:val="Style7"/>
                <w:rFonts w:ascii="Verdana" w:hAnsi="Verdana"/>
                <w:sz w:val="24"/>
                <w:szCs w:val="24"/>
              </w:rPr>
              <w:t>NHS FUNDED NURSING CARE (fnc)</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7D2ABD">
            <w:pPr>
              <w:rPr>
                <w:rFonts w:ascii="Verdana" w:hAnsi="Verdana" w:cs="Arial"/>
                <w:color w:val="FF0000"/>
                <w:sz w:val="24"/>
                <w:szCs w:val="24"/>
              </w:rPr>
            </w:pPr>
            <w:r w:rsidRPr="00E23B12">
              <w:rPr>
                <w:rStyle w:val="Style8"/>
                <w:rFonts w:ascii="Verdana" w:hAnsi="Verdana"/>
                <w:color w:val="000000" w:themeColor="text1"/>
                <w:szCs w:val="24"/>
              </w:rPr>
              <w:t>(</w:t>
            </w:r>
            <w:r w:rsidR="007D2ABD">
              <w:rPr>
                <w:rStyle w:val="Style8"/>
                <w:rFonts w:ascii="Verdana" w:hAnsi="Verdana"/>
                <w:color w:val="000000" w:themeColor="text1"/>
                <w:szCs w:val="24"/>
              </w:rPr>
              <w:t>28</w:t>
            </w:r>
            <w:r w:rsidRPr="00E23B12">
              <w:rPr>
                <w:rStyle w:val="Style8"/>
                <w:rFonts w:ascii="Verdana" w:hAnsi="Verdana"/>
                <w:color w:val="000000" w:themeColor="text1"/>
                <w:szCs w:val="24"/>
              </w:rPr>
              <w:t>/</w:t>
            </w:r>
            <w:r w:rsidR="007D2ABD">
              <w:rPr>
                <w:rStyle w:val="Style8"/>
                <w:rFonts w:ascii="Verdana" w:hAnsi="Verdana"/>
                <w:color w:val="000000" w:themeColor="text1"/>
                <w:szCs w:val="24"/>
              </w:rPr>
              <w:t>11</w:t>
            </w:r>
            <w:r w:rsidRPr="00E23B12">
              <w:rPr>
                <w:rStyle w:val="Style8"/>
                <w:rFonts w:ascii="Verdana" w:hAnsi="Verdana"/>
                <w:color w:val="000000" w:themeColor="text1"/>
                <w:szCs w:val="24"/>
              </w:rPr>
              <w:t>/</w:t>
            </w:r>
            <w:r w:rsidR="007D2ABD">
              <w:rPr>
                <w:rStyle w:val="Style8"/>
                <w:rFonts w:ascii="Verdana" w:hAnsi="Verdana"/>
                <w:color w:val="000000" w:themeColor="text1"/>
                <w:szCs w:val="24"/>
              </w:rPr>
              <w:t>2019</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C51C1B"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093369" w:rsidP="007D2ABD">
            <w:pPr>
              <w:jc w:val="both"/>
              <w:rPr>
                <w:rFonts w:ascii="Verdana" w:hAnsi="Verdana" w:cs="Arial"/>
                <w:caps/>
                <w:color w:val="FF0000"/>
                <w:sz w:val="24"/>
                <w:szCs w:val="24"/>
              </w:rPr>
            </w:pPr>
            <w:r>
              <w:rPr>
                <w:rFonts w:ascii="Verdana" w:hAnsi="Verdana"/>
                <w:sz w:val="24"/>
                <w:szCs w:val="24"/>
              </w:rPr>
              <w:t xml:space="preserve">Sian Lewis, Lead Nurse, </w:t>
            </w:r>
            <w:r w:rsidR="00070F59">
              <w:rPr>
                <w:rFonts w:ascii="Verdana" w:hAnsi="Verdana"/>
                <w:sz w:val="24"/>
                <w:szCs w:val="24"/>
              </w:rPr>
              <w:t>Continuing Health Care &amp; NHS Funded Nursing Care</w:t>
            </w:r>
            <w:r>
              <w:rPr>
                <w:rFonts w:ascii="Verdana" w:hAnsi="Verdana"/>
                <w:sz w:val="24"/>
                <w:szCs w:val="24"/>
              </w:rPr>
              <w:t xml:space="preserve">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070F59" w:rsidP="007D2ABD">
            <w:pPr>
              <w:jc w:val="both"/>
              <w:rPr>
                <w:rFonts w:ascii="Verdana" w:hAnsi="Verdana"/>
                <w:color w:val="FF0000"/>
                <w:sz w:val="24"/>
                <w:szCs w:val="24"/>
              </w:rPr>
            </w:pPr>
            <w:r>
              <w:rPr>
                <w:rFonts w:ascii="Verdana" w:hAnsi="Verdana"/>
                <w:sz w:val="24"/>
                <w:szCs w:val="24"/>
              </w:rPr>
              <w:t>Greg Dix, Executive Director of Nursing, Midwifery &amp; Patient Care</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070F59" w:rsidP="00577535">
                <w:pPr>
                  <w:rPr>
                    <w:rFonts w:ascii="Verdana" w:hAnsi="Verdana"/>
                    <w:caps/>
                    <w:color w:val="FF0000"/>
                    <w:sz w:val="24"/>
                    <w:szCs w:val="24"/>
                  </w:rPr>
                </w:pPr>
                <w:r>
                  <w:rPr>
                    <w:rStyle w:val="Style19"/>
                    <w:rFonts w:ascii="Verdana" w:hAnsi="Verdana"/>
                    <w:sz w:val="24"/>
                    <w:szCs w:val="24"/>
                  </w:rPr>
                  <w:t>Executive Director of Finance &amp; Procurement</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093369"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95"/>
        <w:gridCol w:w="339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C51C1B" w:rsidTr="00E55D6E">
        <w:trPr>
          <w:trHeight w:val="423"/>
        </w:trPr>
        <w:tc>
          <w:tcPr>
            <w:tcW w:w="3825" w:type="dxa"/>
            <w:vAlign w:val="center"/>
          </w:tcPr>
          <w:p w:rsidR="009D2D13" w:rsidRDefault="00791BA4" w:rsidP="00791BA4">
            <w:pPr>
              <w:jc w:val="both"/>
              <w:rPr>
                <w:rFonts w:ascii="Verdana" w:eastAsia="Calibri" w:hAnsi="Verdana" w:cs="Arial"/>
                <w:sz w:val="24"/>
                <w:szCs w:val="24"/>
                <w:lang w:val="en-GB"/>
              </w:rPr>
            </w:pPr>
            <w:r w:rsidRPr="00791BA4">
              <w:rPr>
                <w:rFonts w:ascii="Verdana" w:eastAsia="Calibri" w:hAnsi="Verdana" w:cs="Arial"/>
                <w:sz w:val="24"/>
                <w:szCs w:val="24"/>
                <w:lang w:val="en-GB"/>
              </w:rPr>
              <w:t>The lead H</w:t>
            </w:r>
            <w:r w:rsidR="007D2ABD">
              <w:rPr>
                <w:rFonts w:ascii="Verdana" w:eastAsia="Calibri" w:hAnsi="Verdana" w:cs="Arial"/>
                <w:sz w:val="24"/>
                <w:szCs w:val="24"/>
                <w:lang w:val="en-GB"/>
              </w:rPr>
              <w:t xml:space="preserve">ealth </w:t>
            </w:r>
            <w:r w:rsidRPr="00791BA4">
              <w:rPr>
                <w:rFonts w:ascii="Verdana" w:eastAsia="Calibri" w:hAnsi="Verdana" w:cs="Arial"/>
                <w:sz w:val="24"/>
                <w:szCs w:val="24"/>
                <w:lang w:val="en-GB"/>
              </w:rPr>
              <w:t>B</w:t>
            </w:r>
            <w:r w:rsidR="007D2ABD">
              <w:rPr>
                <w:rFonts w:ascii="Verdana" w:eastAsia="Calibri" w:hAnsi="Verdana" w:cs="Arial"/>
                <w:sz w:val="24"/>
                <w:szCs w:val="24"/>
                <w:lang w:val="en-GB"/>
              </w:rPr>
              <w:t>oard</w:t>
            </w:r>
            <w:r w:rsidRPr="00791BA4">
              <w:rPr>
                <w:rFonts w:ascii="Verdana" w:eastAsia="Calibri" w:hAnsi="Verdana" w:cs="Arial"/>
                <w:sz w:val="24"/>
                <w:szCs w:val="24"/>
                <w:lang w:val="en-GB"/>
              </w:rPr>
              <w:t xml:space="preserve"> </w:t>
            </w:r>
            <w:r w:rsidR="007D2ABD">
              <w:rPr>
                <w:rFonts w:ascii="Verdana" w:eastAsia="Calibri" w:hAnsi="Verdana" w:cs="Arial"/>
                <w:sz w:val="24"/>
                <w:szCs w:val="24"/>
                <w:lang w:val="en-GB"/>
              </w:rPr>
              <w:t>Chief Executive Officer (</w:t>
            </w:r>
            <w:r w:rsidRPr="00791BA4">
              <w:rPr>
                <w:rFonts w:ascii="Verdana" w:eastAsia="Calibri" w:hAnsi="Verdana" w:cs="Arial"/>
                <w:sz w:val="24"/>
                <w:szCs w:val="24"/>
                <w:lang w:val="en-GB"/>
              </w:rPr>
              <w:t>CEO</w:t>
            </w:r>
            <w:r w:rsidR="007D2ABD">
              <w:rPr>
                <w:rFonts w:ascii="Verdana" w:eastAsia="Calibri" w:hAnsi="Verdana" w:cs="Arial"/>
                <w:sz w:val="24"/>
                <w:szCs w:val="24"/>
                <w:lang w:val="en-GB"/>
              </w:rPr>
              <w:t>)</w:t>
            </w:r>
            <w:r w:rsidRPr="00791BA4">
              <w:rPr>
                <w:rFonts w:ascii="Verdana" w:eastAsia="Calibri" w:hAnsi="Verdana" w:cs="Arial"/>
                <w:sz w:val="24"/>
                <w:szCs w:val="24"/>
                <w:lang w:val="en-GB"/>
              </w:rPr>
              <w:t xml:space="preserve"> and the lead Executive Council Member of ADSS Cymru have met with sector representatives on a number of occasions over the past year to ensure appropriate engagement and also as a route to address and ongoing queries/issues. </w:t>
            </w:r>
          </w:p>
          <w:p w:rsidR="009D2D13" w:rsidRDefault="009D2D13" w:rsidP="00791BA4">
            <w:pPr>
              <w:jc w:val="both"/>
              <w:rPr>
                <w:rFonts w:ascii="Verdana" w:eastAsia="Calibri" w:hAnsi="Verdana" w:cs="Arial"/>
                <w:sz w:val="24"/>
                <w:szCs w:val="24"/>
                <w:lang w:val="en-GB"/>
              </w:rPr>
            </w:pPr>
          </w:p>
          <w:p w:rsidR="00463B6C" w:rsidRPr="00C51C1B" w:rsidRDefault="00791BA4" w:rsidP="00791BA4">
            <w:pPr>
              <w:jc w:val="both"/>
              <w:rPr>
                <w:rFonts w:ascii="Verdana" w:hAnsi="Verdana" w:cs="Arial"/>
                <w:sz w:val="24"/>
                <w:szCs w:val="24"/>
              </w:rPr>
            </w:pPr>
            <w:r w:rsidRPr="00791BA4">
              <w:rPr>
                <w:rFonts w:ascii="Verdana" w:eastAsia="Calibri" w:hAnsi="Verdana" w:cs="Arial"/>
                <w:sz w:val="24"/>
                <w:szCs w:val="24"/>
                <w:lang w:val="en-GB"/>
              </w:rPr>
              <w:lastRenderedPageBreak/>
              <w:t>These meetings have been productive and helpful and sector representatives have indicated they are content with the extension of the IUM as the recommended approach along with a need to begin consideration of an appropriate longer term methodology.</w:t>
            </w:r>
          </w:p>
        </w:tc>
        <w:tc>
          <w:tcPr>
            <w:tcW w:w="2017" w:type="dxa"/>
            <w:vAlign w:val="center"/>
          </w:tcPr>
          <w:p w:rsidR="00D227B8" w:rsidRPr="00C51C1B" w:rsidRDefault="00C51C1B" w:rsidP="00C51C1B">
            <w:pPr>
              <w:rPr>
                <w:rFonts w:ascii="Verdana" w:hAnsi="Verdana" w:cs="Arial"/>
                <w:sz w:val="24"/>
                <w:szCs w:val="24"/>
              </w:rPr>
            </w:pPr>
            <w:r w:rsidRPr="00C51C1B">
              <w:rPr>
                <w:rFonts w:ascii="Verdana" w:hAnsi="Verdana" w:cs="Arial"/>
                <w:sz w:val="24"/>
                <w:szCs w:val="24"/>
              </w:rPr>
              <w:lastRenderedPageBreak/>
              <w:t xml:space="preserve">VARIOUS </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C51C1B" w:rsidRDefault="00791BA4" w:rsidP="00577535">
                <w:pPr>
                  <w:rPr>
                    <w:rFonts w:ascii="Verdana" w:hAnsi="Verdana" w:cs="Arial"/>
                    <w:sz w:val="24"/>
                    <w:szCs w:val="24"/>
                  </w:rPr>
                </w:pPr>
                <w:r w:rsidRPr="00C51C1B">
                  <w:rPr>
                    <w:rStyle w:val="Style22"/>
                    <w:rFonts w:ascii="Verdana" w:hAnsi="Verdana"/>
                    <w:sz w:val="24"/>
                    <w:szCs w:val="24"/>
                  </w:rPr>
                  <w:t>ENDORSED FOR APPROVAL</w:t>
                </w:r>
              </w:p>
            </w:sdtContent>
          </w:sdt>
        </w:tc>
      </w:tr>
    </w:tbl>
    <w:p w:rsidR="004B1B0B" w:rsidRPr="00C51C1B" w:rsidRDefault="004B1B0B" w:rsidP="00345EE2">
      <w:pPr>
        <w:pStyle w:val="NoSpacing"/>
        <w:rPr>
          <w:rFonts w:ascii="Verdana" w:hAnsi="Verdana"/>
          <w:sz w:val="24"/>
          <w:szCs w:val="24"/>
        </w:rPr>
      </w:pPr>
    </w:p>
    <w:tbl>
      <w:tblPr>
        <w:tblStyle w:val="TableGrid"/>
        <w:tblW w:w="9634" w:type="dxa"/>
        <w:tblLook w:val="04A0" w:firstRow="1" w:lastRow="0" w:firstColumn="1" w:lastColumn="0" w:noHBand="0" w:noVBand="1"/>
      </w:tblPr>
      <w:tblGrid>
        <w:gridCol w:w="846"/>
        <w:gridCol w:w="8788"/>
      </w:tblGrid>
      <w:tr w:rsidR="00577535" w:rsidRPr="00C51C1B" w:rsidTr="00E55D6E">
        <w:trPr>
          <w:trHeight w:val="264"/>
        </w:trPr>
        <w:tc>
          <w:tcPr>
            <w:tcW w:w="9634" w:type="dxa"/>
            <w:gridSpan w:val="2"/>
            <w:shd w:val="clear" w:color="auto" w:fill="F2F2F2" w:themeFill="background1" w:themeFillShade="F2"/>
            <w:vAlign w:val="center"/>
          </w:tcPr>
          <w:p w:rsidR="00577535" w:rsidRPr="00C51C1B" w:rsidRDefault="00577535" w:rsidP="00577535">
            <w:pPr>
              <w:rPr>
                <w:rFonts w:ascii="Verdana" w:hAnsi="Verdana" w:cs="Arial"/>
                <w:sz w:val="24"/>
                <w:szCs w:val="24"/>
              </w:rPr>
            </w:pPr>
            <w:r w:rsidRPr="00C51C1B">
              <w:rPr>
                <w:rFonts w:ascii="Verdana" w:hAnsi="Verdana" w:cs="Arial"/>
                <w:b/>
                <w:sz w:val="24"/>
                <w:szCs w:val="24"/>
              </w:rPr>
              <w:t>ACRONYMS</w:t>
            </w:r>
          </w:p>
        </w:tc>
      </w:tr>
      <w:tr w:rsidR="00577535" w:rsidRPr="00C51C1B" w:rsidTr="006802A0">
        <w:trPr>
          <w:trHeight w:val="549"/>
        </w:trPr>
        <w:tc>
          <w:tcPr>
            <w:tcW w:w="846" w:type="dxa"/>
            <w:shd w:val="clear" w:color="auto" w:fill="FFFFFF" w:themeFill="background1"/>
            <w:vAlign w:val="center"/>
          </w:tcPr>
          <w:p w:rsidR="00577535" w:rsidRPr="00C51C1B" w:rsidRDefault="00577535" w:rsidP="00577535">
            <w:pPr>
              <w:rPr>
                <w:rFonts w:ascii="Verdana" w:hAnsi="Verdana" w:cs="Arial"/>
                <w:sz w:val="24"/>
                <w:szCs w:val="24"/>
              </w:rPr>
            </w:pPr>
          </w:p>
        </w:tc>
        <w:tc>
          <w:tcPr>
            <w:tcW w:w="8788" w:type="dxa"/>
            <w:vAlign w:val="center"/>
          </w:tcPr>
          <w:p w:rsidR="00577535" w:rsidRPr="00C51C1B" w:rsidRDefault="00093369" w:rsidP="00093369">
            <w:pPr>
              <w:rPr>
                <w:rFonts w:ascii="Verdana" w:hAnsi="Verdana" w:cs="Arial"/>
                <w:sz w:val="24"/>
                <w:szCs w:val="24"/>
              </w:rPr>
            </w:pPr>
            <w:r w:rsidRPr="00C51C1B">
              <w:rPr>
                <w:rFonts w:ascii="Verdana" w:hAnsi="Verdana" w:cs="Arial"/>
                <w:sz w:val="24"/>
                <w:szCs w:val="24"/>
              </w:rPr>
              <w:t>Continuing NHS Health Care (CHC), NHS Funded Nursing Care (FNC), Registered Nursing (RN), Inflationary Uplift Mechanism (IUM), Local Authority (LA), Health Board (HB), Welsh Government (WG), Chief Executive Officer (CEO)</w:t>
            </w:r>
          </w:p>
        </w:tc>
      </w:tr>
    </w:tbl>
    <w:p w:rsidR="00E55D6E" w:rsidRPr="00C51C1B" w:rsidRDefault="00E55D6E" w:rsidP="00E55D6E">
      <w:pPr>
        <w:pStyle w:val="ListParagraph"/>
        <w:spacing w:after="0" w:line="240" w:lineRule="auto"/>
        <w:ind w:left="360"/>
        <w:rPr>
          <w:rFonts w:ascii="Verdana" w:hAnsi="Verdana" w:cs="Arial"/>
          <w:b/>
          <w:sz w:val="24"/>
          <w:szCs w:val="24"/>
        </w:rPr>
      </w:pPr>
    </w:p>
    <w:p w:rsidR="006A7DA6" w:rsidRPr="00C51C1B" w:rsidRDefault="006A7DA6" w:rsidP="00344184">
      <w:pPr>
        <w:pStyle w:val="ListParagraph"/>
        <w:numPr>
          <w:ilvl w:val="0"/>
          <w:numId w:val="1"/>
        </w:numPr>
        <w:spacing w:after="0" w:line="240" w:lineRule="auto"/>
        <w:rPr>
          <w:rFonts w:ascii="Verdana" w:hAnsi="Verdana" w:cs="Arial"/>
          <w:b/>
          <w:sz w:val="24"/>
          <w:szCs w:val="24"/>
        </w:rPr>
      </w:pPr>
      <w:r w:rsidRPr="00C51C1B">
        <w:rPr>
          <w:rFonts w:ascii="Verdana" w:hAnsi="Verdana" w:cs="Arial"/>
          <w:b/>
          <w:sz w:val="24"/>
          <w:szCs w:val="24"/>
        </w:rPr>
        <w:tab/>
        <w:t>SITUATION/BACKGROUND</w:t>
      </w:r>
    </w:p>
    <w:p w:rsidR="006A7DA6" w:rsidRPr="00C51C1B" w:rsidRDefault="006A7DA6" w:rsidP="00344184">
      <w:pPr>
        <w:pStyle w:val="ListParagraph"/>
        <w:spacing w:after="0" w:line="240" w:lineRule="auto"/>
        <w:ind w:left="360"/>
        <w:rPr>
          <w:rFonts w:ascii="Verdana" w:hAnsi="Verdana" w:cs="Arial"/>
          <w:b/>
          <w:sz w:val="24"/>
          <w:szCs w:val="24"/>
        </w:rPr>
      </w:pPr>
    </w:p>
    <w:p w:rsidR="00791BA4" w:rsidRPr="00C51C1B" w:rsidRDefault="00791BA4" w:rsidP="009D2D13">
      <w:pPr>
        <w:pStyle w:val="ListParagraph"/>
        <w:numPr>
          <w:ilvl w:val="1"/>
          <w:numId w:val="1"/>
        </w:numPr>
        <w:spacing w:after="0" w:line="240" w:lineRule="auto"/>
        <w:rPr>
          <w:rFonts w:ascii="Verdana" w:hAnsi="Verdana" w:cs="Arial"/>
          <w:sz w:val="24"/>
          <w:szCs w:val="24"/>
        </w:rPr>
      </w:pPr>
      <w:r w:rsidRPr="00C51C1B">
        <w:rPr>
          <w:rFonts w:ascii="Verdana" w:hAnsi="Verdana" w:cs="Arial"/>
          <w:sz w:val="24"/>
          <w:szCs w:val="24"/>
        </w:rPr>
        <w:t>To seek Board approval for:</w:t>
      </w:r>
    </w:p>
    <w:p w:rsidR="00791BA4" w:rsidRPr="00C51C1B" w:rsidRDefault="00791BA4" w:rsidP="009D2D13">
      <w:pPr>
        <w:pStyle w:val="ListParagraph"/>
        <w:numPr>
          <w:ilvl w:val="0"/>
          <w:numId w:val="7"/>
        </w:numPr>
        <w:spacing w:after="0" w:line="240" w:lineRule="auto"/>
        <w:rPr>
          <w:rFonts w:ascii="Verdana" w:hAnsi="Verdana" w:cs="Arial"/>
          <w:sz w:val="24"/>
          <w:szCs w:val="24"/>
        </w:rPr>
      </w:pPr>
      <w:r w:rsidRPr="00C51C1B">
        <w:rPr>
          <w:rFonts w:ascii="Verdana" w:hAnsi="Verdana" w:cs="Arial"/>
          <w:sz w:val="24"/>
          <w:szCs w:val="24"/>
          <w:lang w:val="en-GB"/>
        </w:rPr>
        <w:t xml:space="preserve">Extending the current </w:t>
      </w:r>
      <w:r w:rsidRPr="00C51C1B">
        <w:rPr>
          <w:rFonts w:ascii="Verdana" w:hAnsi="Verdana" w:cs="Arial"/>
          <w:sz w:val="24"/>
          <w:szCs w:val="24"/>
        </w:rPr>
        <w:t xml:space="preserve">methodology used to calculate the FNC rate for </w:t>
      </w:r>
      <w:r w:rsidRPr="00C51C1B">
        <w:rPr>
          <w:rFonts w:ascii="Verdana" w:hAnsi="Verdana" w:cs="Arial"/>
          <w:sz w:val="24"/>
          <w:szCs w:val="24"/>
          <w:lang w:val="en-GB"/>
        </w:rPr>
        <w:t>a further two years;</w:t>
      </w:r>
    </w:p>
    <w:p w:rsidR="006A7DA6" w:rsidRPr="00C51C1B" w:rsidRDefault="00791BA4" w:rsidP="009D2D13">
      <w:pPr>
        <w:pStyle w:val="ListParagraph"/>
        <w:numPr>
          <w:ilvl w:val="0"/>
          <w:numId w:val="7"/>
        </w:numPr>
        <w:spacing w:after="0" w:line="240" w:lineRule="auto"/>
        <w:rPr>
          <w:rFonts w:ascii="Verdana" w:hAnsi="Verdana" w:cs="Arial"/>
          <w:sz w:val="24"/>
          <w:szCs w:val="24"/>
        </w:rPr>
      </w:pPr>
      <w:r w:rsidRPr="00C51C1B">
        <w:rPr>
          <w:rFonts w:ascii="Verdana" w:hAnsi="Verdana" w:cs="Arial"/>
          <w:sz w:val="24"/>
          <w:szCs w:val="24"/>
          <w:lang w:val="en-GB"/>
        </w:rPr>
        <w:t xml:space="preserve">Confirming </w:t>
      </w:r>
      <w:r w:rsidRPr="00C51C1B">
        <w:rPr>
          <w:rFonts w:ascii="Verdana" w:hAnsi="Verdana" w:cs="Arial"/>
          <w:sz w:val="24"/>
          <w:szCs w:val="24"/>
        </w:rPr>
        <w:t>the FNC rate for 2019/20</w:t>
      </w:r>
      <w:r w:rsidRPr="00C51C1B">
        <w:rPr>
          <w:rFonts w:ascii="Verdana" w:hAnsi="Verdana" w:cs="Arial"/>
          <w:sz w:val="24"/>
          <w:szCs w:val="24"/>
          <w:lang w:val="en-GB"/>
        </w:rPr>
        <w:t xml:space="preserve"> and 2020/21</w:t>
      </w:r>
    </w:p>
    <w:p w:rsidR="00791BA4" w:rsidRPr="00C51C1B" w:rsidRDefault="00791BA4" w:rsidP="009D2D13">
      <w:pPr>
        <w:spacing w:after="0" w:line="240" w:lineRule="auto"/>
        <w:rPr>
          <w:rFonts w:ascii="Verdana" w:hAnsi="Verdana" w:cs="Arial"/>
          <w:sz w:val="24"/>
          <w:szCs w:val="24"/>
        </w:rPr>
      </w:pPr>
    </w:p>
    <w:p w:rsidR="004B52A8" w:rsidRPr="004B52A8" w:rsidRDefault="00791BA4" w:rsidP="004B52A8">
      <w:pPr>
        <w:pStyle w:val="ListParagraph"/>
        <w:numPr>
          <w:ilvl w:val="1"/>
          <w:numId w:val="1"/>
        </w:numPr>
        <w:spacing w:line="240" w:lineRule="auto"/>
        <w:jc w:val="both"/>
        <w:rPr>
          <w:rFonts w:ascii="Verdana" w:eastAsia="Calibri" w:hAnsi="Verdana" w:cs="Arial"/>
          <w:sz w:val="24"/>
          <w:szCs w:val="24"/>
          <w:lang w:val="en-GB"/>
        </w:rPr>
      </w:pPr>
      <w:r w:rsidRPr="004B52A8">
        <w:rPr>
          <w:rFonts w:ascii="Verdana" w:hAnsi="Verdana" w:cs="Arial"/>
          <w:sz w:val="24"/>
          <w:szCs w:val="24"/>
        </w:rPr>
        <w:t>Funded Nursing Care (FNC) refers to the NHS funding of Registered Nursing</w:t>
      </w:r>
      <w:r w:rsidRPr="004B52A8">
        <w:rPr>
          <w:rFonts w:ascii="Verdana" w:eastAsia="Calibri" w:hAnsi="Verdana" w:cs="Arial"/>
          <w:sz w:val="24"/>
          <w:szCs w:val="24"/>
          <w:lang w:val="en-GB"/>
        </w:rPr>
        <w:t xml:space="preserve"> (RN) care within care homes, where this has been assessed as necessary. In addition to funding RN time the rate also includes a component to fund any continence p</w:t>
      </w:r>
      <w:r w:rsidR="004B52A8" w:rsidRPr="004B52A8">
        <w:rPr>
          <w:rFonts w:ascii="Verdana" w:eastAsia="Calibri" w:hAnsi="Verdana" w:cs="Arial"/>
          <w:sz w:val="24"/>
          <w:szCs w:val="24"/>
          <w:lang w:val="en-GB"/>
        </w:rPr>
        <w:t>rovisions that may be necessary</w:t>
      </w:r>
    </w:p>
    <w:p w:rsidR="004B52A8" w:rsidRDefault="004B52A8" w:rsidP="004B52A8">
      <w:pPr>
        <w:pStyle w:val="ListParagraph"/>
        <w:spacing w:line="240" w:lineRule="auto"/>
        <w:jc w:val="both"/>
        <w:rPr>
          <w:rFonts w:ascii="Verdana" w:eastAsia="Calibri" w:hAnsi="Verdana" w:cs="Arial"/>
          <w:sz w:val="24"/>
          <w:szCs w:val="24"/>
          <w:lang w:val="en-GB"/>
        </w:rPr>
      </w:pPr>
    </w:p>
    <w:p w:rsidR="004B52A8" w:rsidRDefault="00791BA4" w:rsidP="009D2D13">
      <w:pPr>
        <w:pStyle w:val="ListParagraph"/>
        <w:numPr>
          <w:ilvl w:val="1"/>
          <w:numId w:val="1"/>
        </w:numPr>
        <w:spacing w:line="240" w:lineRule="auto"/>
        <w:jc w:val="both"/>
        <w:rPr>
          <w:rFonts w:ascii="Verdana" w:eastAsia="Calibri" w:hAnsi="Verdana" w:cs="Arial"/>
          <w:sz w:val="24"/>
          <w:szCs w:val="24"/>
          <w:lang w:val="en-GB"/>
        </w:rPr>
      </w:pPr>
      <w:r w:rsidRPr="004B52A8">
        <w:rPr>
          <w:rFonts w:ascii="Verdana" w:eastAsia="Calibri" w:hAnsi="Verdana" w:cs="Arial"/>
          <w:sz w:val="24"/>
          <w:szCs w:val="24"/>
          <w:lang w:val="en-GB"/>
        </w:rPr>
        <w:t>Board members will recall from previous papers, most recently in March and December 2018, the background to this and the work commissioned by H</w:t>
      </w:r>
      <w:r w:rsidR="009D2D13" w:rsidRPr="004B52A8">
        <w:rPr>
          <w:rFonts w:ascii="Verdana" w:eastAsia="Calibri" w:hAnsi="Verdana" w:cs="Arial"/>
          <w:sz w:val="24"/>
          <w:szCs w:val="24"/>
          <w:lang w:val="en-GB"/>
        </w:rPr>
        <w:t xml:space="preserve">ealth </w:t>
      </w:r>
      <w:r w:rsidRPr="004B52A8">
        <w:rPr>
          <w:rFonts w:ascii="Verdana" w:eastAsia="Calibri" w:hAnsi="Verdana" w:cs="Arial"/>
          <w:sz w:val="24"/>
          <w:szCs w:val="24"/>
          <w:lang w:val="en-GB"/>
        </w:rPr>
        <w:t>B</w:t>
      </w:r>
      <w:r w:rsidR="009D2D13" w:rsidRPr="004B52A8">
        <w:rPr>
          <w:rFonts w:ascii="Verdana" w:eastAsia="Calibri" w:hAnsi="Verdana" w:cs="Arial"/>
          <w:sz w:val="24"/>
          <w:szCs w:val="24"/>
          <w:lang w:val="en-GB"/>
        </w:rPr>
        <w:t>oard’</w:t>
      </w:r>
      <w:r w:rsidRPr="004B52A8">
        <w:rPr>
          <w:rFonts w:ascii="Verdana" w:eastAsia="Calibri" w:hAnsi="Verdana" w:cs="Arial"/>
          <w:sz w:val="24"/>
          <w:szCs w:val="24"/>
          <w:lang w:val="en-GB"/>
        </w:rPr>
        <w:t xml:space="preserve">s </w:t>
      </w:r>
      <w:r w:rsidR="009D2D13" w:rsidRPr="004B52A8">
        <w:rPr>
          <w:rFonts w:ascii="Verdana" w:eastAsia="Calibri" w:hAnsi="Verdana" w:cs="Arial"/>
          <w:sz w:val="24"/>
          <w:szCs w:val="24"/>
          <w:lang w:val="en-GB"/>
        </w:rPr>
        <w:t xml:space="preserve">(HB’s) </w:t>
      </w:r>
      <w:r w:rsidRPr="004B52A8">
        <w:rPr>
          <w:rFonts w:ascii="Verdana" w:eastAsia="Calibri" w:hAnsi="Verdana" w:cs="Arial"/>
          <w:sz w:val="24"/>
          <w:szCs w:val="24"/>
          <w:lang w:val="en-GB"/>
        </w:rPr>
        <w:t>from Laing &amp; Buisson that was used as the basis for uplifting the FNC rate. Following this, legal challenges culminated in 2017 with a Supreme Court hearing.</w:t>
      </w:r>
    </w:p>
    <w:p w:rsidR="004B52A8" w:rsidRPr="004B52A8" w:rsidRDefault="004B52A8" w:rsidP="004B52A8">
      <w:pPr>
        <w:pStyle w:val="ListParagraph"/>
        <w:rPr>
          <w:rFonts w:ascii="Verdana" w:eastAsia="Calibri" w:hAnsi="Verdana" w:cs="Arial"/>
          <w:sz w:val="24"/>
          <w:szCs w:val="24"/>
          <w:lang w:val="en-GB"/>
        </w:rPr>
      </w:pPr>
    </w:p>
    <w:p w:rsidR="00791BA4" w:rsidRPr="004B52A8" w:rsidRDefault="00791BA4" w:rsidP="009D2D13">
      <w:pPr>
        <w:pStyle w:val="ListParagraph"/>
        <w:numPr>
          <w:ilvl w:val="1"/>
          <w:numId w:val="1"/>
        </w:numPr>
        <w:spacing w:line="240" w:lineRule="auto"/>
        <w:jc w:val="both"/>
        <w:rPr>
          <w:rFonts w:ascii="Verdana" w:eastAsia="Calibri" w:hAnsi="Verdana" w:cs="Arial"/>
          <w:sz w:val="24"/>
          <w:szCs w:val="24"/>
          <w:lang w:val="en-GB"/>
        </w:rPr>
      </w:pPr>
      <w:r w:rsidRPr="004B52A8">
        <w:rPr>
          <w:rFonts w:ascii="Verdana" w:eastAsia="Calibri" w:hAnsi="Verdana" w:cs="Arial"/>
          <w:sz w:val="24"/>
          <w:szCs w:val="24"/>
          <w:lang w:val="en-GB"/>
        </w:rPr>
        <w:t>The Supreme Court found that, in addition to the services already funded, HBs should fund some further services provided by the RN. The Judg</w:t>
      </w:r>
      <w:r w:rsidR="009D2D13" w:rsidRPr="004B52A8">
        <w:rPr>
          <w:rFonts w:ascii="Verdana" w:eastAsia="Calibri" w:hAnsi="Verdana" w:cs="Arial"/>
          <w:sz w:val="24"/>
          <w:szCs w:val="24"/>
          <w:lang w:val="en-GB"/>
        </w:rPr>
        <w:t>e</w:t>
      </w:r>
      <w:r w:rsidRPr="004B52A8">
        <w:rPr>
          <w:rFonts w:ascii="Verdana" w:eastAsia="Calibri" w:hAnsi="Verdana" w:cs="Arial"/>
          <w:sz w:val="24"/>
          <w:szCs w:val="24"/>
          <w:lang w:val="en-GB"/>
        </w:rPr>
        <w:t>ment also resulted in Local Authorities being responsible for funding some of the RN time, where the RN is providing a service that is incidental and unconnected to the nursing care requirement. Previous Board papers have set out the Supreme Court judgment in detail and the work underway across H</w:t>
      </w:r>
      <w:r w:rsidR="009D2D13" w:rsidRPr="004B52A8">
        <w:rPr>
          <w:rFonts w:ascii="Verdana" w:eastAsia="Calibri" w:hAnsi="Verdana" w:cs="Arial"/>
          <w:sz w:val="24"/>
          <w:szCs w:val="24"/>
          <w:lang w:val="en-GB"/>
        </w:rPr>
        <w:t>B</w:t>
      </w:r>
      <w:r w:rsidRPr="004B52A8">
        <w:rPr>
          <w:rFonts w:ascii="Verdana" w:eastAsia="Calibri" w:hAnsi="Verdana" w:cs="Arial"/>
          <w:sz w:val="24"/>
          <w:szCs w:val="24"/>
          <w:lang w:val="en-GB"/>
        </w:rPr>
        <w:t>s and with Local Authority representative partners to revise the funding model and address outstanding matters to reflect the Supreme Court’s Judg</w:t>
      </w:r>
      <w:r w:rsidR="009D2D13" w:rsidRPr="004B52A8">
        <w:rPr>
          <w:rFonts w:ascii="Verdana" w:eastAsia="Calibri" w:hAnsi="Verdana" w:cs="Arial"/>
          <w:sz w:val="24"/>
          <w:szCs w:val="24"/>
          <w:lang w:val="en-GB"/>
        </w:rPr>
        <w:t>e</w:t>
      </w:r>
      <w:r w:rsidRPr="004B52A8">
        <w:rPr>
          <w:rFonts w:ascii="Verdana" w:eastAsia="Calibri" w:hAnsi="Verdana" w:cs="Arial"/>
          <w:sz w:val="24"/>
          <w:szCs w:val="24"/>
          <w:lang w:val="en-GB"/>
        </w:rPr>
        <w:t xml:space="preserve">ment. </w:t>
      </w:r>
    </w:p>
    <w:p w:rsidR="006A7DA6" w:rsidRPr="00C51C1B" w:rsidRDefault="005A0836" w:rsidP="00344184">
      <w:pPr>
        <w:pStyle w:val="ListParagraph"/>
        <w:numPr>
          <w:ilvl w:val="0"/>
          <w:numId w:val="1"/>
        </w:numPr>
        <w:spacing w:after="0" w:line="240" w:lineRule="auto"/>
        <w:ind w:left="709" w:hanging="709"/>
        <w:rPr>
          <w:rFonts w:ascii="Verdana" w:hAnsi="Verdana" w:cs="Arial"/>
          <w:b/>
          <w:sz w:val="24"/>
          <w:szCs w:val="24"/>
        </w:rPr>
      </w:pPr>
      <w:r w:rsidRPr="00C51C1B">
        <w:rPr>
          <w:rFonts w:ascii="Verdana" w:hAnsi="Verdana" w:cs="Arial"/>
          <w:b/>
          <w:sz w:val="24"/>
          <w:szCs w:val="24"/>
        </w:rPr>
        <w:lastRenderedPageBreak/>
        <w:t xml:space="preserve">SPECIFIC </w:t>
      </w:r>
      <w:r w:rsidR="006A7DA6" w:rsidRPr="00C51C1B">
        <w:rPr>
          <w:rFonts w:ascii="Verdana" w:hAnsi="Verdana" w:cs="Arial"/>
          <w:b/>
          <w:sz w:val="24"/>
          <w:szCs w:val="24"/>
        </w:rPr>
        <w:t>MATTERS FOR CONSIDERATION</w:t>
      </w:r>
      <w:r w:rsidRPr="00C51C1B">
        <w:rPr>
          <w:rFonts w:ascii="Verdana" w:hAnsi="Verdana" w:cs="Arial"/>
          <w:b/>
          <w:sz w:val="24"/>
          <w:szCs w:val="24"/>
        </w:rPr>
        <w:t xml:space="preserve"> BY THIS MEETING (ASSESSMENT) </w:t>
      </w:r>
    </w:p>
    <w:p w:rsidR="006A7DA6" w:rsidRPr="00C51C1B" w:rsidRDefault="006A7DA6" w:rsidP="00344184">
      <w:pPr>
        <w:pStyle w:val="ListParagraph"/>
        <w:spacing w:after="0" w:line="240" w:lineRule="auto"/>
        <w:ind w:left="709"/>
        <w:rPr>
          <w:rFonts w:ascii="Verdana" w:hAnsi="Verdana" w:cs="Arial"/>
          <w:b/>
          <w:sz w:val="24"/>
          <w:szCs w:val="24"/>
        </w:rPr>
      </w:pPr>
    </w:p>
    <w:p w:rsidR="00791BA4" w:rsidRPr="00C51C1B" w:rsidRDefault="00791BA4" w:rsidP="00791BA4">
      <w:pPr>
        <w:rPr>
          <w:rFonts w:ascii="Verdana" w:hAnsi="Verdana" w:cs="Arial"/>
          <w:b/>
          <w:sz w:val="24"/>
          <w:szCs w:val="24"/>
        </w:rPr>
      </w:pPr>
      <w:r w:rsidRPr="00C51C1B">
        <w:rPr>
          <w:rFonts w:ascii="Verdana" w:hAnsi="Verdana" w:cs="Arial"/>
          <w:b/>
          <w:sz w:val="24"/>
          <w:szCs w:val="24"/>
        </w:rPr>
        <w:t>The Funding Methodology</w:t>
      </w:r>
    </w:p>
    <w:p w:rsidR="004B52A8" w:rsidRDefault="00791BA4" w:rsidP="009D2D13">
      <w:pPr>
        <w:pStyle w:val="ListParagraph"/>
        <w:numPr>
          <w:ilvl w:val="1"/>
          <w:numId w:val="1"/>
        </w:numPr>
        <w:spacing w:line="240" w:lineRule="auto"/>
        <w:jc w:val="both"/>
        <w:rPr>
          <w:rFonts w:ascii="Verdana" w:hAnsi="Verdana" w:cs="Arial"/>
          <w:sz w:val="24"/>
          <w:szCs w:val="24"/>
        </w:rPr>
      </w:pPr>
      <w:r w:rsidRPr="004B52A8">
        <w:rPr>
          <w:rFonts w:ascii="Verdana" w:hAnsi="Verdana" w:cs="Arial"/>
          <w:sz w:val="24"/>
          <w:szCs w:val="24"/>
        </w:rPr>
        <w:t xml:space="preserve">In 2014, HB Boards approved the adoption of an Inflationary Uplift Mechanism (IUM) to be used when calculating the FNC rate. The IUM methodology linked the </w:t>
      </w:r>
      <w:proofErr w:type="spellStart"/>
      <w:r w:rsidRPr="004B52A8">
        <w:rPr>
          <w:rFonts w:ascii="Verdana" w:hAnsi="Verdana" w:cs="Arial"/>
          <w:sz w:val="24"/>
          <w:szCs w:val="24"/>
        </w:rPr>
        <w:t>labour</w:t>
      </w:r>
      <w:proofErr w:type="spellEnd"/>
      <w:r w:rsidRPr="004B52A8">
        <w:rPr>
          <w:rFonts w:ascii="Verdana" w:hAnsi="Verdana" w:cs="Arial"/>
          <w:sz w:val="24"/>
          <w:szCs w:val="24"/>
        </w:rPr>
        <w:t xml:space="preserve"> element of the FNC rate to mid-point Band 5 of the NHS Agenda for Change pay award, with the continence component of the rate uplifted in line with CPI. Uplifts have been made on an annual basis in line with this and, since 2014, have been adjusted to reflect the revised rates post Supreme Court Judg</w:t>
      </w:r>
      <w:r w:rsidR="009D2D13" w:rsidRPr="004B52A8">
        <w:rPr>
          <w:rFonts w:ascii="Verdana" w:hAnsi="Verdana" w:cs="Arial"/>
          <w:sz w:val="24"/>
          <w:szCs w:val="24"/>
        </w:rPr>
        <w:t>e</w:t>
      </w:r>
      <w:r w:rsidRPr="004B52A8">
        <w:rPr>
          <w:rFonts w:ascii="Verdana" w:hAnsi="Verdana" w:cs="Arial"/>
          <w:sz w:val="24"/>
          <w:szCs w:val="24"/>
        </w:rPr>
        <w:t>ment.</w:t>
      </w:r>
    </w:p>
    <w:p w:rsidR="004B52A8" w:rsidRDefault="004B52A8" w:rsidP="004B52A8">
      <w:pPr>
        <w:pStyle w:val="ListParagraph"/>
        <w:spacing w:line="240" w:lineRule="auto"/>
        <w:jc w:val="both"/>
        <w:rPr>
          <w:rFonts w:ascii="Verdana" w:hAnsi="Verdana" w:cs="Arial"/>
          <w:sz w:val="24"/>
          <w:szCs w:val="24"/>
        </w:rPr>
      </w:pPr>
    </w:p>
    <w:p w:rsidR="00791BA4" w:rsidRPr="004B52A8" w:rsidRDefault="00791BA4" w:rsidP="009D2D13">
      <w:pPr>
        <w:pStyle w:val="ListParagraph"/>
        <w:numPr>
          <w:ilvl w:val="1"/>
          <w:numId w:val="1"/>
        </w:numPr>
        <w:spacing w:line="240" w:lineRule="auto"/>
        <w:jc w:val="both"/>
        <w:rPr>
          <w:rFonts w:ascii="Verdana" w:hAnsi="Verdana" w:cs="Arial"/>
          <w:sz w:val="24"/>
          <w:szCs w:val="24"/>
        </w:rPr>
      </w:pPr>
      <w:r w:rsidRPr="004B52A8">
        <w:rPr>
          <w:rFonts w:ascii="Verdana" w:hAnsi="Verdana" w:cs="Arial"/>
          <w:sz w:val="24"/>
          <w:szCs w:val="24"/>
        </w:rPr>
        <w:t xml:space="preserve">Boards approved the IUM in 2014 to apply for a period of five years, then review.  The five years completed </w:t>
      </w:r>
      <w:r w:rsidR="009D2D13" w:rsidRPr="004B52A8">
        <w:rPr>
          <w:rFonts w:ascii="Verdana" w:hAnsi="Verdana" w:cs="Arial"/>
          <w:sz w:val="24"/>
          <w:szCs w:val="24"/>
        </w:rPr>
        <w:t>wit</w:t>
      </w:r>
      <w:r w:rsidRPr="004B52A8">
        <w:rPr>
          <w:rFonts w:ascii="Verdana" w:hAnsi="Verdana" w:cs="Arial"/>
          <w:sz w:val="24"/>
          <w:szCs w:val="24"/>
        </w:rPr>
        <w:t xml:space="preserve">h 2018/19 and so Boards now need to consider the approach to apply from 2019/20 onwards. </w:t>
      </w:r>
    </w:p>
    <w:p w:rsidR="004B52A8" w:rsidRPr="004B52A8" w:rsidRDefault="00791BA4" w:rsidP="004B52A8">
      <w:pPr>
        <w:rPr>
          <w:rFonts w:ascii="Verdana" w:hAnsi="Verdana" w:cs="Arial"/>
          <w:b/>
          <w:sz w:val="24"/>
          <w:szCs w:val="24"/>
        </w:rPr>
      </w:pPr>
      <w:r w:rsidRPr="004B52A8">
        <w:rPr>
          <w:rFonts w:ascii="Verdana" w:hAnsi="Verdana" w:cs="Arial"/>
          <w:b/>
          <w:sz w:val="24"/>
          <w:szCs w:val="24"/>
        </w:rPr>
        <w:t>The Recommended approach</w:t>
      </w:r>
    </w:p>
    <w:p w:rsidR="00791BA4" w:rsidRPr="004B52A8" w:rsidRDefault="00791BA4" w:rsidP="004B52A8">
      <w:pPr>
        <w:pStyle w:val="ListParagraph"/>
        <w:numPr>
          <w:ilvl w:val="1"/>
          <w:numId w:val="1"/>
        </w:numPr>
        <w:spacing w:after="0" w:line="240" w:lineRule="auto"/>
        <w:jc w:val="both"/>
        <w:rPr>
          <w:rFonts w:ascii="Verdana" w:hAnsi="Verdana" w:cs="Arial"/>
          <w:b/>
          <w:sz w:val="24"/>
          <w:szCs w:val="24"/>
        </w:rPr>
      </w:pPr>
      <w:r w:rsidRPr="004B52A8">
        <w:rPr>
          <w:rFonts w:ascii="Verdana" w:hAnsi="Verdana" w:cs="Arial"/>
          <w:sz w:val="24"/>
          <w:szCs w:val="24"/>
        </w:rPr>
        <w:t>Health Board professional and finance leads for longer term care have developed and considered a number of options regarding the methodology to apply from 2019/20 onwards and are all in agreement that the recommended approach be that the IUM be extended for a further two year period – to cover 2019/20 and 2020/21. There are a number of reasons why this is viewed to be the most appropriate approach:</w:t>
      </w:r>
    </w:p>
    <w:p w:rsidR="00791BA4" w:rsidRPr="00C51C1B" w:rsidRDefault="00791BA4" w:rsidP="009D2D13">
      <w:pPr>
        <w:pStyle w:val="ListParagraph"/>
        <w:numPr>
          <w:ilvl w:val="0"/>
          <w:numId w:val="9"/>
        </w:numPr>
        <w:spacing w:after="0" w:line="240" w:lineRule="auto"/>
        <w:contextualSpacing w:val="0"/>
        <w:jc w:val="both"/>
        <w:rPr>
          <w:rFonts w:ascii="Verdana" w:hAnsi="Verdana" w:cs="Arial"/>
          <w:sz w:val="24"/>
          <w:szCs w:val="24"/>
        </w:rPr>
      </w:pPr>
      <w:r w:rsidRPr="00C51C1B">
        <w:rPr>
          <w:rFonts w:ascii="Verdana" w:hAnsi="Verdana" w:cs="Arial"/>
          <w:sz w:val="24"/>
          <w:szCs w:val="24"/>
        </w:rPr>
        <w:t>The IUM as a process has operated successfully for the past 5 years;</w:t>
      </w:r>
    </w:p>
    <w:p w:rsidR="00791BA4" w:rsidRPr="00C51C1B" w:rsidRDefault="00791BA4" w:rsidP="009D2D13">
      <w:pPr>
        <w:pStyle w:val="ListParagraph"/>
        <w:numPr>
          <w:ilvl w:val="0"/>
          <w:numId w:val="9"/>
        </w:numPr>
        <w:spacing w:after="0" w:line="240" w:lineRule="auto"/>
        <w:contextualSpacing w:val="0"/>
        <w:jc w:val="both"/>
        <w:rPr>
          <w:rFonts w:ascii="Verdana" w:hAnsi="Verdana" w:cs="Arial"/>
          <w:sz w:val="24"/>
          <w:szCs w:val="24"/>
        </w:rPr>
      </w:pPr>
      <w:r w:rsidRPr="00C51C1B">
        <w:rPr>
          <w:rFonts w:ascii="Verdana" w:hAnsi="Verdana" w:cs="Arial"/>
          <w:sz w:val="24"/>
          <w:szCs w:val="24"/>
        </w:rPr>
        <w:t xml:space="preserve">An extension of two years would cover the full 3 years of the current NHS </w:t>
      </w:r>
      <w:r w:rsidRPr="00C51C1B">
        <w:rPr>
          <w:rFonts w:ascii="Verdana" w:hAnsi="Verdana" w:cs="Arial"/>
          <w:sz w:val="24"/>
          <w:szCs w:val="24"/>
          <w:lang w:val="en-GB"/>
        </w:rPr>
        <w:t xml:space="preserve">Agenda for Change </w:t>
      </w:r>
      <w:r w:rsidRPr="00C51C1B">
        <w:rPr>
          <w:rFonts w:ascii="Verdana" w:hAnsi="Verdana" w:cs="Arial"/>
          <w:sz w:val="24"/>
          <w:szCs w:val="24"/>
        </w:rPr>
        <w:t>pay award;</w:t>
      </w:r>
    </w:p>
    <w:p w:rsidR="00791BA4" w:rsidRPr="00C51C1B" w:rsidRDefault="00791BA4" w:rsidP="009D2D13">
      <w:pPr>
        <w:pStyle w:val="ListParagraph"/>
        <w:numPr>
          <w:ilvl w:val="0"/>
          <w:numId w:val="9"/>
        </w:numPr>
        <w:spacing w:after="0" w:line="240" w:lineRule="auto"/>
        <w:contextualSpacing w:val="0"/>
        <w:jc w:val="both"/>
        <w:rPr>
          <w:rFonts w:ascii="Verdana" w:hAnsi="Verdana" w:cs="Arial"/>
          <w:sz w:val="24"/>
          <w:szCs w:val="24"/>
        </w:rPr>
      </w:pPr>
      <w:r w:rsidRPr="00C51C1B">
        <w:rPr>
          <w:rFonts w:ascii="Verdana" w:hAnsi="Verdana" w:cs="Arial"/>
          <w:sz w:val="24"/>
          <w:szCs w:val="24"/>
        </w:rPr>
        <w:t>It allows for further time to consider alternative longer term approaches following a</w:t>
      </w:r>
      <w:r w:rsidRPr="00C51C1B">
        <w:rPr>
          <w:rFonts w:ascii="Verdana" w:hAnsi="Verdana" w:cs="Arial"/>
          <w:sz w:val="24"/>
          <w:szCs w:val="24"/>
          <w:lang w:val="en-GB"/>
        </w:rPr>
        <w:t xml:space="preserve">n anticipated </w:t>
      </w:r>
      <w:r w:rsidRPr="00C51C1B">
        <w:rPr>
          <w:rFonts w:ascii="Verdana" w:hAnsi="Verdana" w:cs="Arial"/>
          <w:sz w:val="24"/>
          <w:szCs w:val="24"/>
        </w:rPr>
        <w:t>W</w:t>
      </w:r>
      <w:r w:rsidR="009D2D13">
        <w:rPr>
          <w:rFonts w:ascii="Verdana" w:hAnsi="Verdana" w:cs="Arial"/>
          <w:sz w:val="24"/>
          <w:szCs w:val="24"/>
        </w:rPr>
        <w:t xml:space="preserve">elsh </w:t>
      </w:r>
      <w:r w:rsidRPr="00C51C1B">
        <w:rPr>
          <w:rFonts w:ascii="Verdana" w:hAnsi="Verdana" w:cs="Arial"/>
          <w:sz w:val="24"/>
          <w:szCs w:val="24"/>
        </w:rPr>
        <w:t>G</w:t>
      </w:r>
      <w:r w:rsidR="009D2D13">
        <w:rPr>
          <w:rFonts w:ascii="Verdana" w:hAnsi="Verdana" w:cs="Arial"/>
          <w:sz w:val="24"/>
          <w:szCs w:val="24"/>
        </w:rPr>
        <w:t xml:space="preserve">overnment (WG) </w:t>
      </w:r>
      <w:r w:rsidRPr="00C51C1B">
        <w:rPr>
          <w:rFonts w:ascii="Verdana" w:hAnsi="Verdana" w:cs="Arial"/>
          <w:sz w:val="24"/>
          <w:szCs w:val="24"/>
        </w:rPr>
        <w:t>policy review and also work commissioned in England from Laing &amp; Buisson;</w:t>
      </w:r>
    </w:p>
    <w:p w:rsidR="00791BA4" w:rsidRPr="00C51C1B" w:rsidRDefault="00791BA4" w:rsidP="009D2D13">
      <w:pPr>
        <w:pStyle w:val="ListParagraph"/>
        <w:numPr>
          <w:ilvl w:val="0"/>
          <w:numId w:val="9"/>
        </w:numPr>
        <w:spacing w:after="0" w:line="240" w:lineRule="auto"/>
        <w:contextualSpacing w:val="0"/>
        <w:jc w:val="both"/>
        <w:rPr>
          <w:rFonts w:ascii="Verdana" w:hAnsi="Verdana" w:cs="Arial"/>
          <w:sz w:val="24"/>
          <w:szCs w:val="24"/>
        </w:rPr>
      </w:pPr>
      <w:r w:rsidRPr="00C51C1B">
        <w:rPr>
          <w:rFonts w:ascii="Verdana" w:hAnsi="Verdana" w:cs="Arial"/>
          <w:sz w:val="24"/>
          <w:szCs w:val="24"/>
        </w:rPr>
        <w:t>The opportunities/implications of pooled budgets as they further develop.</w:t>
      </w:r>
    </w:p>
    <w:p w:rsidR="00791BA4" w:rsidRPr="00C51C1B" w:rsidRDefault="00791BA4" w:rsidP="009D2D13">
      <w:pPr>
        <w:pStyle w:val="ListParagraph"/>
        <w:spacing w:after="0" w:line="240" w:lineRule="auto"/>
        <w:ind w:left="0"/>
        <w:contextualSpacing w:val="0"/>
        <w:jc w:val="both"/>
        <w:rPr>
          <w:rFonts w:ascii="Verdana" w:hAnsi="Verdana" w:cs="Arial"/>
          <w:sz w:val="24"/>
          <w:szCs w:val="24"/>
        </w:rPr>
      </w:pPr>
    </w:p>
    <w:p w:rsidR="004B52A8" w:rsidRDefault="00791BA4" w:rsidP="004B52A8">
      <w:pPr>
        <w:pStyle w:val="ListParagraph"/>
        <w:numPr>
          <w:ilvl w:val="1"/>
          <w:numId w:val="1"/>
        </w:numPr>
        <w:spacing w:after="0" w:line="240" w:lineRule="auto"/>
        <w:jc w:val="both"/>
        <w:rPr>
          <w:rFonts w:ascii="Verdana" w:hAnsi="Verdana" w:cs="Arial"/>
          <w:sz w:val="24"/>
          <w:szCs w:val="24"/>
        </w:rPr>
      </w:pPr>
      <w:r w:rsidRPr="004B52A8">
        <w:rPr>
          <w:rFonts w:ascii="Verdana" w:hAnsi="Verdana" w:cs="Arial"/>
          <w:sz w:val="24"/>
          <w:szCs w:val="24"/>
        </w:rPr>
        <w:t>In addition to the expert advice from HB professional</w:t>
      </w:r>
      <w:r w:rsidRPr="004B52A8">
        <w:rPr>
          <w:rFonts w:ascii="Verdana" w:hAnsi="Verdana" w:cs="Arial"/>
          <w:sz w:val="24"/>
          <w:szCs w:val="24"/>
          <w:lang w:val="en-GB"/>
        </w:rPr>
        <w:t>/</w:t>
      </w:r>
      <w:r w:rsidRPr="004B52A8">
        <w:rPr>
          <w:rFonts w:ascii="Verdana" w:hAnsi="Verdana" w:cs="Arial"/>
          <w:sz w:val="24"/>
          <w:szCs w:val="24"/>
        </w:rPr>
        <w:t>finance leads</w:t>
      </w:r>
      <w:r w:rsidR="009D2D13" w:rsidRPr="004B52A8">
        <w:rPr>
          <w:rFonts w:ascii="Verdana" w:hAnsi="Verdana" w:cs="Arial"/>
          <w:sz w:val="24"/>
          <w:szCs w:val="24"/>
        </w:rPr>
        <w:t>,</w:t>
      </w:r>
      <w:r w:rsidRPr="004B52A8">
        <w:rPr>
          <w:rFonts w:ascii="Verdana" w:hAnsi="Verdana" w:cs="Arial"/>
          <w:sz w:val="24"/>
          <w:szCs w:val="24"/>
        </w:rPr>
        <w:t xml:space="preserve"> the HB Deputy Directors of Finance </w:t>
      </w:r>
      <w:r w:rsidRPr="004B52A8">
        <w:rPr>
          <w:rFonts w:ascii="Verdana" w:hAnsi="Verdana" w:cs="Arial"/>
          <w:sz w:val="24"/>
          <w:szCs w:val="24"/>
          <w:lang w:val="en-GB"/>
        </w:rPr>
        <w:t xml:space="preserve">and Directors of Finance </w:t>
      </w:r>
      <w:r w:rsidRPr="004B52A8">
        <w:rPr>
          <w:rFonts w:ascii="Verdana" w:hAnsi="Verdana" w:cs="Arial"/>
          <w:sz w:val="24"/>
          <w:szCs w:val="24"/>
        </w:rPr>
        <w:t xml:space="preserve">have also considered this matter and agree </w:t>
      </w:r>
      <w:r w:rsidRPr="004B52A8">
        <w:rPr>
          <w:rFonts w:ascii="Verdana" w:hAnsi="Verdana" w:cs="Arial"/>
          <w:sz w:val="24"/>
          <w:szCs w:val="24"/>
          <w:lang w:val="en-GB"/>
        </w:rPr>
        <w:t xml:space="preserve">that </w:t>
      </w:r>
      <w:r w:rsidRPr="004B52A8">
        <w:rPr>
          <w:rFonts w:ascii="Verdana" w:hAnsi="Verdana" w:cs="Arial"/>
          <w:sz w:val="24"/>
          <w:szCs w:val="24"/>
        </w:rPr>
        <w:t xml:space="preserve">the extension </w:t>
      </w:r>
      <w:r w:rsidRPr="004B52A8">
        <w:rPr>
          <w:rFonts w:ascii="Verdana" w:hAnsi="Verdana" w:cs="Arial"/>
          <w:sz w:val="24"/>
          <w:szCs w:val="24"/>
          <w:lang w:val="en-GB"/>
        </w:rPr>
        <w:t>of the current methodology for a further two years is</w:t>
      </w:r>
      <w:r w:rsidRPr="004B52A8">
        <w:rPr>
          <w:rFonts w:ascii="Verdana" w:hAnsi="Verdana" w:cs="Arial"/>
          <w:sz w:val="24"/>
          <w:szCs w:val="24"/>
        </w:rPr>
        <w:t xml:space="preserve"> the most appropriate option.</w:t>
      </w:r>
    </w:p>
    <w:p w:rsidR="004B52A8" w:rsidRDefault="004B52A8" w:rsidP="004B52A8">
      <w:pPr>
        <w:pStyle w:val="ListParagraph"/>
        <w:spacing w:after="0" w:line="240" w:lineRule="auto"/>
        <w:jc w:val="both"/>
        <w:rPr>
          <w:rFonts w:ascii="Verdana" w:hAnsi="Verdana" w:cs="Arial"/>
          <w:sz w:val="24"/>
          <w:szCs w:val="24"/>
        </w:rPr>
      </w:pPr>
    </w:p>
    <w:p w:rsidR="004B52A8" w:rsidRDefault="00791BA4" w:rsidP="004B52A8">
      <w:pPr>
        <w:pStyle w:val="ListParagraph"/>
        <w:numPr>
          <w:ilvl w:val="1"/>
          <w:numId w:val="1"/>
        </w:numPr>
        <w:spacing w:after="0" w:line="240" w:lineRule="auto"/>
        <w:jc w:val="both"/>
        <w:rPr>
          <w:rFonts w:ascii="Verdana" w:hAnsi="Verdana" w:cs="Arial"/>
          <w:sz w:val="24"/>
          <w:szCs w:val="24"/>
        </w:rPr>
      </w:pPr>
      <w:r w:rsidRPr="004B52A8">
        <w:rPr>
          <w:rFonts w:ascii="Verdana" w:hAnsi="Verdana" w:cs="Arial"/>
          <w:sz w:val="24"/>
          <w:szCs w:val="24"/>
        </w:rPr>
        <w:t>CEOs</w:t>
      </w:r>
      <w:r w:rsidRPr="004B52A8">
        <w:rPr>
          <w:rFonts w:ascii="Verdana" w:hAnsi="Verdana" w:cs="Arial"/>
          <w:sz w:val="24"/>
          <w:szCs w:val="24"/>
          <w:lang w:val="en-GB"/>
        </w:rPr>
        <w:t xml:space="preserve"> have also </w:t>
      </w:r>
      <w:r w:rsidRPr="004B52A8">
        <w:rPr>
          <w:rFonts w:ascii="Verdana" w:hAnsi="Verdana" w:cs="Arial"/>
          <w:sz w:val="24"/>
          <w:szCs w:val="24"/>
        </w:rPr>
        <w:t>considered the advice from the professional and finance leads and support the proposal to extend the IUM for a further two years – to cover 2019/20 and 2020/21.</w:t>
      </w:r>
    </w:p>
    <w:p w:rsidR="004B52A8" w:rsidRPr="004B52A8" w:rsidRDefault="004B52A8" w:rsidP="004B52A8">
      <w:pPr>
        <w:pStyle w:val="ListParagraph"/>
        <w:rPr>
          <w:rFonts w:ascii="Verdana" w:hAnsi="Verdana" w:cs="Arial"/>
          <w:sz w:val="24"/>
          <w:szCs w:val="24"/>
        </w:rPr>
      </w:pPr>
    </w:p>
    <w:p w:rsidR="00791BA4" w:rsidRPr="004B52A8" w:rsidRDefault="00791BA4" w:rsidP="004B52A8">
      <w:pPr>
        <w:pStyle w:val="ListParagraph"/>
        <w:numPr>
          <w:ilvl w:val="1"/>
          <w:numId w:val="1"/>
        </w:numPr>
        <w:spacing w:after="0" w:line="240" w:lineRule="auto"/>
        <w:jc w:val="both"/>
        <w:rPr>
          <w:rFonts w:ascii="Verdana" w:hAnsi="Verdana" w:cs="Arial"/>
          <w:sz w:val="24"/>
          <w:szCs w:val="24"/>
        </w:rPr>
      </w:pPr>
      <w:r w:rsidRPr="004B52A8">
        <w:rPr>
          <w:rFonts w:ascii="Verdana" w:hAnsi="Verdana" w:cs="Arial"/>
          <w:sz w:val="24"/>
          <w:szCs w:val="24"/>
        </w:rPr>
        <w:t xml:space="preserve">HB Boards across Wales are now asked to ratify the proposal.                                                                                                                                                                                                                                                                                                                                                                                                                                                                                                                                                                                                                                                                                                                                                                                                                                                                                                                                                                                                                                                                                                                                                                                                                                                                                                                                                                                                                                                                                                                                                                                                                                                                                                                                                                                                                                                                                                                                                                                                                                                                                                                                                                                                                                                                                                                                                                                                                                                                                                                                                                                                                                                                                                                                                                                                                                                                                                                                                                                                                                                                                                                                                                                                                                                                                                                                                                                                                                                                                                                                                                                                                                                                                                                                                                                                                                                                                                                                                                                                                                                                        </w:t>
      </w:r>
    </w:p>
    <w:p w:rsidR="002F3A0D" w:rsidRPr="00C51C1B" w:rsidRDefault="002F3A0D" w:rsidP="00344184">
      <w:pPr>
        <w:spacing w:after="0" w:line="240" w:lineRule="auto"/>
        <w:rPr>
          <w:rFonts w:ascii="Verdana" w:hAnsi="Verdana" w:cs="Arial"/>
          <w:sz w:val="24"/>
          <w:szCs w:val="24"/>
        </w:rPr>
      </w:pPr>
    </w:p>
    <w:p w:rsidR="002F3A0D" w:rsidRPr="00C51C1B" w:rsidRDefault="002F3A0D" w:rsidP="00344184">
      <w:pPr>
        <w:pStyle w:val="ListParagraph"/>
        <w:numPr>
          <w:ilvl w:val="0"/>
          <w:numId w:val="1"/>
        </w:numPr>
        <w:spacing w:after="0" w:line="240" w:lineRule="auto"/>
        <w:ind w:left="709" w:hanging="709"/>
        <w:rPr>
          <w:rFonts w:ascii="Verdana" w:hAnsi="Verdana" w:cs="Arial"/>
          <w:b/>
          <w:sz w:val="24"/>
          <w:szCs w:val="24"/>
        </w:rPr>
      </w:pPr>
      <w:r w:rsidRPr="00C51C1B">
        <w:rPr>
          <w:rFonts w:ascii="Verdana" w:hAnsi="Verdana" w:cs="Arial"/>
          <w:b/>
          <w:sz w:val="24"/>
          <w:szCs w:val="24"/>
        </w:rPr>
        <w:t>KEY RISKS/MATTERS FOR ESCALATION TO BOARD/COMMITTEE</w:t>
      </w:r>
    </w:p>
    <w:p w:rsidR="00E961C0" w:rsidRPr="00C51C1B" w:rsidRDefault="00E961C0" w:rsidP="00344184">
      <w:pPr>
        <w:pStyle w:val="ListParagraph"/>
        <w:spacing w:after="0" w:line="240" w:lineRule="auto"/>
        <w:ind w:left="709"/>
        <w:rPr>
          <w:rFonts w:ascii="Verdana" w:hAnsi="Verdana" w:cs="Arial"/>
          <w:b/>
          <w:sz w:val="24"/>
          <w:szCs w:val="24"/>
        </w:rPr>
      </w:pPr>
    </w:p>
    <w:p w:rsidR="004B52A8" w:rsidRDefault="00791BA4" w:rsidP="004B52A8">
      <w:pPr>
        <w:spacing w:after="0" w:line="240" w:lineRule="auto"/>
        <w:rPr>
          <w:rFonts w:ascii="Verdana" w:hAnsi="Verdana" w:cs="Arial"/>
          <w:b/>
          <w:sz w:val="24"/>
          <w:szCs w:val="24"/>
        </w:rPr>
      </w:pPr>
      <w:r w:rsidRPr="004B52A8">
        <w:rPr>
          <w:rFonts w:ascii="Verdana" w:hAnsi="Verdana" w:cs="Arial"/>
          <w:b/>
          <w:sz w:val="24"/>
          <w:szCs w:val="24"/>
        </w:rPr>
        <w:t>The 2019/20 rate</w:t>
      </w:r>
    </w:p>
    <w:p w:rsidR="004B52A8" w:rsidRPr="004B52A8" w:rsidRDefault="004B52A8" w:rsidP="004B52A8">
      <w:pPr>
        <w:spacing w:after="0" w:line="240" w:lineRule="auto"/>
        <w:rPr>
          <w:rFonts w:ascii="Verdana" w:hAnsi="Verdana" w:cs="Arial"/>
          <w:b/>
          <w:sz w:val="24"/>
          <w:szCs w:val="24"/>
        </w:rPr>
      </w:pPr>
    </w:p>
    <w:p w:rsidR="004B52A8" w:rsidRPr="004B52A8" w:rsidRDefault="004B52A8" w:rsidP="004B52A8">
      <w:pPr>
        <w:pStyle w:val="ListParagraph"/>
        <w:numPr>
          <w:ilvl w:val="1"/>
          <w:numId w:val="1"/>
        </w:numPr>
        <w:spacing w:after="0" w:line="240" w:lineRule="auto"/>
        <w:jc w:val="both"/>
        <w:rPr>
          <w:rFonts w:ascii="Verdana" w:hAnsi="Verdana" w:cs="Arial"/>
          <w:b/>
          <w:sz w:val="24"/>
          <w:szCs w:val="24"/>
        </w:rPr>
      </w:pPr>
      <w:r w:rsidRPr="004B52A8">
        <w:rPr>
          <w:rFonts w:ascii="Verdana" w:hAnsi="Verdana" w:cs="Arial"/>
          <w:sz w:val="24"/>
          <w:szCs w:val="24"/>
        </w:rPr>
        <w:t xml:space="preserve">Setting the 2019/20 rate using the IUM has been more </w:t>
      </w:r>
      <w:proofErr w:type="spellStart"/>
      <w:r w:rsidRPr="004B52A8">
        <w:rPr>
          <w:rFonts w:ascii="Verdana" w:hAnsi="Verdana" w:cs="Arial"/>
          <w:sz w:val="24"/>
          <w:szCs w:val="24"/>
        </w:rPr>
        <w:t>compl</w:t>
      </w:r>
      <w:proofErr w:type="spellEnd"/>
      <w:r w:rsidRPr="004B52A8">
        <w:rPr>
          <w:rFonts w:ascii="Verdana" w:hAnsi="Verdana" w:cs="Arial"/>
          <w:sz w:val="24"/>
          <w:szCs w:val="24"/>
          <w:lang w:val="en-GB"/>
        </w:rPr>
        <w:t>ex</w:t>
      </w:r>
      <w:r w:rsidRPr="004B52A8">
        <w:rPr>
          <w:rFonts w:ascii="Verdana" w:hAnsi="Verdana" w:cs="Arial"/>
          <w:sz w:val="24"/>
          <w:szCs w:val="24"/>
        </w:rPr>
        <w:t xml:space="preserve"> than usual. The three y</w:t>
      </w:r>
      <w:r w:rsidRPr="004B52A8">
        <w:rPr>
          <w:rFonts w:ascii="Verdana" w:hAnsi="Verdana" w:cs="Arial"/>
          <w:sz w:val="24"/>
          <w:szCs w:val="24"/>
          <w:lang w:val="en-GB"/>
        </w:rPr>
        <w:t>ear NHS pay award has included revisions to the actual pay spines, with some incremental points being realigned and different percentage uplifts applied to some points within the Bands. It has emerged, following discussions with provider representatives, that this has an impact on the way the uplift could be calculated.</w:t>
      </w:r>
    </w:p>
    <w:p w:rsidR="004B52A8" w:rsidRPr="004B52A8" w:rsidRDefault="004B52A8" w:rsidP="004B52A8">
      <w:pPr>
        <w:pStyle w:val="ListParagraph"/>
        <w:spacing w:after="0" w:line="240" w:lineRule="auto"/>
        <w:jc w:val="both"/>
        <w:rPr>
          <w:rFonts w:ascii="Verdana" w:hAnsi="Verdana" w:cs="Arial"/>
          <w:b/>
          <w:sz w:val="24"/>
          <w:szCs w:val="24"/>
        </w:rPr>
      </w:pPr>
    </w:p>
    <w:p w:rsidR="004B52A8" w:rsidRPr="004B52A8" w:rsidRDefault="00791BA4" w:rsidP="004B52A8">
      <w:pPr>
        <w:pStyle w:val="ListParagraph"/>
        <w:numPr>
          <w:ilvl w:val="1"/>
          <w:numId w:val="1"/>
        </w:numPr>
        <w:spacing w:after="0" w:line="240" w:lineRule="auto"/>
        <w:jc w:val="both"/>
        <w:rPr>
          <w:rFonts w:ascii="Verdana" w:hAnsi="Verdana" w:cs="Arial"/>
          <w:b/>
          <w:sz w:val="24"/>
          <w:szCs w:val="24"/>
        </w:rPr>
      </w:pPr>
      <w:r w:rsidRPr="004B52A8">
        <w:rPr>
          <w:rFonts w:ascii="Verdana" w:hAnsi="Verdana" w:cs="Arial"/>
          <w:sz w:val="24"/>
          <w:szCs w:val="24"/>
          <w:lang w:val="en-GB"/>
        </w:rPr>
        <w:t>Two possible options were identified</w:t>
      </w:r>
      <w:r w:rsidRPr="00C51C1B">
        <w:rPr>
          <w:rStyle w:val="FootnoteReference"/>
          <w:rFonts w:ascii="Verdana" w:hAnsi="Verdana" w:cs="Arial"/>
          <w:sz w:val="24"/>
          <w:szCs w:val="24"/>
          <w:lang w:val="en-GB"/>
        </w:rPr>
        <w:footnoteReference w:id="1"/>
      </w:r>
      <w:r w:rsidRPr="004B52A8">
        <w:rPr>
          <w:rFonts w:ascii="Verdana" w:hAnsi="Verdana" w:cs="Arial"/>
          <w:sz w:val="24"/>
          <w:szCs w:val="24"/>
          <w:lang w:val="en-GB"/>
        </w:rPr>
        <w:t xml:space="preserve"> and, following detailed discussions across HBs (and with WG colleagues) there is a majority consensus that the uplift applied should appropriately reflect the changes to the pay scale. </w:t>
      </w:r>
    </w:p>
    <w:p w:rsidR="004B52A8" w:rsidRPr="004B52A8" w:rsidRDefault="004B52A8" w:rsidP="004B52A8">
      <w:pPr>
        <w:pStyle w:val="ListParagraph"/>
        <w:jc w:val="both"/>
        <w:rPr>
          <w:rFonts w:ascii="Verdana" w:hAnsi="Verdana" w:cs="Arial"/>
          <w:sz w:val="24"/>
          <w:szCs w:val="24"/>
          <w:lang w:val="en-GB"/>
        </w:rPr>
      </w:pPr>
    </w:p>
    <w:p w:rsidR="004B52A8" w:rsidRPr="004B52A8" w:rsidRDefault="00791BA4" w:rsidP="00791BA4">
      <w:pPr>
        <w:pStyle w:val="ListParagraph"/>
        <w:numPr>
          <w:ilvl w:val="1"/>
          <w:numId w:val="1"/>
        </w:numPr>
        <w:spacing w:after="0" w:line="240" w:lineRule="auto"/>
        <w:jc w:val="both"/>
        <w:rPr>
          <w:rFonts w:ascii="Verdana" w:hAnsi="Verdana" w:cs="Arial"/>
          <w:b/>
          <w:sz w:val="24"/>
          <w:szCs w:val="24"/>
        </w:rPr>
      </w:pPr>
      <w:r w:rsidRPr="004B52A8">
        <w:rPr>
          <w:rFonts w:ascii="Verdana" w:hAnsi="Verdana" w:cs="Arial"/>
          <w:sz w:val="24"/>
          <w:szCs w:val="24"/>
          <w:lang w:val="en-GB"/>
        </w:rPr>
        <w:t xml:space="preserve">The revised option derives an inflation rate to ensure the resulting uplift is in line with the Midpoint of Band 5, including the effect of both inflation and the pay scale restructure. </w:t>
      </w:r>
      <w:r w:rsidRPr="004B52A8">
        <w:rPr>
          <w:rFonts w:ascii="Verdana" w:hAnsi="Verdana" w:cs="Arial"/>
          <w:sz w:val="24"/>
          <w:szCs w:val="24"/>
        </w:rPr>
        <w:t xml:space="preserve"> Adopting this approach ensures that the uplift applied </w:t>
      </w:r>
      <w:r w:rsidRPr="004B52A8">
        <w:rPr>
          <w:rFonts w:ascii="Verdana" w:hAnsi="Verdana" w:cs="Arial"/>
          <w:sz w:val="24"/>
          <w:szCs w:val="24"/>
          <w:lang w:val="en-GB"/>
        </w:rPr>
        <w:t xml:space="preserve">to the nursing pay element of the fee </w:t>
      </w:r>
      <w:r w:rsidRPr="004B52A8">
        <w:rPr>
          <w:rFonts w:ascii="Verdana" w:hAnsi="Verdana" w:cs="Arial"/>
          <w:sz w:val="24"/>
          <w:szCs w:val="24"/>
        </w:rPr>
        <w:t>results in the derived salary being in line with the Mid Point of Band 5 over these years and is thus more robust</w:t>
      </w:r>
      <w:r w:rsidRPr="004B52A8">
        <w:rPr>
          <w:rFonts w:ascii="Verdana" w:hAnsi="Verdana" w:cs="Arial"/>
          <w:sz w:val="24"/>
          <w:szCs w:val="24"/>
          <w:lang w:val="en-GB"/>
        </w:rPr>
        <w:t xml:space="preserve"> and in line with the way the IUM has been used since 2014</w:t>
      </w:r>
      <w:r w:rsidRPr="004B52A8">
        <w:rPr>
          <w:rFonts w:ascii="Verdana" w:hAnsi="Verdana" w:cs="Arial"/>
          <w:sz w:val="24"/>
          <w:szCs w:val="24"/>
        </w:rPr>
        <w:t xml:space="preserve">. </w:t>
      </w:r>
      <w:r w:rsidRPr="004B52A8">
        <w:rPr>
          <w:rFonts w:ascii="Verdana" w:hAnsi="Verdana" w:cs="Arial"/>
          <w:sz w:val="24"/>
          <w:szCs w:val="24"/>
          <w:lang w:val="en-GB"/>
        </w:rPr>
        <w:t>This results in a 3.1% uplift for 2019/20 and a 3.7% uplift for 2020/21. This will have an in year unplanned financial impact of circa £818k across Wales.</w:t>
      </w:r>
    </w:p>
    <w:p w:rsidR="004B52A8" w:rsidRPr="004B52A8" w:rsidRDefault="004B52A8" w:rsidP="004B52A8">
      <w:pPr>
        <w:pStyle w:val="ListParagraph"/>
        <w:rPr>
          <w:rFonts w:ascii="Verdana" w:hAnsi="Verdana" w:cs="Arial"/>
          <w:sz w:val="24"/>
          <w:szCs w:val="24"/>
          <w:lang w:val="en-GB"/>
        </w:rPr>
      </w:pPr>
    </w:p>
    <w:p w:rsidR="00791BA4" w:rsidRPr="004B52A8" w:rsidRDefault="00791BA4" w:rsidP="00791BA4">
      <w:pPr>
        <w:pStyle w:val="ListParagraph"/>
        <w:numPr>
          <w:ilvl w:val="1"/>
          <w:numId w:val="1"/>
        </w:numPr>
        <w:spacing w:after="0" w:line="240" w:lineRule="auto"/>
        <w:jc w:val="both"/>
        <w:rPr>
          <w:rFonts w:ascii="Verdana" w:hAnsi="Verdana" w:cs="Arial"/>
          <w:b/>
          <w:sz w:val="24"/>
          <w:szCs w:val="24"/>
        </w:rPr>
      </w:pPr>
      <w:r w:rsidRPr="004B52A8">
        <w:rPr>
          <w:rFonts w:ascii="Verdana" w:hAnsi="Verdana" w:cs="Arial"/>
          <w:sz w:val="24"/>
          <w:szCs w:val="24"/>
          <w:lang w:val="en-GB"/>
        </w:rPr>
        <w:t>This can be demonstrated as follows:</w:t>
      </w:r>
    </w:p>
    <w:p w:rsidR="00791BA4" w:rsidRPr="00C51C1B" w:rsidRDefault="00791BA4" w:rsidP="00791BA4">
      <w:pPr>
        <w:spacing w:after="0" w:line="240" w:lineRule="auto"/>
        <w:rPr>
          <w:rFonts w:ascii="Verdana" w:hAnsi="Verdana" w:cs="Arial"/>
          <w:sz w:val="24"/>
          <w:szCs w:val="24"/>
          <w:lang w:val="en-GB"/>
        </w:rPr>
      </w:pPr>
    </w:p>
    <w:tbl>
      <w:tblPr>
        <w:tblStyle w:val="TableGrid"/>
        <w:tblW w:w="9067" w:type="dxa"/>
        <w:tblLook w:val="04A0" w:firstRow="1" w:lastRow="0" w:firstColumn="1" w:lastColumn="0" w:noHBand="0" w:noVBand="1"/>
      </w:tblPr>
      <w:tblGrid>
        <w:gridCol w:w="2266"/>
        <w:gridCol w:w="2267"/>
        <w:gridCol w:w="2267"/>
        <w:gridCol w:w="2267"/>
      </w:tblGrid>
      <w:tr w:rsidR="00791BA4" w:rsidRPr="00C51C1B" w:rsidTr="00A81A13">
        <w:tc>
          <w:tcPr>
            <w:tcW w:w="2266" w:type="dxa"/>
            <w:shd w:val="clear" w:color="auto" w:fill="DBE5F1" w:themeFill="accent1" w:themeFillTint="33"/>
          </w:tcPr>
          <w:p w:rsidR="00791BA4" w:rsidRPr="00C51C1B" w:rsidRDefault="00791BA4" w:rsidP="00A81A13">
            <w:pPr>
              <w:pStyle w:val="ListParagraph"/>
              <w:ind w:left="0"/>
              <w:contextualSpacing w:val="0"/>
              <w:rPr>
                <w:rFonts w:ascii="Verdana" w:hAnsi="Verdana" w:cs="Arial"/>
                <w:b/>
                <w:sz w:val="24"/>
                <w:szCs w:val="24"/>
                <w:lang w:val="en-GB"/>
              </w:rPr>
            </w:pPr>
            <w:r w:rsidRPr="00C51C1B">
              <w:rPr>
                <w:rFonts w:ascii="Verdana" w:hAnsi="Verdana" w:cs="Arial"/>
                <w:b/>
                <w:sz w:val="24"/>
                <w:szCs w:val="24"/>
                <w:lang w:val="en-GB"/>
              </w:rPr>
              <w:t>Pay Point</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18/19</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19/20</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20/21</w:t>
            </w:r>
          </w:p>
        </w:tc>
      </w:tr>
      <w:tr w:rsidR="00791BA4" w:rsidRPr="00C51C1B" w:rsidTr="00A81A13">
        <w:tc>
          <w:tcPr>
            <w:tcW w:w="2266" w:type="dxa"/>
            <w:shd w:val="clear" w:color="auto" w:fill="DBE5F1" w:themeFill="accent1" w:themeFillTint="33"/>
          </w:tcPr>
          <w:p w:rsidR="00791BA4" w:rsidRPr="00C51C1B" w:rsidRDefault="00791BA4" w:rsidP="00A81A13">
            <w:pPr>
              <w:pStyle w:val="ListParagraph"/>
              <w:ind w:left="0"/>
              <w:contextualSpacing w:val="0"/>
              <w:rPr>
                <w:rFonts w:ascii="Verdana" w:hAnsi="Verdana" w:cs="Arial"/>
                <w:sz w:val="24"/>
                <w:szCs w:val="24"/>
                <w:lang w:val="en-GB"/>
              </w:rPr>
            </w:pPr>
            <w:r w:rsidRPr="00C51C1B">
              <w:rPr>
                <w:rFonts w:ascii="Verdana" w:hAnsi="Verdana" w:cs="Arial"/>
                <w:sz w:val="24"/>
                <w:szCs w:val="24"/>
                <w:lang w:val="en-GB"/>
              </w:rPr>
              <w:t>19</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24,915</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26,220</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26,970</w:t>
            </w:r>
          </w:p>
        </w:tc>
      </w:tr>
      <w:tr w:rsidR="00791BA4" w:rsidRPr="00C51C1B" w:rsidTr="00A81A13">
        <w:tc>
          <w:tcPr>
            <w:tcW w:w="2266" w:type="dxa"/>
            <w:shd w:val="clear" w:color="auto" w:fill="DBE5F1" w:themeFill="accent1" w:themeFillTint="33"/>
          </w:tcPr>
          <w:p w:rsidR="00791BA4" w:rsidRPr="00C51C1B" w:rsidRDefault="00791BA4" w:rsidP="00A81A13">
            <w:pPr>
              <w:pStyle w:val="ListParagraph"/>
              <w:ind w:left="0"/>
              <w:contextualSpacing w:val="0"/>
              <w:rPr>
                <w:rFonts w:ascii="Verdana" w:hAnsi="Verdana" w:cs="Arial"/>
                <w:sz w:val="24"/>
                <w:szCs w:val="24"/>
                <w:lang w:val="en-GB"/>
              </w:rPr>
            </w:pPr>
            <w:r w:rsidRPr="00C51C1B">
              <w:rPr>
                <w:rFonts w:ascii="Verdana" w:hAnsi="Verdana" w:cs="Arial"/>
                <w:sz w:val="24"/>
                <w:szCs w:val="24"/>
                <w:lang w:val="en-GB"/>
              </w:rPr>
              <w:t>20</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25,934</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26,220</w:t>
            </w:r>
          </w:p>
        </w:tc>
        <w:tc>
          <w:tcPr>
            <w:tcW w:w="2267" w:type="dxa"/>
          </w:tcPr>
          <w:p w:rsidR="00791BA4" w:rsidRPr="00C51C1B" w:rsidRDefault="00791BA4" w:rsidP="00A81A13">
            <w:pPr>
              <w:pStyle w:val="ListParagraph"/>
              <w:ind w:left="0"/>
              <w:contextualSpacing w:val="0"/>
              <w:jc w:val="center"/>
              <w:rPr>
                <w:rFonts w:ascii="Verdana" w:hAnsi="Verdana" w:cs="Arial"/>
                <w:sz w:val="24"/>
                <w:szCs w:val="24"/>
                <w:lang w:val="en-GB"/>
              </w:rPr>
            </w:pPr>
            <w:r w:rsidRPr="00C51C1B">
              <w:rPr>
                <w:rFonts w:ascii="Verdana" w:hAnsi="Verdana" w:cs="Arial"/>
                <w:sz w:val="24"/>
                <w:szCs w:val="24"/>
                <w:lang w:val="en-GB"/>
              </w:rPr>
              <w:t>27,416</w:t>
            </w:r>
          </w:p>
        </w:tc>
      </w:tr>
      <w:tr w:rsidR="00791BA4" w:rsidRPr="00C51C1B" w:rsidTr="00A81A13">
        <w:tc>
          <w:tcPr>
            <w:tcW w:w="2266" w:type="dxa"/>
            <w:shd w:val="clear" w:color="auto" w:fill="DBE5F1" w:themeFill="accent1" w:themeFillTint="33"/>
          </w:tcPr>
          <w:p w:rsidR="00791BA4" w:rsidRPr="00C51C1B" w:rsidRDefault="00791BA4" w:rsidP="00A81A13">
            <w:pPr>
              <w:pStyle w:val="ListParagraph"/>
              <w:ind w:left="0"/>
              <w:contextualSpacing w:val="0"/>
              <w:rPr>
                <w:rFonts w:ascii="Verdana" w:hAnsi="Verdana" w:cs="Arial"/>
                <w:b/>
                <w:sz w:val="24"/>
                <w:szCs w:val="24"/>
                <w:lang w:val="en-GB"/>
              </w:rPr>
            </w:pPr>
            <w:r w:rsidRPr="00C51C1B">
              <w:rPr>
                <w:rFonts w:ascii="Verdana" w:hAnsi="Verdana" w:cs="Arial"/>
                <w:b/>
                <w:sz w:val="24"/>
                <w:szCs w:val="24"/>
                <w:lang w:val="en-GB"/>
              </w:rPr>
              <w:t>Average</w:t>
            </w:r>
          </w:p>
        </w:tc>
        <w:tc>
          <w:tcPr>
            <w:tcW w:w="2267" w:type="dxa"/>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25425</w:t>
            </w:r>
          </w:p>
        </w:tc>
        <w:tc>
          <w:tcPr>
            <w:tcW w:w="2267" w:type="dxa"/>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26220</w:t>
            </w:r>
          </w:p>
        </w:tc>
        <w:tc>
          <w:tcPr>
            <w:tcW w:w="2267" w:type="dxa"/>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27193</w:t>
            </w:r>
          </w:p>
        </w:tc>
      </w:tr>
      <w:tr w:rsidR="00791BA4" w:rsidRPr="00C51C1B" w:rsidTr="00A81A13">
        <w:tc>
          <w:tcPr>
            <w:tcW w:w="2266" w:type="dxa"/>
            <w:shd w:val="clear" w:color="auto" w:fill="DBE5F1" w:themeFill="accent1" w:themeFillTint="33"/>
          </w:tcPr>
          <w:p w:rsidR="00791BA4" w:rsidRPr="00C51C1B" w:rsidRDefault="00791BA4" w:rsidP="00A81A13">
            <w:pPr>
              <w:pStyle w:val="ListParagraph"/>
              <w:ind w:left="0"/>
              <w:contextualSpacing w:val="0"/>
              <w:rPr>
                <w:rFonts w:ascii="Verdana" w:hAnsi="Verdana" w:cs="Arial"/>
                <w:b/>
                <w:sz w:val="24"/>
                <w:szCs w:val="24"/>
                <w:lang w:val="en-GB"/>
              </w:rPr>
            </w:pPr>
            <w:r w:rsidRPr="00C51C1B">
              <w:rPr>
                <w:rFonts w:ascii="Verdana" w:hAnsi="Verdana" w:cs="Arial"/>
                <w:b/>
                <w:sz w:val="24"/>
                <w:szCs w:val="24"/>
                <w:lang w:val="en-GB"/>
              </w:rPr>
              <w:t>Actual % uplift</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1.5%</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3.1%</w:t>
            </w:r>
          </w:p>
        </w:tc>
        <w:tc>
          <w:tcPr>
            <w:tcW w:w="2267" w:type="dxa"/>
            <w:shd w:val="clear" w:color="auto" w:fill="DBE5F1" w:themeFill="accent1" w:themeFillTint="33"/>
          </w:tcPr>
          <w:p w:rsidR="00791BA4" w:rsidRPr="00C51C1B" w:rsidRDefault="00791BA4" w:rsidP="00A81A13">
            <w:pPr>
              <w:pStyle w:val="ListParagraph"/>
              <w:ind w:left="0"/>
              <w:contextualSpacing w:val="0"/>
              <w:jc w:val="center"/>
              <w:rPr>
                <w:rFonts w:ascii="Verdana" w:hAnsi="Verdana" w:cs="Arial"/>
                <w:b/>
                <w:sz w:val="24"/>
                <w:szCs w:val="24"/>
                <w:lang w:val="en-GB"/>
              </w:rPr>
            </w:pPr>
            <w:r w:rsidRPr="00C51C1B">
              <w:rPr>
                <w:rFonts w:ascii="Verdana" w:hAnsi="Verdana" w:cs="Arial"/>
                <w:b/>
                <w:sz w:val="24"/>
                <w:szCs w:val="24"/>
                <w:lang w:val="en-GB"/>
              </w:rPr>
              <w:t>3.7%</w:t>
            </w:r>
          </w:p>
        </w:tc>
      </w:tr>
    </w:tbl>
    <w:p w:rsidR="00791BA4" w:rsidRPr="00C51C1B" w:rsidRDefault="00791BA4" w:rsidP="00791BA4">
      <w:pPr>
        <w:spacing w:after="0" w:line="240" w:lineRule="auto"/>
        <w:rPr>
          <w:rFonts w:ascii="Verdana" w:hAnsi="Verdana" w:cs="Arial"/>
          <w:b/>
          <w:sz w:val="24"/>
          <w:szCs w:val="24"/>
          <w:lang w:val="en-GB"/>
        </w:rPr>
      </w:pPr>
    </w:p>
    <w:p w:rsidR="00791BA4" w:rsidRPr="00C51C1B" w:rsidRDefault="00791BA4" w:rsidP="00791BA4">
      <w:pPr>
        <w:spacing w:after="0" w:line="240" w:lineRule="auto"/>
        <w:rPr>
          <w:rFonts w:ascii="Verdana" w:hAnsi="Verdana" w:cs="Arial"/>
          <w:sz w:val="24"/>
          <w:szCs w:val="24"/>
          <w:lang w:val="en-GB"/>
        </w:rPr>
      </w:pPr>
      <w:r w:rsidRPr="00C51C1B">
        <w:rPr>
          <w:rFonts w:ascii="Verdana" w:hAnsi="Verdana" w:cs="Arial"/>
          <w:sz w:val="24"/>
          <w:szCs w:val="24"/>
          <w:lang w:val="en-GB"/>
        </w:rPr>
        <w:t>The uplift translates into a weekly HB FNC rate as below. The 2018/19 rate is included for comparison.</w:t>
      </w:r>
    </w:p>
    <w:p w:rsidR="00791BA4" w:rsidRDefault="00791BA4" w:rsidP="00791BA4">
      <w:pPr>
        <w:spacing w:after="0" w:line="240" w:lineRule="auto"/>
        <w:rPr>
          <w:rFonts w:ascii="Verdana" w:hAnsi="Verdana" w:cs="Arial"/>
          <w:sz w:val="24"/>
          <w:szCs w:val="24"/>
          <w:lang w:val="en-GB"/>
        </w:rPr>
      </w:pPr>
    </w:p>
    <w:p w:rsidR="009D2D13" w:rsidRPr="00C51C1B" w:rsidRDefault="009D2D13" w:rsidP="00791BA4">
      <w:pPr>
        <w:spacing w:after="0" w:line="240" w:lineRule="auto"/>
        <w:rPr>
          <w:rFonts w:ascii="Verdana" w:hAnsi="Verdana" w:cs="Arial"/>
          <w:sz w:val="24"/>
          <w:szCs w:val="24"/>
          <w:lang w:val="en-G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720"/>
        <w:gridCol w:w="1720"/>
        <w:gridCol w:w="1720"/>
        <w:gridCol w:w="1720"/>
        <w:gridCol w:w="1372"/>
      </w:tblGrid>
      <w:tr w:rsidR="00791BA4" w:rsidRPr="00C51C1B" w:rsidTr="00FD03DD">
        <w:trPr>
          <w:jc w:val="center"/>
        </w:trPr>
        <w:tc>
          <w:tcPr>
            <w:tcW w:w="1232"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Year</w:t>
            </w:r>
          </w:p>
        </w:tc>
        <w:tc>
          <w:tcPr>
            <w:tcW w:w="1709"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 uplift of RN labour component</w:t>
            </w:r>
          </w:p>
        </w:tc>
        <w:tc>
          <w:tcPr>
            <w:tcW w:w="1709"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RN component</w:t>
            </w:r>
          </w:p>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p>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w:t>
            </w:r>
          </w:p>
        </w:tc>
        <w:tc>
          <w:tcPr>
            <w:tcW w:w="1709"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 uplift of continence component</w:t>
            </w:r>
          </w:p>
        </w:tc>
        <w:tc>
          <w:tcPr>
            <w:tcW w:w="1709"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Continence component</w:t>
            </w:r>
          </w:p>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w:t>
            </w:r>
          </w:p>
        </w:tc>
        <w:tc>
          <w:tcPr>
            <w:tcW w:w="1425" w:type="dxa"/>
            <w:shd w:val="clear" w:color="auto" w:fill="DBE5F1"/>
          </w:tcPr>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Total HB FNC rate*</w:t>
            </w:r>
          </w:p>
          <w:p w:rsidR="00791BA4" w:rsidRPr="00C51C1B" w:rsidRDefault="00791BA4" w:rsidP="00A81A13">
            <w:pPr>
              <w:pStyle w:val="ListParagraph"/>
              <w:spacing w:after="0" w:line="240" w:lineRule="auto"/>
              <w:ind w:left="0"/>
              <w:contextualSpacing w:val="0"/>
              <w:jc w:val="center"/>
              <w:rPr>
                <w:rFonts w:ascii="Verdana" w:hAnsi="Verdana" w:cs="Arial"/>
                <w:b/>
                <w:sz w:val="24"/>
                <w:szCs w:val="24"/>
                <w:lang w:val="en-GB"/>
              </w:rPr>
            </w:pPr>
            <w:r w:rsidRPr="00C51C1B">
              <w:rPr>
                <w:rFonts w:ascii="Verdana" w:hAnsi="Verdana" w:cs="Arial"/>
                <w:b/>
                <w:sz w:val="24"/>
                <w:szCs w:val="24"/>
                <w:lang w:val="en-GB"/>
              </w:rPr>
              <w:t>£</w:t>
            </w:r>
          </w:p>
        </w:tc>
      </w:tr>
      <w:tr w:rsidR="00791BA4" w:rsidRPr="00C51C1B" w:rsidTr="00FD03DD">
        <w:trPr>
          <w:jc w:val="center"/>
        </w:trPr>
        <w:tc>
          <w:tcPr>
            <w:tcW w:w="1232" w:type="dxa"/>
          </w:tcPr>
          <w:p w:rsidR="00791BA4" w:rsidRPr="00C51C1B" w:rsidRDefault="00791BA4" w:rsidP="00A81A13">
            <w:pPr>
              <w:pStyle w:val="ListParagraph"/>
              <w:spacing w:after="0" w:line="240" w:lineRule="auto"/>
              <w:ind w:left="0"/>
              <w:contextualSpacing w:val="0"/>
              <w:rPr>
                <w:rFonts w:ascii="Verdana" w:hAnsi="Verdana" w:cs="Arial"/>
                <w:sz w:val="24"/>
                <w:szCs w:val="24"/>
                <w:lang w:val="en-GB"/>
              </w:rPr>
            </w:pPr>
            <w:r w:rsidRPr="00C51C1B">
              <w:rPr>
                <w:rFonts w:ascii="Verdana" w:hAnsi="Verdana" w:cs="Arial"/>
                <w:sz w:val="24"/>
                <w:szCs w:val="24"/>
                <w:lang w:val="en-GB"/>
              </w:rPr>
              <w:t>2018/19</w:t>
            </w:r>
          </w:p>
        </w:tc>
        <w:tc>
          <w:tcPr>
            <w:tcW w:w="1709" w:type="dxa"/>
            <w:shd w:val="clear" w:color="auto" w:fill="FFFFFF" w:themeFill="background1"/>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1.5%</w:t>
            </w:r>
          </w:p>
        </w:tc>
        <w:tc>
          <w:tcPr>
            <w:tcW w:w="1709" w:type="dxa"/>
            <w:shd w:val="clear" w:color="auto" w:fill="FFFFFF" w:themeFill="background1"/>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156.30</w:t>
            </w:r>
          </w:p>
        </w:tc>
        <w:tc>
          <w:tcPr>
            <w:tcW w:w="1709" w:type="dxa"/>
            <w:shd w:val="clear" w:color="auto" w:fill="FFFFFF" w:themeFill="background1"/>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2.5%</w:t>
            </w:r>
          </w:p>
        </w:tc>
        <w:tc>
          <w:tcPr>
            <w:tcW w:w="1709" w:type="dxa"/>
            <w:shd w:val="clear" w:color="auto" w:fill="FFFFFF" w:themeFill="background1"/>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11.57</w:t>
            </w:r>
          </w:p>
        </w:tc>
        <w:tc>
          <w:tcPr>
            <w:tcW w:w="1425"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167.87</w:t>
            </w:r>
          </w:p>
        </w:tc>
      </w:tr>
      <w:tr w:rsidR="00791BA4" w:rsidRPr="00C51C1B" w:rsidTr="00FD03DD">
        <w:trPr>
          <w:jc w:val="center"/>
        </w:trPr>
        <w:tc>
          <w:tcPr>
            <w:tcW w:w="1232" w:type="dxa"/>
          </w:tcPr>
          <w:p w:rsidR="00791BA4" w:rsidRPr="00C51C1B" w:rsidRDefault="00791BA4" w:rsidP="00A81A13">
            <w:pPr>
              <w:pStyle w:val="ListParagraph"/>
              <w:spacing w:after="0" w:line="240" w:lineRule="auto"/>
              <w:ind w:left="0"/>
              <w:contextualSpacing w:val="0"/>
              <w:rPr>
                <w:rFonts w:ascii="Verdana" w:hAnsi="Verdana" w:cs="Arial"/>
                <w:sz w:val="24"/>
                <w:szCs w:val="24"/>
                <w:lang w:val="en-GB"/>
              </w:rPr>
            </w:pPr>
            <w:r w:rsidRPr="00C51C1B">
              <w:rPr>
                <w:rFonts w:ascii="Verdana" w:hAnsi="Verdana" w:cs="Arial"/>
                <w:sz w:val="24"/>
                <w:szCs w:val="24"/>
                <w:lang w:val="en-GB"/>
              </w:rPr>
              <w:t>2019/20</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3.1%</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161.15</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2.1%</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11.81</w:t>
            </w:r>
          </w:p>
        </w:tc>
        <w:tc>
          <w:tcPr>
            <w:tcW w:w="1425"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172.96</w:t>
            </w:r>
          </w:p>
        </w:tc>
      </w:tr>
      <w:tr w:rsidR="00791BA4" w:rsidRPr="00C51C1B" w:rsidTr="00FD03DD">
        <w:trPr>
          <w:jc w:val="center"/>
        </w:trPr>
        <w:tc>
          <w:tcPr>
            <w:tcW w:w="1232" w:type="dxa"/>
          </w:tcPr>
          <w:p w:rsidR="00791BA4" w:rsidRPr="00C51C1B" w:rsidRDefault="00791BA4" w:rsidP="00A81A13">
            <w:pPr>
              <w:pStyle w:val="ListParagraph"/>
              <w:spacing w:after="0" w:line="240" w:lineRule="auto"/>
              <w:ind w:left="0"/>
              <w:contextualSpacing w:val="0"/>
              <w:rPr>
                <w:rFonts w:ascii="Verdana" w:hAnsi="Verdana" w:cs="Arial"/>
                <w:sz w:val="24"/>
                <w:szCs w:val="24"/>
                <w:lang w:val="en-GB"/>
              </w:rPr>
            </w:pPr>
            <w:r w:rsidRPr="00C51C1B">
              <w:rPr>
                <w:rFonts w:ascii="Verdana" w:hAnsi="Verdana" w:cs="Arial"/>
                <w:sz w:val="24"/>
                <w:szCs w:val="24"/>
                <w:lang w:val="en-GB"/>
              </w:rPr>
              <w:t>2020/21</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3.7%</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167.11</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w:t>
            </w:r>
          </w:p>
        </w:tc>
        <w:tc>
          <w:tcPr>
            <w:tcW w:w="1709"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tbc post February 2020</w:t>
            </w:r>
          </w:p>
        </w:tc>
        <w:tc>
          <w:tcPr>
            <w:tcW w:w="1425" w:type="dxa"/>
          </w:tcPr>
          <w:p w:rsidR="00791BA4" w:rsidRPr="00C51C1B" w:rsidRDefault="00791BA4" w:rsidP="00A81A13">
            <w:pPr>
              <w:pStyle w:val="ListParagraph"/>
              <w:spacing w:after="0" w:line="240" w:lineRule="auto"/>
              <w:ind w:left="0"/>
              <w:contextualSpacing w:val="0"/>
              <w:jc w:val="center"/>
              <w:rPr>
                <w:rFonts w:ascii="Verdana" w:hAnsi="Verdana" w:cs="Arial"/>
                <w:sz w:val="24"/>
                <w:szCs w:val="24"/>
                <w:lang w:val="en-GB"/>
              </w:rPr>
            </w:pPr>
            <w:r w:rsidRPr="00C51C1B">
              <w:rPr>
                <w:rFonts w:ascii="Verdana" w:hAnsi="Verdana" w:cs="Arial"/>
                <w:sz w:val="24"/>
                <w:szCs w:val="24"/>
                <w:lang w:val="en-GB"/>
              </w:rPr>
              <w:t>tbc post February 2020</w:t>
            </w:r>
          </w:p>
        </w:tc>
      </w:tr>
    </w:tbl>
    <w:p w:rsidR="00791BA4" w:rsidRPr="00C51C1B" w:rsidRDefault="00791BA4" w:rsidP="00791BA4">
      <w:pPr>
        <w:spacing w:after="0" w:line="240" w:lineRule="auto"/>
        <w:rPr>
          <w:rFonts w:ascii="Verdana" w:hAnsi="Verdana" w:cs="Arial"/>
          <w:sz w:val="24"/>
          <w:szCs w:val="24"/>
        </w:rPr>
      </w:pPr>
    </w:p>
    <w:p w:rsidR="00791BA4" w:rsidRPr="00C51C1B" w:rsidRDefault="00791BA4" w:rsidP="00791BA4">
      <w:pPr>
        <w:spacing w:after="0" w:line="240" w:lineRule="auto"/>
        <w:jc w:val="both"/>
        <w:rPr>
          <w:rFonts w:ascii="Verdana" w:hAnsi="Verdana" w:cs="Arial"/>
          <w:sz w:val="24"/>
          <w:szCs w:val="24"/>
          <w:lang w:val="en-GB"/>
        </w:rPr>
      </w:pPr>
      <w:r w:rsidRPr="00C51C1B">
        <w:rPr>
          <w:rFonts w:ascii="Verdana" w:hAnsi="Verdana" w:cs="Arial"/>
          <w:sz w:val="24"/>
          <w:szCs w:val="24"/>
          <w:lang w:val="en-GB"/>
        </w:rPr>
        <w:t xml:space="preserve">* Note: In addition the LA is responsible for an additional 0.385 hours of RN time. This is currently paid by the responsible LA utilising a WG Grant.  </w:t>
      </w:r>
    </w:p>
    <w:p w:rsidR="00791BA4" w:rsidRPr="00C51C1B" w:rsidRDefault="00791BA4" w:rsidP="00791BA4">
      <w:pPr>
        <w:spacing w:after="0" w:line="240" w:lineRule="auto"/>
        <w:jc w:val="both"/>
        <w:rPr>
          <w:rFonts w:ascii="Verdana" w:hAnsi="Verdana" w:cs="Arial"/>
          <w:sz w:val="24"/>
          <w:szCs w:val="24"/>
          <w:lang w:val="en-GB"/>
        </w:rPr>
      </w:pPr>
    </w:p>
    <w:p w:rsidR="00791BA4" w:rsidRPr="00C51C1B" w:rsidRDefault="00791BA4" w:rsidP="00C51C1B">
      <w:pPr>
        <w:spacing w:after="0" w:line="240" w:lineRule="auto"/>
        <w:jc w:val="both"/>
        <w:rPr>
          <w:rFonts w:ascii="Verdana" w:hAnsi="Verdana" w:cs="Arial"/>
          <w:sz w:val="24"/>
          <w:szCs w:val="24"/>
          <w:lang w:val="en-GB"/>
        </w:rPr>
      </w:pPr>
      <w:r w:rsidRPr="00C51C1B">
        <w:rPr>
          <w:rFonts w:ascii="Verdana" w:hAnsi="Verdana" w:cs="Arial"/>
          <w:sz w:val="24"/>
          <w:szCs w:val="24"/>
          <w:lang w:val="en-GB"/>
        </w:rPr>
        <w:t>** Note: The CPI uplift for 2020/21 will be based on the February 2020 published index for the previous 12 months, ensuring the rate can be calculated and becomes payable directly from the 1 April 2020.</w:t>
      </w:r>
    </w:p>
    <w:p w:rsidR="002F3A0D" w:rsidRPr="00C51C1B" w:rsidRDefault="002F3A0D" w:rsidP="00344184">
      <w:pPr>
        <w:spacing w:after="0" w:line="240" w:lineRule="auto"/>
        <w:rPr>
          <w:rFonts w:ascii="Verdana" w:hAnsi="Verdana" w:cs="Arial"/>
          <w:b/>
          <w:sz w:val="24"/>
          <w:szCs w:val="24"/>
        </w:rPr>
      </w:pPr>
    </w:p>
    <w:p w:rsidR="006A7DA6" w:rsidRPr="00C51C1B" w:rsidRDefault="0083034D" w:rsidP="00344184">
      <w:pPr>
        <w:pStyle w:val="ListParagraph"/>
        <w:numPr>
          <w:ilvl w:val="0"/>
          <w:numId w:val="1"/>
        </w:numPr>
        <w:spacing w:after="0" w:line="240" w:lineRule="auto"/>
        <w:ind w:left="709" w:hanging="709"/>
        <w:rPr>
          <w:rFonts w:ascii="Verdana" w:hAnsi="Verdana" w:cs="Arial"/>
          <w:b/>
          <w:sz w:val="24"/>
          <w:szCs w:val="24"/>
        </w:rPr>
      </w:pPr>
      <w:r w:rsidRPr="00C51C1B">
        <w:rPr>
          <w:rFonts w:ascii="Verdana" w:hAnsi="Verdana" w:cs="Arial"/>
          <w:b/>
          <w:sz w:val="24"/>
          <w:szCs w:val="24"/>
        </w:rPr>
        <w:t xml:space="preserve">IMPACT </w:t>
      </w:r>
      <w:r w:rsidR="006617E2" w:rsidRPr="00C51C1B">
        <w:rPr>
          <w:rFonts w:ascii="Verdana" w:hAnsi="Verdana" w:cs="Arial"/>
          <w:b/>
          <w:sz w:val="24"/>
          <w:szCs w:val="24"/>
        </w:rPr>
        <w:t>ASSE</w:t>
      </w:r>
      <w:r w:rsidR="006A7DA6" w:rsidRPr="00C51C1B">
        <w:rPr>
          <w:rFonts w:ascii="Verdana" w:hAnsi="Verdana" w:cs="Arial"/>
          <w:b/>
          <w:sz w:val="24"/>
          <w:szCs w:val="24"/>
        </w:rPr>
        <w:t>S</w:t>
      </w:r>
      <w:r w:rsidR="006617E2" w:rsidRPr="00C51C1B">
        <w:rPr>
          <w:rFonts w:ascii="Verdana" w:hAnsi="Verdana" w:cs="Arial"/>
          <w:b/>
          <w:sz w:val="24"/>
          <w:szCs w:val="24"/>
        </w:rPr>
        <w:t>S</w:t>
      </w:r>
      <w:r w:rsidR="006A7DA6" w:rsidRPr="00C51C1B">
        <w:rPr>
          <w:rFonts w:ascii="Verdana" w:hAnsi="Verdana" w:cs="Arial"/>
          <w:b/>
          <w:sz w:val="24"/>
          <w:szCs w:val="24"/>
        </w:rPr>
        <w:t>MENT</w:t>
      </w:r>
    </w:p>
    <w:p w:rsidR="00344184" w:rsidRPr="00C51C1B"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C51C1B" w:rsidTr="00577535">
        <w:trPr>
          <w:trHeight w:val="876"/>
        </w:trPr>
        <w:tc>
          <w:tcPr>
            <w:tcW w:w="4111" w:type="dxa"/>
            <w:vMerge w:val="restart"/>
            <w:shd w:val="clear" w:color="auto" w:fill="F2F2F2" w:themeFill="background1" w:themeFillShade="F2"/>
            <w:vAlign w:val="center"/>
          </w:tcPr>
          <w:p w:rsidR="007F0937" w:rsidRPr="00C51C1B" w:rsidRDefault="000B4302" w:rsidP="000B4302">
            <w:pPr>
              <w:rPr>
                <w:rFonts w:ascii="Verdana" w:hAnsi="Verdana" w:cs="Arial"/>
                <w:b/>
                <w:sz w:val="24"/>
                <w:szCs w:val="24"/>
              </w:rPr>
            </w:pPr>
            <w:r w:rsidRPr="00C51C1B">
              <w:rPr>
                <w:rFonts w:ascii="Verdana" w:hAnsi="Verdana" w:cs="Arial"/>
                <w:b/>
                <w:sz w:val="24"/>
                <w:szCs w:val="24"/>
              </w:rPr>
              <w:t>Quality/S</w:t>
            </w:r>
            <w:r w:rsidR="00344184" w:rsidRPr="00C51C1B">
              <w:rPr>
                <w:rFonts w:ascii="Verdana" w:hAnsi="Verdana" w:cs="Arial"/>
                <w:b/>
                <w:sz w:val="24"/>
                <w:szCs w:val="24"/>
              </w:rPr>
              <w:t>afety</w:t>
            </w:r>
            <w:r w:rsidRPr="00C51C1B">
              <w:rPr>
                <w:rFonts w:ascii="Verdana" w:hAnsi="Verdana" w:cs="Arial"/>
                <w:b/>
                <w:sz w:val="24"/>
                <w:szCs w:val="24"/>
              </w:rPr>
              <w:t>/Patient Experience</w:t>
            </w:r>
            <w:r w:rsidR="00344184" w:rsidRPr="00C51C1B">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C51C1B" w:rsidRDefault="00C51C1B" w:rsidP="00344184">
                <w:pPr>
                  <w:jc w:val="both"/>
                  <w:rPr>
                    <w:rFonts w:ascii="Verdana" w:hAnsi="Verdana" w:cs="Arial"/>
                    <w:sz w:val="24"/>
                    <w:szCs w:val="24"/>
                  </w:rPr>
                </w:pPr>
                <w:r w:rsidRPr="00C51C1B">
                  <w:rPr>
                    <w:rFonts w:ascii="Verdana" w:hAnsi="Verdana" w:cs="Arial"/>
                    <w:sz w:val="24"/>
                    <w:szCs w:val="24"/>
                  </w:rPr>
                  <w:t>There are no specific quality and safety implications related to the activity outined in this report.</w:t>
                </w:r>
              </w:p>
            </w:tc>
          </w:sdtContent>
        </w:sdt>
      </w:tr>
      <w:tr w:rsidR="007F0937" w:rsidRPr="00C51C1B" w:rsidTr="00E55D6E">
        <w:trPr>
          <w:trHeight w:val="70"/>
        </w:trPr>
        <w:tc>
          <w:tcPr>
            <w:tcW w:w="4111" w:type="dxa"/>
            <w:vMerge/>
            <w:shd w:val="clear" w:color="auto" w:fill="F2F2F2" w:themeFill="background1" w:themeFillShade="F2"/>
            <w:vAlign w:val="center"/>
          </w:tcPr>
          <w:p w:rsidR="007F0937" w:rsidRPr="00C51C1B" w:rsidRDefault="007F0937" w:rsidP="00344184">
            <w:pPr>
              <w:rPr>
                <w:rFonts w:ascii="Verdana" w:hAnsi="Verdana" w:cs="Arial"/>
                <w:b/>
                <w:sz w:val="24"/>
                <w:szCs w:val="24"/>
              </w:rPr>
            </w:pPr>
          </w:p>
        </w:tc>
        <w:tc>
          <w:tcPr>
            <w:tcW w:w="5245" w:type="dxa"/>
            <w:vAlign w:val="center"/>
          </w:tcPr>
          <w:p w:rsidR="007F0937" w:rsidRPr="00C51C1B" w:rsidRDefault="007F0937" w:rsidP="00344184">
            <w:pPr>
              <w:jc w:val="both"/>
              <w:rPr>
                <w:rFonts w:ascii="Verdana" w:hAnsi="Verdana" w:cs="Arial"/>
                <w:sz w:val="24"/>
                <w:szCs w:val="24"/>
              </w:rPr>
            </w:pPr>
          </w:p>
        </w:tc>
      </w:tr>
      <w:tr w:rsidR="00C52F2D" w:rsidRPr="00C51C1B" w:rsidTr="00577535">
        <w:trPr>
          <w:trHeight w:val="847"/>
        </w:trPr>
        <w:tc>
          <w:tcPr>
            <w:tcW w:w="4111" w:type="dxa"/>
            <w:vMerge w:val="restart"/>
            <w:shd w:val="clear" w:color="auto" w:fill="F2F2F2" w:themeFill="background1" w:themeFillShade="F2"/>
            <w:vAlign w:val="center"/>
          </w:tcPr>
          <w:p w:rsidR="00C52F2D" w:rsidRPr="00C51C1B" w:rsidRDefault="00E55D6E" w:rsidP="00E55D6E">
            <w:pPr>
              <w:rPr>
                <w:rFonts w:ascii="Verdana" w:hAnsi="Verdana" w:cs="Arial"/>
                <w:b/>
                <w:sz w:val="24"/>
                <w:szCs w:val="24"/>
              </w:rPr>
            </w:pPr>
            <w:r w:rsidRPr="00C51C1B">
              <w:rPr>
                <w:rFonts w:ascii="Verdana" w:hAnsi="Verdana" w:cs="Arial"/>
                <w:b/>
                <w:sz w:val="24"/>
                <w:szCs w:val="24"/>
              </w:rPr>
              <w:t>Related H</w:t>
            </w:r>
            <w:r w:rsidR="00344184" w:rsidRPr="00C51C1B">
              <w:rPr>
                <w:rFonts w:ascii="Verdana" w:hAnsi="Verdana" w:cs="Arial"/>
                <w:b/>
                <w:sz w:val="24"/>
                <w:szCs w:val="24"/>
              </w:rPr>
              <w:t>ealth</w:t>
            </w:r>
            <w:r w:rsidRPr="00C51C1B">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C51C1B" w:rsidRDefault="00AB4BC8"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C51C1B" w:rsidTr="00C52F2D">
        <w:trPr>
          <w:trHeight w:val="559"/>
        </w:trPr>
        <w:tc>
          <w:tcPr>
            <w:tcW w:w="4111" w:type="dxa"/>
            <w:vMerge/>
            <w:shd w:val="clear" w:color="auto" w:fill="F2F2F2" w:themeFill="background1" w:themeFillShade="F2"/>
            <w:vAlign w:val="center"/>
          </w:tcPr>
          <w:p w:rsidR="00C52F2D" w:rsidRPr="00C51C1B" w:rsidRDefault="00C52F2D" w:rsidP="00344184">
            <w:pPr>
              <w:rPr>
                <w:rFonts w:ascii="Verdana" w:hAnsi="Verdana" w:cs="Arial"/>
                <w:b/>
                <w:sz w:val="24"/>
                <w:szCs w:val="24"/>
              </w:rPr>
            </w:pPr>
          </w:p>
        </w:tc>
        <w:tc>
          <w:tcPr>
            <w:tcW w:w="5245" w:type="dxa"/>
            <w:vAlign w:val="center"/>
          </w:tcPr>
          <w:p w:rsidR="00C52F2D" w:rsidRPr="00C51C1B" w:rsidRDefault="00C52F2D" w:rsidP="004B52A8">
            <w:pPr>
              <w:jc w:val="both"/>
              <w:rPr>
                <w:rStyle w:val="Style31"/>
                <w:rFonts w:ascii="Verdana" w:hAnsi="Verdana"/>
                <w:sz w:val="24"/>
                <w:szCs w:val="24"/>
              </w:rPr>
            </w:pPr>
            <w:bookmarkStart w:id="0" w:name="_GoBack"/>
            <w:bookmarkEnd w:id="0"/>
          </w:p>
        </w:tc>
      </w:tr>
      <w:tr w:rsidR="007F0937" w:rsidRPr="00C51C1B" w:rsidTr="00223C86">
        <w:trPr>
          <w:trHeight w:val="787"/>
        </w:trPr>
        <w:tc>
          <w:tcPr>
            <w:tcW w:w="4111" w:type="dxa"/>
            <w:vMerge w:val="restart"/>
            <w:shd w:val="clear" w:color="auto" w:fill="F2F2F2" w:themeFill="background1" w:themeFillShade="F2"/>
            <w:vAlign w:val="center"/>
          </w:tcPr>
          <w:p w:rsidR="007F0937" w:rsidRPr="00C51C1B" w:rsidRDefault="00344184" w:rsidP="00344184">
            <w:pPr>
              <w:rPr>
                <w:rFonts w:ascii="Verdana" w:hAnsi="Verdana" w:cs="Arial"/>
                <w:b/>
                <w:sz w:val="24"/>
                <w:szCs w:val="24"/>
              </w:rPr>
            </w:pPr>
            <w:r w:rsidRPr="00C51C1B">
              <w:rPr>
                <w:rFonts w:ascii="Verdana" w:hAnsi="Verdana" w:cs="Arial"/>
                <w:b/>
                <w:sz w:val="24"/>
                <w:szCs w:val="24"/>
              </w:rPr>
              <w:t>Equality impact assessment completed</w:t>
            </w:r>
          </w:p>
        </w:tc>
        <w:tc>
          <w:tcPr>
            <w:tcW w:w="5245" w:type="dxa"/>
            <w:vAlign w:val="center"/>
          </w:tcPr>
          <w:p w:rsidR="007F0937" w:rsidRPr="00C51C1B" w:rsidRDefault="004B52A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C51C1B" w:rsidRPr="00C51C1B">
                  <w:rPr>
                    <w:rStyle w:val="Style32"/>
                    <w:rFonts w:ascii="Verdana" w:hAnsi="Verdana"/>
                    <w:sz w:val="24"/>
                    <w:szCs w:val="24"/>
                  </w:rPr>
                  <w:t>Not required</w:t>
                </w:r>
              </w:sdtContent>
            </w:sdt>
          </w:p>
        </w:tc>
      </w:tr>
      <w:tr w:rsidR="007F0937" w:rsidRPr="00C51C1B" w:rsidTr="007F0937">
        <w:trPr>
          <w:trHeight w:val="138"/>
        </w:trPr>
        <w:tc>
          <w:tcPr>
            <w:tcW w:w="4111" w:type="dxa"/>
            <w:vMerge/>
            <w:shd w:val="clear" w:color="auto" w:fill="F2F2F2" w:themeFill="background1" w:themeFillShade="F2"/>
            <w:vAlign w:val="center"/>
          </w:tcPr>
          <w:p w:rsidR="007F0937" w:rsidRPr="00C51C1B" w:rsidRDefault="007F0937" w:rsidP="00344184">
            <w:pPr>
              <w:rPr>
                <w:rFonts w:ascii="Verdana" w:hAnsi="Verdana" w:cs="Arial"/>
                <w:b/>
                <w:sz w:val="24"/>
                <w:szCs w:val="24"/>
              </w:rPr>
            </w:pPr>
          </w:p>
        </w:tc>
        <w:tc>
          <w:tcPr>
            <w:tcW w:w="5245" w:type="dxa"/>
            <w:vAlign w:val="center"/>
          </w:tcPr>
          <w:p w:rsidR="007F0937" w:rsidRPr="00C51C1B" w:rsidRDefault="007F0937" w:rsidP="00344184">
            <w:pPr>
              <w:jc w:val="both"/>
              <w:rPr>
                <w:rStyle w:val="Style32"/>
                <w:rFonts w:ascii="Verdana" w:hAnsi="Verdana"/>
                <w:sz w:val="24"/>
                <w:szCs w:val="24"/>
              </w:rPr>
            </w:pPr>
          </w:p>
        </w:tc>
      </w:tr>
      <w:tr w:rsidR="007F0937" w:rsidRPr="00C51C1B" w:rsidTr="00577535">
        <w:trPr>
          <w:trHeight w:val="843"/>
        </w:trPr>
        <w:tc>
          <w:tcPr>
            <w:tcW w:w="4111" w:type="dxa"/>
            <w:vMerge w:val="restart"/>
            <w:shd w:val="clear" w:color="auto" w:fill="F2F2F2" w:themeFill="background1" w:themeFillShade="F2"/>
            <w:vAlign w:val="center"/>
          </w:tcPr>
          <w:p w:rsidR="007F0937" w:rsidRPr="00C51C1B" w:rsidRDefault="00344184" w:rsidP="00344184">
            <w:pPr>
              <w:rPr>
                <w:rFonts w:ascii="Verdana" w:hAnsi="Verdana" w:cs="Arial"/>
                <w:b/>
                <w:sz w:val="24"/>
                <w:szCs w:val="24"/>
              </w:rPr>
            </w:pPr>
            <w:r w:rsidRPr="00C51C1B">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C51C1B" w:rsidRDefault="00C51C1B" w:rsidP="00344184">
                <w:pPr>
                  <w:jc w:val="both"/>
                  <w:rPr>
                    <w:rFonts w:ascii="Verdana" w:hAnsi="Verdana" w:cs="Arial"/>
                    <w:sz w:val="24"/>
                    <w:szCs w:val="24"/>
                  </w:rPr>
                </w:pPr>
                <w:r w:rsidRPr="00C51C1B">
                  <w:rPr>
                    <w:rFonts w:ascii="Verdana" w:hAnsi="Verdana" w:cs="Arial"/>
                    <w:sz w:val="24"/>
                    <w:szCs w:val="24"/>
                  </w:rPr>
                  <w:t>Yes (Include further detail below)</w:t>
                </w:r>
              </w:p>
            </w:tc>
          </w:sdtContent>
        </w:sdt>
      </w:tr>
      <w:tr w:rsidR="007F0937" w:rsidRPr="00C51C1B" w:rsidTr="007F0937">
        <w:trPr>
          <w:trHeight w:val="277"/>
        </w:trPr>
        <w:tc>
          <w:tcPr>
            <w:tcW w:w="4111" w:type="dxa"/>
            <w:vMerge/>
            <w:shd w:val="clear" w:color="auto" w:fill="F2F2F2" w:themeFill="background1" w:themeFillShade="F2"/>
            <w:vAlign w:val="center"/>
          </w:tcPr>
          <w:p w:rsidR="007F0937" w:rsidRPr="00C51C1B" w:rsidRDefault="007F0937" w:rsidP="00344184">
            <w:pPr>
              <w:rPr>
                <w:rFonts w:ascii="Verdana" w:hAnsi="Verdana" w:cs="Arial"/>
                <w:b/>
                <w:sz w:val="24"/>
                <w:szCs w:val="24"/>
              </w:rPr>
            </w:pPr>
          </w:p>
        </w:tc>
        <w:tc>
          <w:tcPr>
            <w:tcW w:w="5245" w:type="dxa"/>
            <w:vAlign w:val="center"/>
          </w:tcPr>
          <w:p w:rsidR="00C51C1B" w:rsidRPr="00C51C1B" w:rsidRDefault="00C51C1B" w:rsidP="00C51C1B">
            <w:pPr>
              <w:jc w:val="both"/>
              <w:rPr>
                <w:rFonts w:ascii="Verdana" w:eastAsia="Calibri" w:hAnsi="Verdana" w:cs="Arial"/>
                <w:sz w:val="24"/>
                <w:szCs w:val="24"/>
                <w:lang w:val="en-GB"/>
              </w:rPr>
            </w:pPr>
            <w:r w:rsidRPr="00C51C1B">
              <w:rPr>
                <w:rFonts w:ascii="Verdana" w:eastAsia="Calibri" w:hAnsi="Verdana" w:cs="Arial"/>
                <w:sz w:val="24"/>
                <w:szCs w:val="24"/>
                <w:lang w:val="en-GB"/>
              </w:rPr>
              <w:t>HB Boards have received a number of updates on FNC linked to the legal proceedings that have taken place over recent years. These updates have provided Boards with detailed information on the work underway following on from the Supreme Court Judg</w:t>
            </w:r>
            <w:r w:rsidR="00454367">
              <w:rPr>
                <w:rFonts w:ascii="Verdana" w:eastAsia="Calibri" w:hAnsi="Verdana" w:cs="Arial"/>
                <w:sz w:val="24"/>
                <w:szCs w:val="24"/>
                <w:lang w:val="en-GB"/>
              </w:rPr>
              <w:t>e</w:t>
            </w:r>
            <w:r w:rsidRPr="00C51C1B">
              <w:rPr>
                <w:rFonts w:ascii="Verdana" w:eastAsia="Calibri" w:hAnsi="Verdana" w:cs="Arial"/>
                <w:sz w:val="24"/>
                <w:szCs w:val="24"/>
                <w:lang w:val="en-GB"/>
              </w:rPr>
              <w:t xml:space="preserve">ment in 2017. </w:t>
            </w:r>
          </w:p>
          <w:p w:rsidR="00C51C1B" w:rsidRPr="00C51C1B" w:rsidRDefault="00C51C1B" w:rsidP="00C51C1B">
            <w:pPr>
              <w:jc w:val="both"/>
              <w:rPr>
                <w:rFonts w:ascii="Verdana" w:eastAsia="Calibri" w:hAnsi="Verdana" w:cs="Arial"/>
                <w:sz w:val="24"/>
                <w:szCs w:val="24"/>
                <w:lang w:val="en-GB"/>
              </w:rPr>
            </w:pPr>
            <w:r w:rsidRPr="00C51C1B">
              <w:rPr>
                <w:rFonts w:ascii="Verdana" w:eastAsia="Calibri" w:hAnsi="Verdana" w:cs="Arial"/>
                <w:sz w:val="24"/>
                <w:szCs w:val="24"/>
                <w:lang w:val="en-GB"/>
              </w:rPr>
              <w:lastRenderedPageBreak/>
              <w:t>This paper focuses on the need to consider the extension of the current methodology to calculate the annual FNC rate – the Inflationary Uplift Mechanism – for a further two years to cover 2019/20 and 2020/21. Lead professional and finance officers in each HB have considered the options and recommend extending the IUM for a period of two more years. Boards are now asked to ratify this recommendation as the approved approach.</w:t>
            </w:r>
          </w:p>
          <w:p w:rsidR="00C51C1B" w:rsidRPr="00C51C1B" w:rsidRDefault="00C51C1B" w:rsidP="00C51C1B">
            <w:pPr>
              <w:jc w:val="both"/>
              <w:rPr>
                <w:rFonts w:ascii="Verdana" w:eastAsia="Calibri" w:hAnsi="Verdana" w:cs="Arial"/>
                <w:sz w:val="24"/>
                <w:szCs w:val="24"/>
                <w:lang w:val="en-GB"/>
              </w:rPr>
            </w:pPr>
          </w:p>
          <w:p w:rsidR="007F0937" w:rsidRPr="00C51C1B" w:rsidRDefault="00C51C1B" w:rsidP="00C51C1B">
            <w:pPr>
              <w:jc w:val="both"/>
              <w:rPr>
                <w:rFonts w:ascii="Verdana" w:hAnsi="Verdana" w:cs="Arial"/>
                <w:sz w:val="24"/>
                <w:szCs w:val="24"/>
              </w:rPr>
            </w:pPr>
            <w:r w:rsidRPr="00C51C1B">
              <w:rPr>
                <w:rFonts w:ascii="Verdana" w:eastAsia="Calibri" w:hAnsi="Verdana" w:cs="Arial"/>
                <w:sz w:val="24"/>
                <w:szCs w:val="24"/>
                <w:lang w:val="en-GB"/>
              </w:rPr>
              <w:t>This paper also sets out the FNC rate for 2019/20 and the approach to setting the rate for 2020/21. The 2019/20 rate calculation reflects the revisions to the Agenda for Change Pay Scale that form part of the three year pay award. Two options exist for setting the rate and the majority consensus view of HB finance leads, professional leads and Directors of Finance is to recommend the option that reflects the impacts of the revisions to the pay scale as set out in the tables above. This paper now seeks Board approval for this recommendation.</w:t>
            </w:r>
          </w:p>
        </w:tc>
      </w:tr>
      <w:tr w:rsidR="007F0937" w:rsidRPr="00C51C1B" w:rsidTr="00577535">
        <w:trPr>
          <w:trHeight w:val="831"/>
        </w:trPr>
        <w:tc>
          <w:tcPr>
            <w:tcW w:w="4111" w:type="dxa"/>
            <w:vMerge w:val="restart"/>
            <w:shd w:val="clear" w:color="auto" w:fill="F2F2F2" w:themeFill="background1" w:themeFillShade="F2"/>
            <w:vAlign w:val="center"/>
          </w:tcPr>
          <w:p w:rsidR="007F0937" w:rsidRPr="00C51C1B" w:rsidRDefault="005A0836" w:rsidP="00344184">
            <w:pPr>
              <w:rPr>
                <w:rFonts w:ascii="Verdana" w:hAnsi="Verdana" w:cs="Arial"/>
                <w:b/>
                <w:sz w:val="24"/>
                <w:szCs w:val="24"/>
              </w:rPr>
            </w:pPr>
            <w:r w:rsidRPr="00C51C1B">
              <w:rPr>
                <w:rFonts w:ascii="Verdana" w:hAnsi="Verdana" w:cs="Arial"/>
                <w:b/>
                <w:sz w:val="24"/>
                <w:szCs w:val="24"/>
              </w:rPr>
              <w:lastRenderedPageBreak/>
              <w:t>Resource (</w:t>
            </w:r>
            <w:r w:rsidR="0083034D" w:rsidRPr="00C51C1B">
              <w:rPr>
                <w:rFonts w:ascii="Verdana" w:hAnsi="Verdana" w:cs="Arial"/>
                <w:b/>
                <w:sz w:val="24"/>
                <w:szCs w:val="24"/>
              </w:rPr>
              <w:t xml:space="preserve">Capital/Revenue </w:t>
            </w:r>
            <w:r w:rsidRPr="00C51C1B">
              <w:rPr>
                <w:rFonts w:ascii="Verdana" w:hAnsi="Verdana" w:cs="Arial"/>
                <w:b/>
                <w:sz w:val="24"/>
                <w:szCs w:val="24"/>
              </w:rPr>
              <w:t>£/Workforce)</w:t>
            </w:r>
            <w:r w:rsidR="00344184" w:rsidRPr="00C51C1B">
              <w:rPr>
                <w:rFonts w:ascii="Verdana" w:hAnsi="Verdana" w:cs="Arial"/>
                <w:b/>
                <w:sz w:val="24"/>
                <w:szCs w:val="24"/>
              </w:rPr>
              <w:t xml:space="preserve"> implications / </w:t>
            </w:r>
          </w:p>
          <w:p w:rsidR="007F0937" w:rsidRPr="00C51C1B" w:rsidRDefault="00344184" w:rsidP="00344184">
            <w:pPr>
              <w:rPr>
                <w:rFonts w:ascii="Verdana" w:hAnsi="Verdana" w:cs="Arial"/>
                <w:b/>
                <w:sz w:val="24"/>
                <w:szCs w:val="24"/>
              </w:rPr>
            </w:pPr>
            <w:r w:rsidRPr="00C51C1B">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C51C1B" w:rsidRDefault="00C51C1B" w:rsidP="00344184">
                <w:pPr>
                  <w:jc w:val="both"/>
                  <w:rPr>
                    <w:rFonts w:ascii="Verdana" w:hAnsi="Verdana" w:cs="Arial"/>
                    <w:sz w:val="24"/>
                    <w:szCs w:val="24"/>
                  </w:rPr>
                </w:pPr>
                <w:r w:rsidRPr="00C51C1B">
                  <w:rPr>
                    <w:rFonts w:ascii="Verdana" w:hAnsi="Verdana" w:cs="Arial"/>
                    <w:sz w:val="24"/>
                    <w:szCs w:val="24"/>
                  </w:rPr>
                  <w:t>Yes (Include further detail below)</w:t>
                </w:r>
              </w:p>
            </w:tc>
          </w:sdtContent>
        </w:sdt>
      </w:tr>
      <w:tr w:rsidR="007F0937" w:rsidRPr="00C51C1B" w:rsidTr="007F0937">
        <w:trPr>
          <w:trHeight w:val="290"/>
        </w:trPr>
        <w:tc>
          <w:tcPr>
            <w:tcW w:w="4111" w:type="dxa"/>
            <w:vMerge/>
            <w:shd w:val="clear" w:color="auto" w:fill="F2F2F2" w:themeFill="background1" w:themeFillShade="F2"/>
            <w:vAlign w:val="center"/>
          </w:tcPr>
          <w:p w:rsidR="007F0937" w:rsidRPr="00C51C1B" w:rsidRDefault="007F0937" w:rsidP="00344184">
            <w:pPr>
              <w:rPr>
                <w:rFonts w:ascii="Verdana" w:hAnsi="Verdana" w:cs="Arial"/>
                <w:b/>
                <w:sz w:val="24"/>
                <w:szCs w:val="24"/>
              </w:rPr>
            </w:pPr>
          </w:p>
        </w:tc>
        <w:tc>
          <w:tcPr>
            <w:tcW w:w="5245" w:type="dxa"/>
            <w:vAlign w:val="center"/>
          </w:tcPr>
          <w:p w:rsidR="007F0937" w:rsidRPr="00C51C1B" w:rsidRDefault="00AB4BC8" w:rsidP="00344184">
            <w:pPr>
              <w:jc w:val="both"/>
              <w:rPr>
                <w:rFonts w:ascii="Verdana" w:hAnsi="Verdana" w:cs="Arial"/>
                <w:sz w:val="24"/>
                <w:szCs w:val="24"/>
              </w:rPr>
            </w:pPr>
            <w:r>
              <w:rPr>
                <w:rFonts w:ascii="Verdana" w:hAnsi="Verdana" w:cs="Arial"/>
                <w:sz w:val="24"/>
                <w:szCs w:val="24"/>
              </w:rPr>
              <w:t>See Point 3 of the Report</w:t>
            </w:r>
          </w:p>
        </w:tc>
      </w:tr>
      <w:tr w:rsidR="008E5494" w:rsidRPr="00C51C1B" w:rsidTr="005B04B6">
        <w:trPr>
          <w:trHeight w:val="875"/>
        </w:trPr>
        <w:tc>
          <w:tcPr>
            <w:tcW w:w="4111" w:type="dxa"/>
            <w:shd w:val="clear" w:color="auto" w:fill="F2F2F2" w:themeFill="background1" w:themeFillShade="F2"/>
            <w:vAlign w:val="center"/>
          </w:tcPr>
          <w:p w:rsidR="008E5494" w:rsidRPr="00C51C1B" w:rsidRDefault="008E5494" w:rsidP="006D7D02">
            <w:pPr>
              <w:rPr>
                <w:rFonts w:ascii="Verdana" w:hAnsi="Verdana" w:cs="Arial"/>
                <w:b/>
                <w:sz w:val="24"/>
                <w:szCs w:val="24"/>
              </w:rPr>
            </w:pPr>
            <w:r w:rsidRPr="00C51C1B">
              <w:rPr>
                <w:rFonts w:ascii="Verdana" w:hAnsi="Verdana" w:cs="Arial"/>
                <w:b/>
                <w:sz w:val="24"/>
                <w:szCs w:val="24"/>
              </w:rPr>
              <w:t>Link to Main Strategic Objective</w:t>
            </w:r>
          </w:p>
          <w:p w:rsidR="008E5494" w:rsidRPr="00C51C1B"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C51C1B" w:rsidRDefault="00AB4BC8"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C51C1B" w:rsidTr="00BB61B3">
        <w:trPr>
          <w:trHeight w:val="875"/>
        </w:trPr>
        <w:tc>
          <w:tcPr>
            <w:tcW w:w="4111" w:type="dxa"/>
            <w:shd w:val="clear" w:color="auto" w:fill="F2F2F2" w:themeFill="background1" w:themeFillShade="F2"/>
            <w:vAlign w:val="center"/>
          </w:tcPr>
          <w:p w:rsidR="008E5494" w:rsidRPr="00C51C1B" w:rsidRDefault="008E5494" w:rsidP="006D7D02">
            <w:pPr>
              <w:rPr>
                <w:rFonts w:ascii="Verdana" w:hAnsi="Verdana" w:cs="Arial"/>
                <w:b/>
                <w:sz w:val="24"/>
                <w:szCs w:val="24"/>
              </w:rPr>
            </w:pPr>
            <w:r w:rsidRPr="00C51C1B">
              <w:rPr>
                <w:rFonts w:ascii="Verdana" w:hAnsi="Verdana" w:cs="Arial"/>
                <w:b/>
                <w:sz w:val="24"/>
                <w:szCs w:val="24"/>
              </w:rPr>
              <w:t>Link to Main WBFG Act Objective</w:t>
            </w:r>
          </w:p>
          <w:p w:rsidR="008E5494" w:rsidRPr="00C51C1B"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C51C1B" w:rsidRDefault="00C51C1B" w:rsidP="006D7D02">
                <w:pPr>
                  <w:jc w:val="both"/>
                  <w:rPr>
                    <w:rFonts w:ascii="Verdana" w:hAnsi="Verdana" w:cs="Arial"/>
                    <w:sz w:val="24"/>
                    <w:szCs w:val="24"/>
                  </w:rPr>
                </w:pPr>
                <w:r w:rsidRPr="00C51C1B">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Default="007F0937" w:rsidP="00344184">
      <w:pPr>
        <w:pStyle w:val="NoSpacing"/>
        <w:rPr>
          <w:rFonts w:ascii="Verdana" w:hAnsi="Verdana"/>
          <w:sz w:val="24"/>
          <w:szCs w:val="24"/>
        </w:rPr>
      </w:pPr>
    </w:p>
    <w:p w:rsidR="00454367" w:rsidRDefault="00454367" w:rsidP="00344184">
      <w:pPr>
        <w:pStyle w:val="NoSpacing"/>
        <w:rPr>
          <w:rFonts w:ascii="Verdana" w:hAnsi="Verdana"/>
          <w:sz w:val="24"/>
          <w:szCs w:val="24"/>
        </w:rPr>
      </w:pPr>
    </w:p>
    <w:p w:rsidR="00454367" w:rsidRPr="00C51C1B" w:rsidRDefault="00454367" w:rsidP="00344184">
      <w:pPr>
        <w:pStyle w:val="NoSpacing"/>
        <w:rPr>
          <w:rFonts w:ascii="Verdana" w:hAnsi="Verdana"/>
          <w:sz w:val="24"/>
          <w:szCs w:val="24"/>
        </w:rPr>
      </w:pPr>
    </w:p>
    <w:p w:rsidR="00C51C1B" w:rsidRPr="00C51C1B" w:rsidRDefault="00C51C1B" w:rsidP="00344184">
      <w:pPr>
        <w:pStyle w:val="NoSpacing"/>
        <w:rPr>
          <w:rFonts w:ascii="Verdana" w:hAnsi="Verdana"/>
          <w:sz w:val="24"/>
          <w:szCs w:val="24"/>
        </w:rPr>
      </w:pPr>
    </w:p>
    <w:p w:rsidR="003E43AD" w:rsidRPr="00C51C1B" w:rsidRDefault="00925EEC" w:rsidP="00344184">
      <w:pPr>
        <w:pStyle w:val="ListParagraph"/>
        <w:numPr>
          <w:ilvl w:val="0"/>
          <w:numId w:val="1"/>
        </w:numPr>
        <w:spacing w:after="0" w:line="240" w:lineRule="auto"/>
        <w:rPr>
          <w:rFonts w:ascii="Verdana" w:hAnsi="Verdana" w:cs="Arial"/>
          <w:b/>
          <w:sz w:val="24"/>
          <w:szCs w:val="24"/>
        </w:rPr>
      </w:pPr>
      <w:r w:rsidRPr="00C51C1B">
        <w:rPr>
          <w:rFonts w:ascii="Verdana" w:hAnsi="Verdana" w:cs="Arial"/>
          <w:b/>
          <w:sz w:val="24"/>
          <w:szCs w:val="24"/>
        </w:rPr>
        <w:lastRenderedPageBreak/>
        <w:t xml:space="preserve">RECOMMENDATION </w:t>
      </w:r>
    </w:p>
    <w:p w:rsidR="00344184" w:rsidRPr="00C51C1B" w:rsidRDefault="00344184" w:rsidP="00344184">
      <w:pPr>
        <w:spacing w:after="0" w:line="240" w:lineRule="auto"/>
        <w:rPr>
          <w:rFonts w:ascii="Verdana" w:hAnsi="Verdana" w:cs="Arial"/>
          <w:sz w:val="24"/>
          <w:szCs w:val="24"/>
        </w:rPr>
      </w:pPr>
    </w:p>
    <w:p w:rsidR="00791BA4" w:rsidRPr="00C51C1B" w:rsidRDefault="00344184" w:rsidP="00454367">
      <w:pPr>
        <w:spacing w:line="240" w:lineRule="auto"/>
        <w:jc w:val="both"/>
        <w:rPr>
          <w:rFonts w:ascii="Verdana" w:hAnsi="Verdana" w:cs="Arial"/>
          <w:sz w:val="24"/>
          <w:szCs w:val="24"/>
          <w:lang w:val="en-GB"/>
        </w:rPr>
      </w:pPr>
      <w:r w:rsidRPr="00C51C1B">
        <w:rPr>
          <w:rFonts w:ascii="Verdana" w:hAnsi="Verdana" w:cs="Arial"/>
          <w:sz w:val="24"/>
          <w:szCs w:val="24"/>
        </w:rPr>
        <w:t>5</w:t>
      </w:r>
      <w:r w:rsidR="00F36769" w:rsidRPr="00C51C1B">
        <w:rPr>
          <w:rFonts w:ascii="Verdana" w:hAnsi="Verdana" w:cs="Arial"/>
          <w:sz w:val="24"/>
          <w:szCs w:val="24"/>
        </w:rPr>
        <w:t>.1</w:t>
      </w:r>
      <w:r w:rsidR="00791BA4" w:rsidRPr="00C51C1B">
        <w:rPr>
          <w:rFonts w:ascii="Verdana" w:hAnsi="Verdana" w:cs="Arial"/>
          <w:sz w:val="24"/>
          <w:szCs w:val="24"/>
        </w:rPr>
        <w:tab/>
      </w:r>
      <w:r w:rsidR="00791BA4" w:rsidRPr="00C51C1B">
        <w:rPr>
          <w:rFonts w:ascii="Verdana" w:hAnsi="Verdana" w:cs="Arial"/>
          <w:sz w:val="24"/>
          <w:szCs w:val="24"/>
          <w:lang w:val="en-GB"/>
        </w:rPr>
        <w:t>The Board is asked to:</w:t>
      </w:r>
    </w:p>
    <w:p w:rsidR="00791BA4" w:rsidRPr="00C51C1B" w:rsidRDefault="00791BA4" w:rsidP="00454367">
      <w:pPr>
        <w:spacing w:after="0" w:line="240" w:lineRule="auto"/>
        <w:jc w:val="both"/>
        <w:rPr>
          <w:rFonts w:ascii="Verdana" w:hAnsi="Verdana" w:cs="Arial"/>
          <w:sz w:val="24"/>
          <w:szCs w:val="24"/>
          <w:lang w:val="en-GB"/>
        </w:rPr>
      </w:pPr>
    </w:p>
    <w:p w:rsidR="00791BA4" w:rsidRPr="00C51C1B" w:rsidRDefault="00454367" w:rsidP="00454367">
      <w:pPr>
        <w:numPr>
          <w:ilvl w:val="0"/>
          <w:numId w:val="8"/>
        </w:numPr>
        <w:spacing w:after="0" w:line="240" w:lineRule="auto"/>
        <w:jc w:val="both"/>
        <w:rPr>
          <w:rFonts w:ascii="Verdana" w:hAnsi="Verdana" w:cs="Arial"/>
          <w:sz w:val="24"/>
          <w:szCs w:val="24"/>
          <w:lang w:val="en-GB"/>
        </w:rPr>
      </w:pPr>
      <w:r w:rsidRPr="00C51C1B">
        <w:rPr>
          <w:rFonts w:ascii="Verdana" w:hAnsi="Verdana" w:cs="Arial"/>
          <w:b/>
          <w:sz w:val="24"/>
          <w:szCs w:val="24"/>
          <w:lang w:val="en-GB"/>
        </w:rPr>
        <w:t>NOTE</w:t>
      </w:r>
      <w:r w:rsidR="00791BA4" w:rsidRPr="00C51C1B">
        <w:rPr>
          <w:rFonts w:ascii="Verdana" w:hAnsi="Verdana" w:cs="Arial"/>
          <w:sz w:val="24"/>
          <w:szCs w:val="24"/>
          <w:lang w:val="en-GB"/>
        </w:rPr>
        <w:t xml:space="preserve"> that the current Inflationary Uplift Mechanism (IUM) was approved by each HB Board in Wales in 2014 for a period of five years then review;</w:t>
      </w:r>
    </w:p>
    <w:p w:rsidR="00791BA4" w:rsidRPr="00C51C1B" w:rsidRDefault="00454367" w:rsidP="00454367">
      <w:pPr>
        <w:numPr>
          <w:ilvl w:val="0"/>
          <w:numId w:val="8"/>
        </w:numPr>
        <w:spacing w:after="0" w:line="240" w:lineRule="auto"/>
        <w:jc w:val="both"/>
        <w:rPr>
          <w:rFonts w:ascii="Verdana" w:hAnsi="Verdana" w:cs="Arial"/>
          <w:sz w:val="24"/>
          <w:szCs w:val="24"/>
          <w:lang w:val="en-GB"/>
        </w:rPr>
      </w:pPr>
      <w:r w:rsidRPr="00C51C1B">
        <w:rPr>
          <w:rFonts w:ascii="Verdana" w:hAnsi="Verdana" w:cs="Arial"/>
          <w:b/>
          <w:sz w:val="24"/>
          <w:szCs w:val="24"/>
          <w:lang w:val="en-GB"/>
        </w:rPr>
        <w:t>NOTE</w:t>
      </w:r>
      <w:r w:rsidR="00791BA4" w:rsidRPr="00C51C1B">
        <w:rPr>
          <w:rFonts w:ascii="Verdana" w:hAnsi="Verdana" w:cs="Arial"/>
          <w:sz w:val="24"/>
          <w:szCs w:val="24"/>
          <w:lang w:val="en-GB"/>
        </w:rPr>
        <w:t xml:space="preserve"> that professional and finance leads from each HB in Wales have considered options and recommend that the IUM be extended for a further two year period, to cover 2019/20 and 2020/21, for the reasons set out in section 4 of this paper, and that CEOs support this Recommendation;</w:t>
      </w:r>
    </w:p>
    <w:p w:rsidR="00791BA4" w:rsidRPr="00C51C1B" w:rsidRDefault="00454367" w:rsidP="00454367">
      <w:pPr>
        <w:numPr>
          <w:ilvl w:val="0"/>
          <w:numId w:val="8"/>
        </w:numPr>
        <w:spacing w:after="0" w:line="240" w:lineRule="auto"/>
        <w:jc w:val="both"/>
        <w:rPr>
          <w:rFonts w:ascii="Verdana" w:hAnsi="Verdana" w:cs="Arial"/>
          <w:sz w:val="24"/>
          <w:szCs w:val="24"/>
          <w:lang w:val="en-GB"/>
        </w:rPr>
      </w:pPr>
      <w:r w:rsidRPr="00C51C1B">
        <w:rPr>
          <w:rFonts w:ascii="Verdana" w:hAnsi="Verdana" w:cs="Arial"/>
          <w:b/>
          <w:sz w:val="24"/>
          <w:szCs w:val="24"/>
          <w:lang w:val="en-GB"/>
        </w:rPr>
        <w:t>APPROVE</w:t>
      </w:r>
      <w:r w:rsidR="00791BA4" w:rsidRPr="00C51C1B">
        <w:rPr>
          <w:rFonts w:ascii="Verdana" w:hAnsi="Verdana" w:cs="Arial"/>
          <w:sz w:val="24"/>
          <w:szCs w:val="24"/>
          <w:lang w:val="en-GB"/>
        </w:rPr>
        <w:t xml:space="preserve"> the proposal that the IUM be extended for a further two year period;</w:t>
      </w:r>
    </w:p>
    <w:p w:rsidR="00791BA4" w:rsidRPr="00C51C1B" w:rsidRDefault="00454367" w:rsidP="00454367">
      <w:pPr>
        <w:numPr>
          <w:ilvl w:val="0"/>
          <w:numId w:val="8"/>
        </w:numPr>
        <w:spacing w:after="0" w:line="240" w:lineRule="auto"/>
        <w:jc w:val="both"/>
        <w:rPr>
          <w:rFonts w:ascii="Verdana" w:hAnsi="Verdana" w:cs="Arial"/>
          <w:sz w:val="24"/>
          <w:szCs w:val="24"/>
          <w:lang w:val="en-GB"/>
        </w:rPr>
      </w:pPr>
      <w:r w:rsidRPr="00C51C1B">
        <w:rPr>
          <w:rFonts w:ascii="Verdana" w:hAnsi="Verdana" w:cs="Arial"/>
          <w:b/>
          <w:sz w:val="24"/>
          <w:szCs w:val="24"/>
          <w:lang w:val="en-GB"/>
        </w:rPr>
        <w:t>NOTE</w:t>
      </w:r>
      <w:r w:rsidR="00791BA4" w:rsidRPr="00C51C1B">
        <w:rPr>
          <w:rFonts w:ascii="Verdana" w:hAnsi="Verdana" w:cs="Arial"/>
          <w:sz w:val="24"/>
          <w:szCs w:val="24"/>
          <w:lang w:val="en-GB"/>
        </w:rPr>
        <w:t xml:space="preserve"> and </w:t>
      </w:r>
      <w:r w:rsidRPr="00C51C1B">
        <w:rPr>
          <w:rFonts w:ascii="Verdana" w:hAnsi="Verdana" w:cs="Arial"/>
          <w:b/>
          <w:sz w:val="24"/>
          <w:szCs w:val="24"/>
          <w:lang w:val="en-GB"/>
        </w:rPr>
        <w:t>APPROVE</w:t>
      </w:r>
      <w:r w:rsidR="00791BA4" w:rsidRPr="00C51C1B">
        <w:rPr>
          <w:rFonts w:ascii="Verdana" w:hAnsi="Verdana" w:cs="Arial"/>
          <w:sz w:val="24"/>
          <w:szCs w:val="24"/>
          <w:lang w:val="en-GB"/>
        </w:rPr>
        <w:t xml:space="preserve"> the FNC rate for 2019/20 and 2020/21.</w:t>
      </w:r>
    </w:p>
    <w:p w:rsidR="00791BA4" w:rsidRPr="00C51C1B" w:rsidRDefault="00454367" w:rsidP="00454367">
      <w:pPr>
        <w:numPr>
          <w:ilvl w:val="0"/>
          <w:numId w:val="8"/>
        </w:numPr>
        <w:spacing w:after="0" w:line="240" w:lineRule="auto"/>
        <w:jc w:val="both"/>
        <w:rPr>
          <w:rFonts w:ascii="Verdana" w:hAnsi="Verdana" w:cs="Arial"/>
          <w:sz w:val="24"/>
          <w:szCs w:val="24"/>
          <w:lang w:val="en-GB"/>
        </w:rPr>
      </w:pPr>
      <w:r w:rsidRPr="00C51C1B">
        <w:rPr>
          <w:rFonts w:ascii="Verdana" w:hAnsi="Verdana" w:cs="Arial"/>
          <w:b/>
          <w:sz w:val="24"/>
          <w:szCs w:val="24"/>
          <w:lang w:val="en-GB"/>
        </w:rPr>
        <w:t>NOTE</w:t>
      </w:r>
      <w:r w:rsidR="00791BA4" w:rsidRPr="00C51C1B">
        <w:rPr>
          <w:rFonts w:ascii="Verdana" w:hAnsi="Verdana" w:cs="Arial"/>
          <w:sz w:val="24"/>
          <w:szCs w:val="24"/>
          <w:lang w:val="en-GB"/>
        </w:rPr>
        <w:t xml:space="preserve"> that further work will be undertaken to consider a longer term model following on from a WG review of the FNC policy position and that Boards will be updated on this work as it develops.</w:t>
      </w:r>
    </w:p>
    <w:sectPr w:rsidR="00791BA4" w:rsidRPr="00C51C1B"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9D2D13">
          <w:pPr>
            <w:pStyle w:val="Footer"/>
            <w:rPr>
              <w:b/>
            </w:rPr>
          </w:pPr>
          <w:r>
            <w:rPr>
              <w:b/>
            </w:rPr>
            <w:t>Funded Nursing Care</w:t>
          </w:r>
        </w:p>
      </w:tc>
      <w:tc>
        <w:tcPr>
          <w:tcW w:w="3117" w:type="dxa"/>
        </w:tcPr>
        <w:p w:rsidR="00344184" w:rsidRPr="00344184" w:rsidRDefault="004B52A8"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sdtContent>
          </w:sdt>
        </w:p>
      </w:tc>
      <w:tc>
        <w:tcPr>
          <w:tcW w:w="3117" w:type="dxa"/>
        </w:tcPr>
        <w:p w:rsidR="00344184" w:rsidRDefault="009D2D13" w:rsidP="00344184">
          <w:pPr>
            <w:pStyle w:val="Footer"/>
            <w:jc w:val="right"/>
            <w:rPr>
              <w:b/>
            </w:rPr>
          </w:pPr>
          <w:r>
            <w:rPr>
              <w:b/>
            </w:rPr>
            <w:t>Health Board Meeting</w:t>
          </w:r>
        </w:p>
        <w:p w:rsidR="009D2D13" w:rsidRPr="00344184" w:rsidRDefault="009D2D13"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 w:id="1">
    <w:p w:rsidR="00791BA4" w:rsidRDefault="00791BA4" w:rsidP="00791BA4">
      <w:pPr>
        <w:pStyle w:val="FootnoteText"/>
      </w:pPr>
      <w:r>
        <w:rPr>
          <w:rStyle w:val="FootnoteReference"/>
        </w:rPr>
        <w:footnoteRef/>
      </w:r>
      <w:r>
        <w:t xml:space="preserve"> The other option would have resulted in a 1.1% uplift </w:t>
      </w:r>
      <w:r w:rsidRPr="003E50F7">
        <w:t>in year based on the NHS Wales Pay Journey.  When applying th</w:t>
      </w:r>
      <w:r>
        <w:t xml:space="preserve">is </w:t>
      </w:r>
      <w:r w:rsidRPr="003E50F7">
        <w:t xml:space="preserve">the derived salary in 19/20 and 20/21 </w:t>
      </w:r>
      <w:r>
        <w:t xml:space="preserve">it would have been </w:t>
      </w:r>
      <w:r w:rsidRPr="003E50F7">
        <w:t>lower than the actual average of pay point</w:t>
      </w:r>
      <w:r>
        <w:t>s</w:t>
      </w:r>
      <w:r w:rsidRPr="003E50F7">
        <w:t xml:space="preserve"> 19 and 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E7E91"/>
    <w:multiLevelType w:val="hybridMultilevel"/>
    <w:tmpl w:val="9FB45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3E2882"/>
    <w:multiLevelType w:val="hybridMultilevel"/>
    <w:tmpl w:val="979CE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4F4C03"/>
    <w:multiLevelType w:val="multilevel"/>
    <w:tmpl w:val="154A1CE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B041C70"/>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232F70EE"/>
    <w:multiLevelType w:val="multilevel"/>
    <w:tmpl w:val="154A1CE0"/>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714395A"/>
    <w:multiLevelType w:val="hybridMultilevel"/>
    <w:tmpl w:val="F80EF1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A8B0593"/>
    <w:multiLevelType w:val="multilevel"/>
    <w:tmpl w:val="154A1CE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7AC471B4"/>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0"/>
  </w:num>
  <w:num w:numId="3">
    <w:abstractNumId w:val="7"/>
  </w:num>
  <w:num w:numId="4">
    <w:abstractNumId w:val="0"/>
  </w:num>
  <w:num w:numId="5">
    <w:abstractNumId w:val="8"/>
  </w:num>
  <w:num w:numId="6">
    <w:abstractNumId w:val="2"/>
  </w:num>
  <w:num w:numId="7">
    <w:abstractNumId w:val="4"/>
  </w:num>
  <w:num w:numId="8">
    <w:abstractNumId w:val="1"/>
  </w:num>
  <w:num w:numId="9">
    <w:abstractNumId w:val="6"/>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70F59"/>
    <w:rsid w:val="000804F4"/>
    <w:rsid w:val="00081198"/>
    <w:rsid w:val="00082004"/>
    <w:rsid w:val="00093369"/>
    <w:rsid w:val="000A14EC"/>
    <w:rsid w:val="000B4302"/>
    <w:rsid w:val="001041A8"/>
    <w:rsid w:val="001468E1"/>
    <w:rsid w:val="001507F6"/>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54367"/>
    <w:rsid w:val="0046035B"/>
    <w:rsid w:val="00463B6C"/>
    <w:rsid w:val="00493CD8"/>
    <w:rsid w:val="004A1B43"/>
    <w:rsid w:val="004B1B0B"/>
    <w:rsid w:val="004B52A8"/>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1BA4"/>
    <w:rsid w:val="0079542C"/>
    <w:rsid w:val="007B2F89"/>
    <w:rsid w:val="007C0506"/>
    <w:rsid w:val="007D0B6E"/>
    <w:rsid w:val="007D2ABD"/>
    <w:rsid w:val="007D3C6E"/>
    <w:rsid w:val="007F0937"/>
    <w:rsid w:val="00816502"/>
    <w:rsid w:val="00822A00"/>
    <w:rsid w:val="0083034D"/>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9D2D13"/>
    <w:rsid w:val="00A3172B"/>
    <w:rsid w:val="00A51464"/>
    <w:rsid w:val="00A72602"/>
    <w:rsid w:val="00A839D2"/>
    <w:rsid w:val="00A8686B"/>
    <w:rsid w:val="00AB4BC8"/>
    <w:rsid w:val="00B03E75"/>
    <w:rsid w:val="00B13942"/>
    <w:rsid w:val="00B24734"/>
    <w:rsid w:val="00B276ED"/>
    <w:rsid w:val="00B33FC6"/>
    <w:rsid w:val="00B6264F"/>
    <w:rsid w:val="00B62DCA"/>
    <w:rsid w:val="00BA0224"/>
    <w:rsid w:val="00BA1AF1"/>
    <w:rsid w:val="00C41AFC"/>
    <w:rsid w:val="00C45E2D"/>
    <w:rsid w:val="00C51C1B"/>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36769"/>
    <w:rsid w:val="00F83D60"/>
    <w:rsid w:val="00F9202B"/>
    <w:rsid w:val="00FC6829"/>
    <w:rsid w:val="00FD03DD"/>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OBC Bullet,List Paragraph12"/>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locked/>
    <w:rsid w:val="00093369"/>
  </w:style>
  <w:style w:type="paragraph" w:styleId="FootnoteText">
    <w:name w:val="footnote text"/>
    <w:basedOn w:val="Normal"/>
    <w:link w:val="FootnoteTextChar"/>
    <w:uiPriority w:val="99"/>
    <w:semiHidden/>
    <w:unhideWhenUsed/>
    <w:rsid w:val="00791BA4"/>
    <w:pPr>
      <w:spacing w:after="0" w:line="240" w:lineRule="auto"/>
    </w:pPr>
    <w:rPr>
      <w:rFonts w:ascii="Calibri" w:eastAsia="Calibri" w:hAnsi="Calibri" w:cs="Times New Roman"/>
      <w:sz w:val="20"/>
      <w:szCs w:val="20"/>
      <w:lang w:val="en-GB"/>
    </w:rPr>
  </w:style>
  <w:style w:type="character" w:customStyle="1" w:styleId="FootnoteTextChar">
    <w:name w:val="Footnote Text Char"/>
    <w:basedOn w:val="DefaultParagraphFont"/>
    <w:link w:val="FootnoteText"/>
    <w:uiPriority w:val="99"/>
    <w:semiHidden/>
    <w:rsid w:val="00791BA4"/>
    <w:rPr>
      <w:rFonts w:ascii="Calibri" w:eastAsia="Calibri" w:hAnsi="Calibri" w:cs="Times New Roman"/>
      <w:sz w:val="20"/>
      <w:szCs w:val="20"/>
      <w:lang w:val="en-GB"/>
    </w:rPr>
  </w:style>
  <w:style w:type="character" w:styleId="FootnoteReference">
    <w:name w:val="footnote reference"/>
    <w:basedOn w:val="DefaultParagraphFont"/>
    <w:uiPriority w:val="99"/>
    <w:semiHidden/>
    <w:unhideWhenUsed/>
    <w:rsid w:val="00791B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78A2C-1382-4276-AAE8-64B854BDE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50</TotalTime>
  <Pages>7</Pages>
  <Words>2079</Words>
  <Characters>11852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13904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7</cp:revision>
  <cp:lastPrinted>2018-09-26T14:48:00Z</cp:lastPrinted>
  <dcterms:created xsi:type="dcterms:W3CDTF">2019-11-13T12:18:00Z</dcterms:created>
  <dcterms:modified xsi:type="dcterms:W3CDTF">2019-11-22T13:40:00Z</dcterms:modified>
</cp:coreProperties>
</file>